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6D25AA">
      <w:pPr>
        <w:rPr>
          <w:rFonts w:hint="eastAsia" w:eastAsia="宋体"/>
          <w:color w:val="auto"/>
          <w:sz w:val="36"/>
          <w:szCs w:val="36"/>
          <w:lang w:val="en-US" w:eastAsia="zh-CN"/>
        </w:rPr>
      </w:pPr>
    </w:p>
    <w:p w14:paraId="2D6032CF">
      <w:pPr>
        <w:rPr>
          <w:color w:val="auto"/>
          <w:sz w:val="36"/>
          <w:szCs w:val="36"/>
        </w:rPr>
      </w:pPr>
      <w:r>
        <w:rPr>
          <w:color w:val="auto"/>
          <w:sz w:val="36"/>
          <w:szCs w:val="36"/>
        </w:rPr>
        <w:tab/>
      </w:r>
      <w:r>
        <w:rPr>
          <w:color w:val="auto"/>
          <w:sz w:val="36"/>
          <w:szCs w:val="36"/>
        </w:rPr>
        <w:tab/>
      </w:r>
    </w:p>
    <w:p w14:paraId="0B86B400">
      <w:pPr>
        <w:adjustRightInd w:val="0"/>
        <w:snapToGrid w:val="0"/>
        <w:jc w:val="center"/>
        <w:rPr>
          <w:bCs/>
          <w:color w:val="auto"/>
          <w:sz w:val="72"/>
          <w:szCs w:val="72"/>
        </w:rPr>
      </w:pPr>
      <w:bookmarkStart w:id="0" w:name="_Toc69388160"/>
      <w:r>
        <w:rPr>
          <w:rFonts w:hAnsi="宋体"/>
          <w:bCs/>
          <w:color w:val="auto"/>
          <w:sz w:val="72"/>
          <w:szCs w:val="72"/>
        </w:rPr>
        <w:t>建设项目环境影响报告表</w:t>
      </w:r>
      <w:bookmarkEnd w:id="0"/>
    </w:p>
    <w:p w14:paraId="199368F4">
      <w:pPr>
        <w:adjustRightInd w:val="0"/>
        <w:snapToGrid w:val="0"/>
        <w:spacing w:before="192" w:beforeLines="80"/>
        <w:jc w:val="center"/>
        <w:rPr>
          <w:bCs/>
          <w:color w:val="auto"/>
          <w:sz w:val="48"/>
          <w:szCs w:val="48"/>
        </w:rPr>
      </w:pPr>
      <w:r>
        <w:rPr>
          <w:rFonts w:hAnsi="宋体"/>
          <w:bCs/>
          <w:color w:val="auto"/>
          <w:sz w:val="48"/>
          <w:szCs w:val="48"/>
        </w:rPr>
        <w:t>（污染影响类）</w:t>
      </w:r>
    </w:p>
    <w:p w14:paraId="5C91CF14">
      <w:pPr>
        <w:rPr>
          <w:color w:val="auto"/>
        </w:rPr>
      </w:pPr>
    </w:p>
    <w:p w14:paraId="4606B306">
      <w:pPr>
        <w:jc w:val="center"/>
        <w:rPr>
          <w:color w:val="auto"/>
          <w:sz w:val="52"/>
          <w:szCs w:val="52"/>
        </w:rPr>
      </w:pPr>
    </w:p>
    <w:p w14:paraId="70DCBA83">
      <w:pPr>
        <w:ind w:firstLine="1040"/>
        <w:rPr>
          <w:color w:val="auto"/>
          <w:sz w:val="44"/>
          <w:szCs w:val="44"/>
        </w:rPr>
      </w:pPr>
    </w:p>
    <w:p w14:paraId="404C8039">
      <w:pPr>
        <w:ind w:firstLine="1040"/>
        <w:rPr>
          <w:color w:val="auto"/>
          <w:sz w:val="44"/>
          <w:szCs w:val="44"/>
        </w:rPr>
      </w:pPr>
    </w:p>
    <w:p w14:paraId="18B4A71E">
      <w:pPr>
        <w:ind w:firstLine="1040"/>
        <w:rPr>
          <w:color w:val="auto"/>
          <w:sz w:val="44"/>
          <w:szCs w:val="44"/>
        </w:rPr>
      </w:pPr>
    </w:p>
    <w:p w14:paraId="4B013AE5">
      <w:pPr>
        <w:ind w:firstLine="1040"/>
        <w:rPr>
          <w:color w:val="auto"/>
          <w:sz w:val="44"/>
          <w:szCs w:val="44"/>
        </w:rPr>
      </w:pPr>
    </w:p>
    <w:p w14:paraId="718BC518">
      <w:pPr>
        <w:adjustRightInd w:val="0"/>
        <w:snapToGrid w:val="0"/>
        <w:spacing w:line="360" w:lineRule="auto"/>
        <w:ind w:left="1039" w:leftChars="495"/>
        <w:jc w:val="center"/>
        <w:rPr>
          <w:rFonts w:hint="eastAsia" w:hAnsi="宋体"/>
          <w:color w:val="auto"/>
          <w:sz w:val="30"/>
          <w:szCs w:val="30"/>
          <w:u w:val="single"/>
        </w:rPr>
      </w:pPr>
      <w:bookmarkStart w:id="1" w:name="_Hlk57884087"/>
      <w:r>
        <w:rPr>
          <w:rFonts w:hAnsi="宋体"/>
          <w:color w:val="auto"/>
          <w:spacing w:val="150"/>
          <w:sz w:val="30"/>
          <w:szCs w:val="30"/>
        </w:rPr>
        <w:t>项目名称</w:t>
      </w:r>
      <w:r>
        <w:rPr>
          <w:rFonts w:hAnsi="宋体"/>
          <w:color w:val="auto"/>
          <w:sz w:val="30"/>
          <w:szCs w:val="30"/>
        </w:rPr>
        <w:t>：</w:t>
      </w:r>
      <w:r>
        <w:rPr>
          <w:rFonts w:hint="eastAsia" w:hAnsi="宋体"/>
          <w:color w:val="auto"/>
          <w:sz w:val="30"/>
          <w:szCs w:val="30"/>
          <w:u w:val="single"/>
          <w:lang w:val="en-US" w:eastAsia="zh-CN"/>
        </w:rPr>
        <w:t>盖世食品(江苏)有限公司年产7000吨预制水产及肉类智能制造项目</w:t>
      </w:r>
    </w:p>
    <w:p w14:paraId="40794463">
      <w:pPr>
        <w:adjustRightInd w:val="0"/>
        <w:snapToGrid w:val="0"/>
        <w:spacing w:line="360" w:lineRule="auto"/>
        <w:ind w:left="1039" w:leftChars="495"/>
        <w:rPr>
          <w:color w:val="auto"/>
          <w:sz w:val="30"/>
          <w:szCs w:val="30"/>
          <w:u w:val="single"/>
        </w:rPr>
      </w:pPr>
      <w:r>
        <w:rPr>
          <w:rFonts w:hAnsi="宋体"/>
          <w:color w:val="auto"/>
          <w:sz w:val="30"/>
          <w:szCs w:val="30"/>
        </w:rPr>
        <w:t>建设单位（盖章）：</w:t>
      </w:r>
      <w:bookmarkStart w:id="2" w:name="OLE_LINK25"/>
      <w:bookmarkStart w:id="3" w:name="OLE_LINK24"/>
      <w:r>
        <w:rPr>
          <w:rFonts w:ascii="Times New Roman" w:hAnsi="Times New Roman" w:cs="Times New Roman"/>
          <w:color w:val="auto"/>
          <w:sz w:val="30"/>
          <w:szCs w:val="30"/>
          <w:u w:val="single"/>
        </w:rPr>
        <w:t>盖世食品（江苏）有限公司</w:t>
      </w:r>
      <w:bookmarkEnd w:id="2"/>
      <w:bookmarkEnd w:id="3"/>
    </w:p>
    <w:p w14:paraId="7CAEFD56">
      <w:pPr>
        <w:adjustRightInd w:val="0"/>
        <w:snapToGrid w:val="0"/>
        <w:spacing w:line="360" w:lineRule="auto"/>
        <w:ind w:left="1039" w:leftChars="495"/>
        <w:rPr>
          <w:rFonts w:hint="eastAsia" w:eastAsia="宋体"/>
          <w:color w:val="auto"/>
          <w:sz w:val="30"/>
          <w:szCs w:val="30"/>
          <w:u w:val="single"/>
          <w:lang w:eastAsia="zh-CN"/>
        </w:rPr>
      </w:pPr>
      <w:r>
        <w:rPr>
          <w:rFonts w:hAnsi="宋体"/>
          <w:color w:val="auto"/>
          <w:spacing w:val="150"/>
          <w:sz w:val="30"/>
          <w:szCs w:val="30"/>
        </w:rPr>
        <w:t>编制日期</w:t>
      </w:r>
      <w:r>
        <w:rPr>
          <w:rFonts w:hAnsi="宋体"/>
          <w:color w:val="auto"/>
          <w:sz w:val="30"/>
          <w:szCs w:val="30"/>
        </w:rPr>
        <w:t>：</w:t>
      </w:r>
      <w:r>
        <w:rPr>
          <w:color w:val="auto"/>
          <w:sz w:val="30"/>
          <w:szCs w:val="30"/>
          <w:u w:val="single"/>
        </w:rPr>
        <w:t>202</w:t>
      </w:r>
      <w:r>
        <w:rPr>
          <w:rFonts w:hint="eastAsia"/>
          <w:color w:val="auto"/>
          <w:sz w:val="30"/>
          <w:szCs w:val="30"/>
          <w:u w:val="single"/>
          <w:lang w:val="en-US" w:eastAsia="zh-CN"/>
        </w:rPr>
        <w:t>5</w:t>
      </w:r>
      <w:r>
        <w:rPr>
          <w:rFonts w:hAnsi="宋体"/>
          <w:color w:val="auto"/>
          <w:sz w:val="30"/>
          <w:szCs w:val="30"/>
          <w:u w:val="single"/>
        </w:rPr>
        <w:t>年</w:t>
      </w:r>
      <w:r>
        <w:rPr>
          <w:rFonts w:hint="eastAsia"/>
          <w:color w:val="auto"/>
          <w:sz w:val="30"/>
          <w:szCs w:val="30"/>
          <w:u w:val="single"/>
          <w:lang w:val="en-US" w:eastAsia="zh-CN"/>
        </w:rPr>
        <w:t>7</w:t>
      </w:r>
      <w:r>
        <w:rPr>
          <w:rFonts w:hAnsi="宋体"/>
          <w:color w:val="auto"/>
          <w:sz w:val="30"/>
          <w:szCs w:val="30"/>
          <w:u w:val="single"/>
        </w:rPr>
        <w:t>月</w:t>
      </w:r>
    </w:p>
    <w:p w14:paraId="0873C148">
      <w:pPr>
        <w:adjustRightInd w:val="0"/>
        <w:snapToGrid w:val="0"/>
        <w:spacing w:line="288" w:lineRule="auto"/>
        <w:ind w:firstLine="1040"/>
        <w:rPr>
          <w:color w:val="auto"/>
          <w:sz w:val="36"/>
          <w:szCs w:val="36"/>
          <w:u w:val="single"/>
        </w:rPr>
      </w:pPr>
    </w:p>
    <w:p w14:paraId="61E7271A">
      <w:pPr>
        <w:adjustRightInd w:val="0"/>
        <w:snapToGrid w:val="0"/>
        <w:spacing w:line="288" w:lineRule="auto"/>
        <w:ind w:firstLine="1040"/>
        <w:rPr>
          <w:color w:val="auto"/>
          <w:sz w:val="36"/>
          <w:szCs w:val="36"/>
        </w:rPr>
      </w:pPr>
    </w:p>
    <w:p w14:paraId="2EFE2D86">
      <w:pPr>
        <w:ind w:firstLine="1040"/>
        <w:rPr>
          <w:color w:val="auto"/>
          <w:sz w:val="44"/>
          <w:szCs w:val="44"/>
        </w:rPr>
      </w:pPr>
    </w:p>
    <w:p w14:paraId="72393D41">
      <w:pPr>
        <w:ind w:firstLine="1040"/>
        <w:rPr>
          <w:color w:val="auto"/>
          <w:sz w:val="44"/>
          <w:szCs w:val="44"/>
        </w:rPr>
      </w:pPr>
    </w:p>
    <w:p w14:paraId="553EF60C">
      <w:pPr>
        <w:ind w:firstLine="1040"/>
        <w:rPr>
          <w:color w:val="auto"/>
          <w:sz w:val="44"/>
          <w:szCs w:val="44"/>
        </w:rPr>
      </w:pPr>
    </w:p>
    <w:p w14:paraId="1AD3DA38">
      <w:pPr>
        <w:rPr>
          <w:color w:val="auto"/>
          <w:sz w:val="44"/>
          <w:szCs w:val="44"/>
        </w:rPr>
      </w:pPr>
    </w:p>
    <w:p w14:paraId="14D20F6D">
      <w:pPr>
        <w:pStyle w:val="7"/>
        <w:rPr>
          <w:color w:val="auto"/>
        </w:rPr>
      </w:pPr>
    </w:p>
    <w:p w14:paraId="398757BB">
      <w:pPr>
        <w:ind w:firstLine="1040"/>
        <w:rPr>
          <w:color w:val="auto"/>
          <w:sz w:val="44"/>
          <w:szCs w:val="44"/>
        </w:rPr>
      </w:pPr>
    </w:p>
    <w:bookmarkEnd w:id="1"/>
    <w:p w14:paraId="11341F90">
      <w:pPr>
        <w:adjustRightInd w:val="0"/>
        <w:snapToGrid w:val="0"/>
        <w:spacing w:line="288" w:lineRule="auto"/>
        <w:jc w:val="center"/>
        <w:rPr>
          <w:color w:val="auto"/>
          <w:sz w:val="36"/>
          <w:szCs w:val="36"/>
        </w:rPr>
      </w:pPr>
      <w:r>
        <w:rPr>
          <w:rFonts w:hAnsi="宋体"/>
          <w:color w:val="auto"/>
          <w:sz w:val="36"/>
          <w:szCs w:val="36"/>
        </w:rPr>
        <w:t>中华人民共和国生态环境部制</w:t>
      </w:r>
    </w:p>
    <w:p w14:paraId="47EE5311">
      <w:pPr>
        <w:adjustRightInd w:val="0"/>
        <w:snapToGrid w:val="0"/>
        <w:spacing w:line="288" w:lineRule="auto"/>
        <w:ind w:firstLine="1040"/>
        <w:rPr>
          <w:color w:val="auto"/>
          <w:sz w:val="36"/>
          <w:szCs w:val="36"/>
        </w:rPr>
        <w:sectPr>
          <w:headerReference r:id="rId3" w:type="default"/>
          <w:footerReference r:id="rId5" w:type="default"/>
          <w:headerReference r:id="rId4" w:type="even"/>
          <w:footerReference r:id="rId6"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54E85F85">
      <w:pPr>
        <w:adjustRightInd w:val="0"/>
        <w:snapToGrid w:val="0"/>
        <w:spacing w:line="360" w:lineRule="auto"/>
        <w:jc w:val="center"/>
        <w:rPr>
          <w:b/>
          <w:color w:val="auto"/>
          <w:sz w:val="30"/>
          <w:szCs w:val="30"/>
        </w:rPr>
      </w:pPr>
      <w:r>
        <w:rPr>
          <w:rFonts w:hAnsi="宋体"/>
          <w:b/>
          <w:color w:val="auto"/>
          <w:sz w:val="30"/>
          <w:szCs w:val="30"/>
        </w:rPr>
        <w:t>目录</w:t>
      </w:r>
    </w:p>
    <w:p w14:paraId="05C0D904">
      <w:pPr>
        <w:pStyle w:val="23"/>
        <w:tabs>
          <w:tab w:val="right" w:leader="dot" w:pos="8844"/>
        </w:tabs>
        <w:rPr>
          <w:color w:val="auto"/>
        </w:rPr>
      </w:pPr>
      <w:r>
        <w:rPr>
          <w:color w:val="auto"/>
          <w:sz w:val="24"/>
        </w:rPr>
        <w:fldChar w:fldCharType="begin"/>
      </w:r>
      <w:r>
        <w:rPr>
          <w:color w:val="auto"/>
          <w:sz w:val="24"/>
        </w:rPr>
        <w:instrText xml:space="preserve"> TOC \o "1-3" \h \z \u </w:instrText>
      </w:r>
      <w:r>
        <w:rPr>
          <w:color w:val="auto"/>
          <w:sz w:val="24"/>
        </w:rPr>
        <w:fldChar w:fldCharType="separate"/>
      </w:r>
      <w:r>
        <w:rPr>
          <w:color w:val="auto"/>
        </w:rPr>
        <w:fldChar w:fldCharType="begin"/>
      </w:r>
      <w:r>
        <w:rPr>
          <w:color w:val="auto"/>
        </w:rPr>
        <w:instrText xml:space="preserve"> HYPERLINK \l _Toc28317 </w:instrText>
      </w:r>
      <w:r>
        <w:rPr>
          <w:color w:val="auto"/>
        </w:rPr>
        <w:fldChar w:fldCharType="separate"/>
      </w:r>
      <w:r>
        <w:rPr>
          <w:rFonts w:ascii="Times New Roman"/>
          <w:snapToGrid w:val="0"/>
          <w:color w:val="auto"/>
          <w:szCs w:val="30"/>
        </w:rPr>
        <w:t>一、建设项目基本情况</w:t>
      </w:r>
      <w:r>
        <w:rPr>
          <w:color w:val="auto"/>
        </w:rPr>
        <w:tab/>
      </w:r>
      <w:r>
        <w:rPr>
          <w:color w:val="auto"/>
        </w:rPr>
        <w:fldChar w:fldCharType="begin"/>
      </w:r>
      <w:r>
        <w:rPr>
          <w:color w:val="auto"/>
        </w:rPr>
        <w:instrText xml:space="preserve"> PAGEREF _Toc28317 \h </w:instrText>
      </w:r>
      <w:r>
        <w:rPr>
          <w:color w:val="auto"/>
        </w:rPr>
        <w:fldChar w:fldCharType="separate"/>
      </w:r>
      <w:r>
        <w:rPr>
          <w:color w:val="auto"/>
        </w:rPr>
        <w:t>1</w:t>
      </w:r>
      <w:r>
        <w:rPr>
          <w:color w:val="auto"/>
        </w:rPr>
        <w:fldChar w:fldCharType="end"/>
      </w:r>
      <w:r>
        <w:rPr>
          <w:color w:val="auto"/>
        </w:rPr>
        <w:fldChar w:fldCharType="end"/>
      </w:r>
    </w:p>
    <w:p w14:paraId="07C47ECF">
      <w:pPr>
        <w:pStyle w:val="23"/>
        <w:tabs>
          <w:tab w:val="right" w:leader="dot" w:pos="8844"/>
        </w:tabs>
        <w:rPr>
          <w:color w:val="auto"/>
        </w:rPr>
      </w:pPr>
      <w:r>
        <w:rPr>
          <w:color w:val="auto"/>
        </w:rPr>
        <w:fldChar w:fldCharType="begin"/>
      </w:r>
      <w:r>
        <w:rPr>
          <w:color w:val="auto"/>
        </w:rPr>
        <w:instrText xml:space="preserve"> HYPERLINK \l _Toc7534 </w:instrText>
      </w:r>
      <w:r>
        <w:rPr>
          <w:color w:val="auto"/>
        </w:rPr>
        <w:fldChar w:fldCharType="separate"/>
      </w:r>
      <w:r>
        <w:rPr>
          <w:rFonts w:ascii="Times New Roman"/>
          <w:snapToGrid w:val="0"/>
          <w:color w:val="auto"/>
          <w:szCs w:val="30"/>
        </w:rPr>
        <w:t>二、建设项目工程分析</w:t>
      </w:r>
      <w:r>
        <w:rPr>
          <w:color w:val="auto"/>
        </w:rPr>
        <w:tab/>
      </w:r>
      <w:r>
        <w:rPr>
          <w:color w:val="auto"/>
        </w:rPr>
        <w:fldChar w:fldCharType="begin"/>
      </w:r>
      <w:r>
        <w:rPr>
          <w:color w:val="auto"/>
        </w:rPr>
        <w:instrText xml:space="preserve"> PAGEREF _Toc7534 \h </w:instrText>
      </w:r>
      <w:r>
        <w:rPr>
          <w:color w:val="auto"/>
        </w:rPr>
        <w:fldChar w:fldCharType="separate"/>
      </w:r>
      <w:r>
        <w:rPr>
          <w:color w:val="auto"/>
        </w:rPr>
        <w:t>25</w:t>
      </w:r>
      <w:r>
        <w:rPr>
          <w:color w:val="auto"/>
        </w:rPr>
        <w:fldChar w:fldCharType="end"/>
      </w:r>
      <w:r>
        <w:rPr>
          <w:color w:val="auto"/>
        </w:rPr>
        <w:fldChar w:fldCharType="end"/>
      </w:r>
    </w:p>
    <w:p w14:paraId="1A9DB66F">
      <w:pPr>
        <w:pStyle w:val="23"/>
        <w:tabs>
          <w:tab w:val="right" w:leader="dot" w:pos="8844"/>
        </w:tabs>
        <w:rPr>
          <w:color w:val="auto"/>
        </w:rPr>
      </w:pPr>
      <w:r>
        <w:rPr>
          <w:color w:val="auto"/>
        </w:rPr>
        <w:fldChar w:fldCharType="begin"/>
      </w:r>
      <w:r>
        <w:rPr>
          <w:color w:val="auto"/>
        </w:rPr>
        <w:instrText xml:space="preserve"> HYPERLINK \l _Toc22431 </w:instrText>
      </w:r>
      <w:r>
        <w:rPr>
          <w:color w:val="auto"/>
        </w:rPr>
        <w:fldChar w:fldCharType="separate"/>
      </w:r>
      <w:r>
        <w:rPr>
          <w:rFonts w:hAnsi="宋体"/>
          <w:snapToGrid w:val="0"/>
          <w:color w:val="auto"/>
          <w:szCs w:val="30"/>
        </w:rPr>
        <w:t>三、区域环境质量现状、环境保护目标及评价标准</w:t>
      </w:r>
      <w:r>
        <w:rPr>
          <w:color w:val="auto"/>
        </w:rPr>
        <w:tab/>
      </w:r>
      <w:r>
        <w:rPr>
          <w:color w:val="auto"/>
        </w:rPr>
        <w:fldChar w:fldCharType="begin"/>
      </w:r>
      <w:r>
        <w:rPr>
          <w:color w:val="auto"/>
        </w:rPr>
        <w:instrText xml:space="preserve"> PAGEREF _Toc22431 \h </w:instrText>
      </w:r>
      <w:r>
        <w:rPr>
          <w:color w:val="auto"/>
        </w:rPr>
        <w:fldChar w:fldCharType="separate"/>
      </w:r>
      <w:r>
        <w:rPr>
          <w:color w:val="auto"/>
        </w:rPr>
        <w:t>53</w:t>
      </w:r>
      <w:r>
        <w:rPr>
          <w:color w:val="auto"/>
        </w:rPr>
        <w:fldChar w:fldCharType="end"/>
      </w:r>
      <w:r>
        <w:rPr>
          <w:color w:val="auto"/>
        </w:rPr>
        <w:fldChar w:fldCharType="end"/>
      </w:r>
    </w:p>
    <w:p w14:paraId="33C903C1">
      <w:pPr>
        <w:pStyle w:val="23"/>
        <w:tabs>
          <w:tab w:val="right" w:leader="dot" w:pos="8844"/>
        </w:tabs>
        <w:rPr>
          <w:color w:val="auto"/>
        </w:rPr>
      </w:pPr>
      <w:r>
        <w:rPr>
          <w:color w:val="auto"/>
        </w:rPr>
        <w:fldChar w:fldCharType="begin"/>
      </w:r>
      <w:r>
        <w:rPr>
          <w:color w:val="auto"/>
        </w:rPr>
        <w:instrText xml:space="preserve"> HYPERLINK \l _Toc31692 </w:instrText>
      </w:r>
      <w:r>
        <w:rPr>
          <w:color w:val="auto"/>
        </w:rPr>
        <w:fldChar w:fldCharType="separate"/>
      </w:r>
      <w:r>
        <w:rPr>
          <w:rFonts w:hint="eastAsia" w:hAnsi="宋体"/>
          <w:snapToGrid w:val="0"/>
          <w:color w:val="auto"/>
          <w:szCs w:val="30"/>
          <w:lang w:eastAsia="zh-CN"/>
        </w:rPr>
        <w:t>四、</w:t>
      </w:r>
      <w:r>
        <w:rPr>
          <w:rFonts w:hAnsi="宋体"/>
          <w:snapToGrid w:val="0"/>
          <w:color w:val="auto"/>
          <w:szCs w:val="30"/>
        </w:rPr>
        <w:t>主要环境影响和保护措施</w:t>
      </w:r>
      <w:r>
        <w:rPr>
          <w:color w:val="auto"/>
        </w:rPr>
        <w:tab/>
      </w:r>
      <w:r>
        <w:rPr>
          <w:color w:val="auto"/>
        </w:rPr>
        <w:fldChar w:fldCharType="begin"/>
      </w:r>
      <w:r>
        <w:rPr>
          <w:color w:val="auto"/>
        </w:rPr>
        <w:instrText xml:space="preserve"> PAGEREF _Toc31692 \h </w:instrText>
      </w:r>
      <w:r>
        <w:rPr>
          <w:color w:val="auto"/>
        </w:rPr>
        <w:fldChar w:fldCharType="separate"/>
      </w:r>
      <w:r>
        <w:rPr>
          <w:color w:val="auto"/>
        </w:rPr>
        <w:t>62</w:t>
      </w:r>
      <w:r>
        <w:rPr>
          <w:color w:val="auto"/>
        </w:rPr>
        <w:fldChar w:fldCharType="end"/>
      </w:r>
      <w:r>
        <w:rPr>
          <w:color w:val="auto"/>
        </w:rPr>
        <w:fldChar w:fldCharType="end"/>
      </w:r>
    </w:p>
    <w:p w14:paraId="65310CE5">
      <w:pPr>
        <w:pStyle w:val="23"/>
        <w:tabs>
          <w:tab w:val="right" w:leader="dot" w:pos="8844"/>
        </w:tabs>
        <w:rPr>
          <w:color w:val="auto"/>
        </w:rPr>
      </w:pPr>
      <w:r>
        <w:rPr>
          <w:color w:val="auto"/>
        </w:rPr>
        <w:fldChar w:fldCharType="begin"/>
      </w:r>
      <w:r>
        <w:rPr>
          <w:color w:val="auto"/>
        </w:rPr>
        <w:instrText xml:space="preserve"> HYPERLINK \l _Toc2191 </w:instrText>
      </w:r>
      <w:r>
        <w:rPr>
          <w:color w:val="auto"/>
        </w:rPr>
        <w:fldChar w:fldCharType="separate"/>
      </w:r>
      <w:r>
        <w:rPr>
          <w:rFonts w:ascii="Times New Roman"/>
          <w:snapToGrid w:val="0"/>
          <w:color w:val="auto"/>
          <w:szCs w:val="30"/>
        </w:rPr>
        <w:t>五、环境保护措施监督检查清单</w:t>
      </w:r>
      <w:r>
        <w:rPr>
          <w:color w:val="auto"/>
        </w:rPr>
        <w:tab/>
      </w:r>
      <w:r>
        <w:rPr>
          <w:color w:val="auto"/>
        </w:rPr>
        <w:fldChar w:fldCharType="begin"/>
      </w:r>
      <w:r>
        <w:rPr>
          <w:color w:val="auto"/>
        </w:rPr>
        <w:instrText xml:space="preserve"> PAGEREF _Toc2191 \h </w:instrText>
      </w:r>
      <w:r>
        <w:rPr>
          <w:color w:val="auto"/>
        </w:rPr>
        <w:fldChar w:fldCharType="separate"/>
      </w:r>
      <w:r>
        <w:rPr>
          <w:color w:val="auto"/>
        </w:rPr>
        <w:t>96</w:t>
      </w:r>
      <w:r>
        <w:rPr>
          <w:color w:val="auto"/>
        </w:rPr>
        <w:fldChar w:fldCharType="end"/>
      </w:r>
      <w:r>
        <w:rPr>
          <w:color w:val="auto"/>
        </w:rPr>
        <w:fldChar w:fldCharType="end"/>
      </w:r>
    </w:p>
    <w:p w14:paraId="33517F00">
      <w:pPr>
        <w:pStyle w:val="23"/>
        <w:tabs>
          <w:tab w:val="right" w:leader="dot" w:pos="8844"/>
        </w:tabs>
        <w:rPr>
          <w:color w:val="auto"/>
        </w:rPr>
      </w:pPr>
      <w:r>
        <w:rPr>
          <w:color w:val="auto"/>
        </w:rPr>
        <w:fldChar w:fldCharType="begin"/>
      </w:r>
      <w:r>
        <w:rPr>
          <w:color w:val="auto"/>
        </w:rPr>
        <w:instrText xml:space="preserve"> HYPERLINK \l _Toc5737 </w:instrText>
      </w:r>
      <w:r>
        <w:rPr>
          <w:color w:val="auto"/>
        </w:rPr>
        <w:fldChar w:fldCharType="separate"/>
      </w:r>
      <w:r>
        <w:rPr>
          <w:rFonts w:hAnsi="宋体"/>
          <w:snapToGrid w:val="0"/>
          <w:color w:val="auto"/>
          <w:szCs w:val="30"/>
        </w:rPr>
        <w:t>六、结论</w:t>
      </w:r>
      <w:r>
        <w:rPr>
          <w:color w:val="auto"/>
        </w:rPr>
        <w:tab/>
      </w:r>
      <w:r>
        <w:rPr>
          <w:color w:val="auto"/>
        </w:rPr>
        <w:fldChar w:fldCharType="begin"/>
      </w:r>
      <w:r>
        <w:rPr>
          <w:color w:val="auto"/>
        </w:rPr>
        <w:instrText xml:space="preserve"> PAGEREF _Toc5737 \h </w:instrText>
      </w:r>
      <w:r>
        <w:rPr>
          <w:color w:val="auto"/>
        </w:rPr>
        <w:fldChar w:fldCharType="separate"/>
      </w:r>
      <w:r>
        <w:rPr>
          <w:color w:val="auto"/>
        </w:rPr>
        <w:t>97</w:t>
      </w:r>
      <w:r>
        <w:rPr>
          <w:color w:val="auto"/>
        </w:rPr>
        <w:fldChar w:fldCharType="end"/>
      </w:r>
      <w:r>
        <w:rPr>
          <w:color w:val="auto"/>
        </w:rPr>
        <w:fldChar w:fldCharType="end"/>
      </w:r>
    </w:p>
    <w:p w14:paraId="0F6D12A7">
      <w:pPr>
        <w:pStyle w:val="23"/>
        <w:tabs>
          <w:tab w:val="right" w:leader="dot" w:pos="8844"/>
        </w:tabs>
        <w:rPr>
          <w:color w:val="auto"/>
        </w:rPr>
      </w:pPr>
      <w:r>
        <w:rPr>
          <w:color w:val="auto"/>
        </w:rPr>
        <w:fldChar w:fldCharType="begin"/>
      </w:r>
      <w:r>
        <w:rPr>
          <w:color w:val="auto"/>
        </w:rPr>
        <w:instrText xml:space="preserve"> HYPERLINK \l _Toc299 </w:instrText>
      </w:r>
      <w:r>
        <w:rPr>
          <w:color w:val="auto"/>
        </w:rPr>
        <w:fldChar w:fldCharType="separate"/>
      </w:r>
      <w:r>
        <w:rPr>
          <w:rFonts w:ascii="Times New Roman"/>
          <w:snapToGrid w:val="0"/>
          <w:color w:val="auto"/>
          <w:szCs w:val="22"/>
        </w:rPr>
        <w:t>附表</w:t>
      </w:r>
      <w:r>
        <w:rPr>
          <w:color w:val="auto"/>
        </w:rPr>
        <w:tab/>
      </w:r>
      <w:r>
        <w:rPr>
          <w:color w:val="auto"/>
        </w:rPr>
        <w:fldChar w:fldCharType="begin"/>
      </w:r>
      <w:r>
        <w:rPr>
          <w:color w:val="auto"/>
        </w:rPr>
        <w:instrText xml:space="preserve"> PAGEREF _Toc299 \h </w:instrText>
      </w:r>
      <w:r>
        <w:rPr>
          <w:color w:val="auto"/>
        </w:rPr>
        <w:fldChar w:fldCharType="separate"/>
      </w:r>
      <w:r>
        <w:rPr>
          <w:color w:val="auto"/>
        </w:rPr>
        <w:t>98</w:t>
      </w:r>
      <w:r>
        <w:rPr>
          <w:color w:val="auto"/>
        </w:rPr>
        <w:fldChar w:fldCharType="end"/>
      </w:r>
      <w:r>
        <w:rPr>
          <w:color w:val="auto"/>
        </w:rPr>
        <w:fldChar w:fldCharType="end"/>
      </w:r>
    </w:p>
    <w:p w14:paraId="15EFCBF8">
      <w:pPr>
        <w:adjustRightInd w:val="0"/>
        <w:snapToGrid w:val="0"/>
        <w:spacing w:line="360" w:lineRule="auto"/>
        <w:rPr>
          <w:color w:val="auto"/>
          <w:sz w:val="36"/>
          <w:szCs w:val="36"/>
        </w:rPr>
      </w:pPr>
      <w:r>
        <w:rPr>
          <w:color w:val="auto"/>
        </w:rPr>
        <w:fldChar w:fldCharType="end"/>
      </w:r>
    </w:p>
    <w:p w14:paraId="266B1C26">
      <w:pPr>
        <w:widowControl/>
        <w:jc w:val="left"/>
        <w:rPr>
          <w:color w:val="auto"/>
          <w:sz w:val="36"/>
          <w:szCs w:val="36"/>
        </w:rPr>
      </w:pPr>
      <w:r>
        <w:rPr>
          <w:color w:val="auto"/>
          <w:sz w:val="36"/>
          <w:szCs w:val="36"/>
        </w:rPr>
        <w:br w:type="page"/>
      </w:r>
    </w:p>
    <w:p w14:paraId="2CF1A1BB">
      <w:pPr>
        <w:adjustRightInd w:val="0"/>
        <w:snapToGrid w:val="0"/>
        <w:spacing w:line="336" w:lineRule="auto"/>
        <w:rPr>
          <w:b/>
          <w:color w:val="auto"/>
          <w:sz w:val="24"/>
        </w:rPr>
      </w:pPr>
      <w:r>
        <w:rPr>
          <w:rFonts w:hAnsi="宋体"/>
          <w:b/>
          <w:color w:val="auto"/>
          <w:sz w:val="24"/>
        </w:rPr>
        <w:t>附件：</w:t>
      </w:r>
    </w:p>
    <w:p w14:paraId="3B5A97BC">
      <w:pPr>
        <w:tabs>
          <w:tab w:val="left" w:pos="3481"/>
        </w:tabs>
        <w:adjustRightInd w:val="0"/>
        <w:snapToGrid w:val="0"/>
        <w:spacing w:line="336" w:lineRule="auto"/>
        <w:ind w:firstLine="480" w:firstLineChars="200"/>
        <w:rPr>
          <w:rFonts w:hint="default"/>
          <w:color w:val="auto"/>
          <w:sz w:val="24"/>
          <w:lang w:val="en-US" w:eastAsia="zh-CN"/>
        </w:rPr>
      </w:pPr>
      <w:r>
        <w:rPr>
          <w:rFonts w:hint="eastAsia"/>
          <w:color w:val="auto"/>
          <w:sz w:val="24"/>
          <w:lang w:val="en-US" w:eastAsia="zh-CN"/>
        </w:rPr>
        <w:t>附件1江苏省投资项目备案证</w:t>
      </w:r>
    </w:p>
    <w:p w14:paraId="09AA3E60">
      <w:pPr>
        <w:tabs>
          <w:tab w:val="left" w:pos="3481"/>
        </w:tabs>
        <w:adjustRightInd w:val="0"/>
        <w:snapToGrid w:val="0"/>
        <w:spacing w:line="336" w:lineRule="auto"/>
        <w:ind w:firstLine="480" w:firstLineChars="200"/>
        <w:rPr>
          <w:rFonts w:hint="eastAsia" w:eastAsia="宋体"/>
          <w:color w:val="auto"/>
          <w:sz w:val="24"/>
          <w:lang w:val="en-US" w:eastAsia="zh-CN"/>
        </w:rPr>
      </w:pPr>
      <w:r>
        <w:rPr>
          <w:rFonts w:hint="eastAsia"/>
          <w:color w:val="auto"/>
          <w:sz w:val="24"/>
          <w:lang w:val="en-US" w:eastAsia="zh-CN"/>
        </w:rPr>
        <w:t>附件2营业执照及法人身份证</w:t>
      </w:r>
    </w:p>
    <w:p w14:paraId="7FF08413">
      <w:pPr>
        <w:tabs>
          <w:tab w:val="left" w:pos="3481"/>
        </w:tabs>
        <w:adjustRightInd w:val="0"/>
        <w:snapToGrid w:val="0"/>
        <w:spacing w:line="336" w:lineRule="auto"/>
        <w:ind w:firstLine="480" w:firstLineChars="200"/>
        <w:rPr>
          <w:rFonts w:hint="eastAsia"/>
          <w:color w:val="auto"/>
          <w:sz w:val="24"/>
          <w:lang w:val="en-US" w:eastAsia="zh-CN"/>
        </w:rPr>
      </w:pPr>
      <w:r>
        <w:rPr>
          <w:rFonts w:hint="eastAsia"/>
          <w:color w:val="auto"/>
          <w:sz w:val="24"/>
          <w:lang w:val="en-US" w:eastAsia="zh-CN"/>
        </w:rPr>
        <w:t>附件3房屋产权证明</w:t>
      </w:r>
    </w:p>
    <w:p w14:paraId="46DA5241">
      <w:pPr>
        <w:tabs>
          <w:tab w:val="left" w:pos="3481"/>
        </w:tabs>
        <w:adjustRightInd w:val="0"/>
        <w:snapToGrid w:val="0"/>
        <w:spacing w:line="336" w:lineRule="auto"/>
        <w:ind w:firstLine="480" w:firstLineChars="200"/>
        <w:rPr>
          <w:rFonts w:hint="eastAsia"/>
          <w:color w:val="auto"/>
          <w:sz w:val="24"/>
          <w:lang w:val="en-US" w:eastAsia="zh-CN"/>
        </w:rPr>
      </w:pPr>
      <w:r>
        <w:rPr>
          <w:rFonts w:hint="eastAsia"/>
          <w:color w:val="auto"/>
          <w:sz w:val="24"/>
          <w:lang w:val="en-US" w:eastAsia="zh-CN"/>
        </w:rPr>
        <w:t>附件4环评委托书</w:t>
      </w:r>
    </w:p>
    <w:p w14:paraId="6A23DF8E">
      <w:pPr>
        <w:tabs>
          <w:tab w:val="left" w:pos="3481"/>
        </w:tabs>
        <w:adjustRightInd w:val="0"/>
        <w:snapToGrid w:val="0"/>
        <w:spacing w:line="336" w:lineRule="auto"/>
        <w:ind w:firstLine="480" w:firstLineChars="200"/>
        <w:rPr>
          <w:rFonts w:hint="eastAsia"/>
          <w:color w:val="auto"/>
          <w:sz w:val="24"/>
          <w:lang w:val="en-US" w:eastAsia="zh-CN"/>
        </w:rPr>
      </w:pPr>
      <w:r>
        <w:rPr>
          <w:rFonts w:hint="eastAsia"/>
          <w:color w:val="auto"/>
          <w:sz w:val="24"/>
          <w:lang w:val="en-US" w:eastAsia="zh-CN"/>
        </w:rPr>
        <w:t>附件5现有项目环评批复及验收文本资料</w:t>
      </w:r>
    </w:p>
    <w:p w14:paraId="54DAF783">
      <w:pPr>
        <w:tabs>
          <w:tab w:val="left" w:pos="3481"/>
        </w:tabs>
        <w:adjustRightInd w:val="0"/>
        <w:snapToGrid w:val="0"/>
        <w:spacing w:line="336" w:lineRule="auto"/>
        <w:ind w:firstLine="480" w:firstLineChars="200"/>
        <w:rPr>
          <w:rFonts w:hint="eastAsia"/>
          <w:color w:val="auto"/>
          <w:sz w:val="24"/>
          <w:lang w:val="en-US" w:eastAsia="zh-CN"/>
        </w:rPr>
      </w:pPr>
      <w:r>
        <w:rPr>
          <w:rFonts w:hint="eastAsia"/>
          <w:color w:val="auto"/>
          <w:sz w:val="24"/>
          <w:lang w:val="en-US" w:eastAsia="zh-CN"/>
        </w:rPr>
        <w:t>附件6现有项目排污许可证</w:t>
      </w:r>
    </w:p>
    <w:p w14:paraId="1834D520">
      <w:pPr>
        <w:tabs>
          <w:tab w:val="left" w:pos="3481"/>
        </w:tabs>
        <w:adjustRightInd w:val="0"/>
        <w:snapToGrid w:val="0"/>
        <w:spacing w:line="336" w:lineRule="auto"/>
        <w:ind w:firstLine="480" w:firstLineChars="200"/>
        <w:rPr>
          <w:rFonts w:hint="eastAsia"/>
          <w:color w:val="auto"/>
          <w:sz w:val="24"/>
          <w:lang w:val="en-US" w:eastAsia="zh-CN"/>
        </w:rPr>
      </w:pPr>
      <w:r>
        <w:rPr>
          <w:rFonts w:hint="eastAsia"/>
          <w:color w:val="auto"/>
          <w:sz w:val="24"/>
          <w:lang w:val="en-US" w:eastAsia="zh-CN"/>
        </w:rPr>
        <w:t>附件7垃圾清运协议</w:t>
      </w:r>
    </w:p>
    <w:p w14:paraId="195BEC94">
      <w:pPr>
        <w:tabs>
          <w:tab w:val="left" w:pos="3481"/>
        </w:tabs>
        <w:adjustRightInd w:val="0"/>
        <w:snapToGrid w:val="0"/>
        <w:spacing w:line="336" w:lineRule="auto"/>
        <w:ind w:firstLine="480" w:firstLineChars="200"/>
        <w:rPr>
          <w:rFonts w:hint="default"/>
          <w:color w:val="auto"/>
          <w:sz w:val="24"/>
          <w:lang w:val="en-US" w:eastAsia="zh-CN"/>
        </w:rPr>
      </w:pPr>
      <w:r>
        <w:rPr>
          <w:rFonts w:hint="eastAsia"/>
          <w:color w:val="auto"/>
          <w:sz w:val="24"/>
          <w:lang w:val="en-US" w:eastAsia="zh-CN"/>
        </w:rPr>
        <w:t>附件8一般固废处理协议</w:t>
      </w:r>
    </w:p>
    <w:p w14:paraId="705091EE">
      <w:pPr>
        <w:tabs>
          <w:tab w:val="left" w:pos="3481"/>
        </w:tabs>
        <w:adjustRightInd w:val="0"/>
        <w:snapToGrid w:val="0"/>
        <w:spacing w:line="336" w:lineRule="auto"/>
        <w:ind w:firstLine="480" w:firstLineChars="200"/>
        <w:rPr>
          <w:rFonts w:hint="eastAsia"/>
          <w:color w:val="auto"/>
          <w:sz w:val="24"/>
          <w:lang w:val="en-US" w:eastAsia="zh-CN"/>
        </w:rPr>
      </w:pPr>
      <w:r>
        <w:rPr>
          <w:rFonts w:hint="eastAsia"/>
          <w:color w:val="auto"/>
          <w:sz w:val="24"/>
          <w:lang w:val="en-US" w:eastAsia="zh-CN"/>
        </w:rPr>
        <w:t>附件9省生态环境厅关于江苏涟水经济开发区开发建设规划(2022-2035年)环境影响报告书的审查意见</w:t>
      </w:r>
    </w:p>
    <w:p w14:paraId="1FFC3274">
      <w:pPr>
        <w:tabs>
          <w:tab w:val="left" w:pos="3481"/>
        </w:tabs>
        <w:adjustRightInd w:val="0"/>
        <w:snapToGrid w:val="0"/>
        <w:spacing w:line="336" w:lineRule="auto"/>
        <w:ind w:firstLine="480" w:firstLineChars="200"/>
        <w:rPr>
          <w:rFonts w:hint="default"/>
          <w:color w:val="auto"/>
          <w:sz w:val="24"/>
          <w:lang w:val="en-US" w:eastAsia="zh-CN"/>
        </w:rPr>
      </w:pPr>
      <w:r>
        <w:rPr>
          <w:rFonts w:hint="eastAsia"/>
          <w:color w:val="auto"/>
          <w:sz w:val="24"/>
          <w:lang w:val="en-US" w:eastAsia="zh-CN"/>
        </w:rPr>
        <w:t>附件10 引用数据检测报告</w:t>
      </w:r>
    </w:p>
    <w:p w14:paraId="3C0A3D9D">
      <w:pPr>
        <w:tabs>
          <w:tab w:val="left" w:pos="3481"/>
        </w:tabs>
        <w:adjustRightInd w:val="0"/>
        <w:snapToGrid w:val="0"/>
        <w:spacing w:line="336" w:lineRule="auto"/>
        <w:ind w:firstLine="480" w:firstLineChars="200"/>
        <w:rPr>
          <w:rFonts w:hint="eastAsia"/>
          <w:color w:val="auto"/>
          <w:sz w:val="24"/>
          <w:lang w:val="en-US" w:eastAsia="zh-CN"/>
        </w:rPr>
      </w:pPr>
      <w:r>
        <w:rPr>
          <w:rFonts w:hint="eastAsia"/>
          <w:color w:val="auto"/>
          <w:sz w:val="24"/>
          <w:lang w:val="en-US" w:eastAsia="zh-CN"/>
        </w:rPr>
        <w:t>附件11盖世食品生态环境分区管控综合查询报告书</w:t>
      </w:r>
    </w:p>
    <w:p w14:paraId="2F809C28">
      <w:pPr>
        <w:tabs>
          <w:tab w:val="left" w:pos="3481"/>
        </w:tabs>
        <w:adjustRightInd w:val="0"/>
        <w:snapToGrid w:val="0"/>
        <w:spacing w:line="336" w:lineRule="auto"/>
        <w:ind w:firstLine="480" w:firstLineChars="200"/>
        <w:rPr>
          <w:rFonts w:hint="default"/>
          <w:color w:val="auto"/>
          <w:sz w:val="24"/>
          <w:lang w:val="en-US" w:eastAsia="zh-CN"/>
        </w:rPr>
      </w:pPr>
      <w:r>
        <w:rPr>
          <w:rFonts w:hint="eastAsia"/>
          <w:color w:val="auto"/>
          <w:sz w:val="24"/>
          <w:lang w:val="en-US" w:eastAsia="zh-CN"/>
        </w:rPr>
        <w:t>附件12工程师现场踏勘照片</w:t>
      </w:r>
    </w:p>
    <w:p w14:paraId="11416323">
      <w:pPr>
        <w:tabs>
          <w:tab w:val="left" w:pos="3481"/>
        </w:tabs>
        <w:adjustRightInd w:val="0"/>
        <w:snapToGrid w:val="0"/>
        <w:spacing w:line="336" w:lineRule="auto"/>
        <w:ind w:firstLine="480" w:firstLineChars="200"/>
        <w:rPr>
          <w:rFonts w:hint="eastAsia"/>
          <w:color w:val="auto"/>
          <w:sz w:val="24"/>
          <w:lang w:val="en-US" w:eastAsia="zh-CN"/>
        </w:rPr>
      </w:pPr>
      <w:r>
        <w:rPr>
          <w:rFonts w:hint="eastAsia"/>
          <w:color w:val="auto"/>
          <w:sz w:val="24"/>
          <w:lang w:val="en-US" w:eastAsia="zh-CN"/>
        </w:rPr>
        <w:t>附件13公示截图</w:t>
      </w:r>
    </w:p>
    <w:p w14:paraId="0198A512">
      <w:pPr>
        <w:tabs>
          <w:tab w:val="left" w:pos="3481"/>
        </w:tabs>
        <w:adjustRightInd w:val="0"/>
        <w:snapToGrid w:val="0"/>
        <w:spacing w:line="336" w:lineRule="auto"/>
        <w:ind w:firstLine="480" w:firstLineChars="200"/>
        <w:rPr>
          <w:rFonts w:hint="default"/>
          <w:color w:val="auto"/>
          <w:sz w:val="24"/>
          <w:lang w:val="en-US" w:eastAsia="zh-CN"/>
        </w:rPr>
      </w:pPr>
      <w:r>
        <w:rPr>
          <w:rFonts w:hint="eastAsia"/>
          <w:color w:val="auto"/>
          <w:sz w:val="24"/>
          <w:lang w:val="en-US" w:eastAsia="zh-CN"/>
        </w:rPr>
        <w:t>附件14政府信息公开删除内容申请表</w:t>
      </w:r>
    </w:p>
    <w:p w14:paraId="1366E824">
      <w:pPr>
        <w:tabs>
          <w:tab w:val="left" w:pos="3481"/>
        </w:tabs>
        <w:adjustRightInd w:val="0"/>
        <w:snapToGrid w:val="0"/>
        <w:spacing w:line="336" w:lineRule="auto"/>
        <w:ind w:firstLine="480" w:firstLineChars="200"/>
        <w:rPr>
          <w:rFonts w:hint="eastAsia"/>
          <w:color w:val="auto"/>
          <w:sz w:val="24"/>
          <w:lang w:val="en-US" w:eastAsia="zh-CN"/>
        </w:rPr>
      </w:pPr>
      <w:r>
        <w:rPr>
          <w:rFonts w:hint="eastAsia"/>
          <w:color w:val="auto"/>
          <w:sz w:val="24"/>
          <w:lang w:val="en-US" w:eastAsia="zh-CN"/>
        </w:rPr>
        <w:t>附件15建设项目环境影响评价文件报批申请书</w:t>
      </w:r>
    </w:p>
    <w:p w14:paraId="588E5F40">
      <w:pPr>
        <w:adjustRightInd w:val="0"/>
        <w:snapToGrid w:val="0"/>
        <w:spacing w:line="336" w:lineRule="auto"/>
        <w:jc w:val="left"/>
        <w:rPr>
          <w:b/>
          <w:color w:val="auto"/>
          <w:sz w:val="24"/>
        </w:rPr>
      </w:pPr>
      <w:r>
        <w:rPr>
          <w:rFonts w:hAnsi="宋体"/>
          <w:b/>
          <w:color w:val="auto"/>
          <w:sz w:val="24"/>
        </w:rPr>
        <w:t>附图：</w:t>
      </w:r>
    </w:p>
    <w:p w14:paraId="4866FA7F">
      <w:pPr>
        <w:spacing w:line="336" w:lineRule="auto"/>
        <w:ind w:firstLine="480" w:firstLineChars="200"/>
        <w:rPr>
          <w:rFonts w:hint="default" w:hAnsi="宋体" w:eastAsia="宋体"/>
          <w:color w:val="auto"/>
          <w:kern w:val="0"/>
          <w:sz w:val="24"/>
          <w:szCs w:val="20"/>
          <w:lang w:val="en-US" w:eastAsia="zh-CN"/>
        </w:rPr>
      </w:pPr>
      <w:r>
        <w:rPr>
          <w:rFonts w:hint="eastAsia" w:hAnsi="宋体"/>
          <w:color w:val="auto"/>
          <w:kern w:val="0"/>
          <w:sz w:val="24"/>
          <w:szCs w:val="20"/>
          <w:lang w:eastAsia="zh-CN"/>
        </w:rPr>
        <w:t>附图</w:t>
      </w:r>
      <w:r>
        <w:rPr>
          <w:rFonts w:hint="eastAsia" w:hAnsi="宋体"/>
          <w:color w:val="auto"/>
          <w:kern w:val="0"/>
          <w:sz w:val="24"/>
          <w:szCs w:val="20"/>
          <w:lang w:val="en-US" w:eastAsia="zh-CN"/>
        </w:rPr>
        <w:t>1 扩建项目地理位置图</w:t>
      </w:r>
    </w:p>
    <w:p w14:paraId="6BBF0322">
      <w:pPr>
        <w:spacing w:line="336" w:lineRule="auto"/>
        <w:ind w:firstLine="480" w:firstLineChars="200"/>
        <w:rPr>
          <w:rFonts w:hint="eastAsia" w:eastAsia="宋体"/>
          <w:color w:val="auto"/>
          <w:kern w:val="0"/>
          <w:sz w:val="24"/>
          <w:szCs w:val="20"/>
          <w:lang w:eastAsia="zh-CN"/>
        </w:rPr>
      </w:pPr>
      <w:r>
        <w:rPr>
          <w:rFonts w:hAnsi="宋体"/>
          <w:color w:val="auto"/>
          <w:kern w:val="0"/>
          <w:sz w:val="24"/>
          <w:szCs w:val="20"/>
        </w:rPr>
        <w:t>附图</w:t>
      </w:r>
      <w:r>
        <w:rPr>
          <w:rFonts w:hint="eastAsia"/>
          <w:color w:val="auto"/>
          <w:kern w:val="0"/>
          <w:sz w:val="24"/>
          <w:szCs w:val="20"/>
          <w:lang w:val="en-US" w:eastAsia="zh-CN"/>
        </w:rPr>
        <w:t>2</w:t>
      </w:r>
      <w:r>
        <w:rPr>
          <w:rFonts w:hint="eastAsia" w:hAnsi="宋体"/>
          <w:color w:val="auto"/>
          <w:kern w:val="0"/>
          <w:sz w:val="24"/>
          <w:szCs w:val="20"/>
          <w:lang w:val="en-US" w:eastAsia="zh-CN"/>
        </w:rPr>
        <w:t>扩建</w:t>
      </w:r>
      <w:r>
        <w:rPr>
          <w:rFonts w:hint="eastAsia" w:hAnsi="宋体"/>
          <w:color w:val="auto"/>
          <w:kern w:val="0"/>
          <w:sz w:val="24"/>
          <w:szCs w:val="20"/>
        </w:rPr>
        <w:t>项目与涟水县经济技术开发区规划关系图</w:t>
      </w:r>
    </w:p>
    <w:p w14:paraId="49632281">
      <w:pPr>
        <w:spacing w:line="336" w:lineRule="auto"/>
        <w:ind w:firstLine="480" w:firstLineChars="200"/>
        <w:rPr>
          <w:rFonts w:hint="eastAsia" w:eastAsia="宋体"/>
          <w:color w:val="auto"/>
          <w:sz w:val="24"/>
          <w:lang w:eastAsia="zh-CN"/>
        </w:rPr>
      </w:pPr>
      <w:r>
        <w:rPr>
          <w:rFonts w:hAnsi="宋体"/>
          <w:color w:val="auto"/>
          <w:sz w:val="24"/>
        </w:rPr>
        <w:t>附图</w:t>
      </w:r>
      <w:r>
        <w:rPr>
          <w:rFonts w:hint="eastAsia"/>
          <w:color w:val="auto"/>
          <w:sz w:val="24"/>
          <w:lang w:val="en-US" w:eastAsia="zh-CN"/>
        </w:rPr>
        <w:t>3</w:t>
      </w:r>
      <w:r>
        <w:rPr>
          <w:rFonts w:hint="eastAsia" w:hAnsi="宋体"/>
          <w:color w:val="auto"/>
          <w:kern w:val="0"/>
          <w:sz w:val="24"/>
          <w:szCs w:val="20"/>
          <w:lang w:val="en-US" w:eastAsia="zh-CN"/>
        </w:rPr>
        <w:t>扩建</w:t>
      </w:r>
      <w:r>
        <w:rPr>
          <w:rFonts w:hint="eastAsia" w:hAnsi="宋体"/>
          <w:color w:val="auto"/>
          <w:sz w:val="24"/>
          <w:lang w:eastAsia="zh-CN"/>
        </w:rPr>
        <w:t>项目与江苏省生态空间保护区域位置关系图</w:t>
      </w:r>
    </w:p>
    <w:p w14:paraId="40E5FCCB">
      <w:pPr>
        <w:spacing w:line="336" w:lineRule="auto"/>
        <w:ind w:firstLine="480" w:firstLineChars="200"/>
        <w:rPr>
          <w:rFonts w:hint="eastAsia" w:eastAsia="宋体"/>
          <w:color w:val="auto"/>
          <w:sz w:val="24"/>
          <w:lang w:eastAsia="zh-CN"/>
        </w:rPr>
      </w:pPr>
      <w:r>
        <w:rPr>
          <w:rFonts w:hAnsi="宋体"/>
          <w:color w:val="auto"/>
          <w:sz w:val="24"/>
        </w:rPr>
        <w:t>附图</w:t>
      </w:r>
      <w:r>
        <w:rPr>
          <w:rFonts w:hint="eastAsia"/>
          <w:color w:val="auto"/>
          <w:sz w:val="24"/>
          <w:lang w:val="en-US" w:eastAsia="zh-CN"/>
        </w:rPr>
        <w:t>4</w:t>
      </w:r>
      <w:r>
        <w:rPr>
          <w:rFonts w:hint="eastAsia" w:hAnsi="宋体"/>
          <w:color w:val="auto"/>
          <w:kern w:val="0"/>
          <w:sz w:val="24"/>
          <w:szCs w:val="20"/>
          <w:lang w:val="en-US" w:eastAsia="zh-CN"/>
        </w:rPr>
        <w:t>扩建</w:t>
      </w:r>
      <w:r>
        <w:rPr>
          <w:rFonts w:hint="eastAsia" w:hAnsi="宋体"/>
          <w:color w:val="auto"/>
          <w:sz w:val="24"/>
          <w:lang w:eastAsia="zh-CN"/>
        </w:rPr>
        <w:t>项目与淮安市环境管控单元位置关系图</w:t>
      </w:r>
    </w:p>
    <w:p w14:paraId="277F3B14">
      <w:pPr>
        <w:spacing w:line="336" w:lineRule="auto"/>
        <w:ind w:firstLine="480" w:firstLineChars="200"/>
        <w:rPr>
          <w:rFonts w:hint="eastAsia" w:hAnsi="宋体"/>
          <w:color w:val="auto"/>
          <w:sz w:val="24"/>
        </w:rPr>
      </w:pPr>
      <w:r>
        <w:rPr>
          <w:rFonts w:hAnsi="宋体"/>
          <w:color w:val="auto"/>
          <w:sz w:val="24"/>
        </w:rPr>
        <w:t>附图</w:t>
      </w:r>
      <w:r>
        <w:rPr>
          <w:color w:val="auto"/>
          <w:sz w:val="24"/>
        </w:rPr>
        <w:t>5</w:t>
      </w:r>
      <w:r>
        <w:rPr>
          <w:rFonts w:hint="eastAsia" w:hAnsi="宋体"/>
          <w:color w:val="auto"/>
          <w:kern w:val="0"/>
          <w:sz w:val="24"/>
          <w:szCs w:val="20"/>
          <w:lang w:val="en-US" w:eastAsia="zh-CN"/>
        </w:rPr>
        <w:t>扩建</w:t>
      </w:r>
      <w:r>
        <w:rPr>
          <w:rFonts w:hint="eastAsia" w:hAnsi="宋体"/>
          <w:color w:val="auto"/>
          <w:sz w:val="24"/>
        </w:rPr>
        <w:t>项目平面布置图</w:t>
      </w:r>
    </w:p>
    <w:p w14:paraId="5BF926FB">
      <w:pPr>
        <w:spacing w:line="336" w:lineRule="auto"/>
        <w:ind w:firstLine="480" w:firstLineChars="200"/>
        <w:rPr>
          <w:rFonts w:hint="eastAsia" w:eastAsia="宋体"/>
          <w:color w:val="auto"/>
          <w:sz w:val="24"/>
          <w:lang w:eastAsia="zh-CN"/>
        </w:rPr>
      </w:pPr>
      <w:r>
        <w:rPr>
          <w:rFonts w:hAnsi="宋体"/>
          <w:color w:val="auto"/>
          <w:sz w:val="24"/>
        </w:rPr>
        <w:t>附图</w:t>
      </w:r>
      <w:r>
        <w:rPr>
          <w:rFonts w:hint="eastAsia"/>
          <w:color w:val="auto"/>
          <w:sz w:val="24"/>
          <w:lang w:val="en-US" w:eastAsia="zh-CN"/>
        </w:rPr>
        <w:t>6</w:t>
      </w:r>
      <w:r>
        <w:rPr>
          <w:rFonts w:hint="eastAsia" w:hAnsi="宋体"/>
          <w:color w:val="auto"/>
          <w:kern w:val="0"/>
          <w:sz w:val="24"/>
          <w:szCs w:val="20"/>
          <w:lang w:val="en-US" w:eastAsia="zh-CN"/>
        </w:rPr>
        <w:t>扩建</w:t>
      </w:r>
      <w:r>
        <w:rPr>
          <w:rFonts w:hint="eastAsia" w:hAnsi="宋体"/>
          <w:color w:val="auto"/>
          <w:sz w:val="24"/>
        </w:rPr>
        <w:t>项目周边概况图</w:t>
      </w:r>
    </w:p>
    <w:p w14:paraId="065EF50A">
      <w:pPr>
        <w:spacing w:line="336" w:lineRule="auto"/>
        <w:ind w:firstLine="480" w:firstLineChars="200"/>
        <w:rPr>
          <w:rFonts w:hint="eastAsia" w:hAnsi="宋体"/>
          <w:color w:val="auto"/>
          <w:sz w:val="24"/>
          <w:lang w:eastAsia="zh-CN"/>
        </w:rPr>
      </w:pPr>
      <w:r>
        <w:rPr>
          <w:rFonts w:hint="eastAsia" w:hAnsi="宋体"/>
          <w:color w:val="auto"/>
          <w:sz w:val="24"/>
          <w:lang w:eastAsia="zh-CN"/>
        </w:rPr>
        <w:t>附图7 厂区分区防渗图</w:t>
      </w:r>
    </w:p>
    <w:p w14:paraId="49E6EABB">
      <w:pPr>
        <w:adjustRightInd w:val="0"/>
        <w:snapToGrid w:val="0"/>
        <w:spacing w:line="336" w:lineRule="auto"/>
        <w:rPr>
          <w:color w:val="auto"/>
          <w:sz w:val="24"/>
        </w:rPr>
      </w:pPr>
    </w:p>
    <w:p w14:paraId="415A344D">
      <w:pPr>
        <w:adjustRightInd w:val="0"/>
        <w:snapToGrid w:val="0"/>
        <w:spacing w:line="336" w:lineRule="auto"/>
        <w:ind w:firstLine="480" w:firstLineChars="200"/>
        <w:rPr>
          <w:color w:val="auto"/>
          <w:sz w:val="24"/>
        </w:rPr>
        <w:sectPr>
          <w:footerReference r:id="rId7"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5D79393A">
      <w:pPr>
        <w:pStyle w:val="25"/>
        <w:bidi w:val="0"/>
        <w:rPr>
          <w:color w:val="auto"/>
        </w:rPr>
      </w:pPr>
    </w:p>
    <w:p w14:paraId="497D5F7E">
      <w:pPr>
        <w:pStyle w:val="29"/>
        <w:spacing w:before="0" w:beforeAutospacing="0" w:after="0" w:afterAutospacing="0"/>
        <w:jc w:val="center"/>
        <w:outlineLvl w:val="0"/>
        <w:rPr>
          <w:rFonts w:ascii="Times New Roman" w:hAnsi="Times New Roman"/>
          <w:b/>
          <w:snapToGrid w:val="0"/>
          <w:color w:val="auto"/>
          <w:sz w:val="30"/>
          <w:szCs w:val="30"/>
        </w:rPr>
      </w:pPr>
      <w:bookmarkStart w:id="4" w:name="_Toc28317"/>
      <w:r>
        <w:rPr>
          <w:rFonts w:ascii="Times New Roman"/>
          <w:b/>
          <w:snapToGrid w:val="0"/>
          <w:color w:val="auto"/>
          <w:sz w:val="30"/>
          <w:szCs w:val="30"/>
        </w:rPr>
        <w:t>一、建设项目基本情况</w:t>
      </w:r>
      <w:bookmarkEnd w:id="4"/>
    </w:p>
    <w:tbl>
      <w:tblPr>
        <w:tblStyle w:val="32"/>
        <w:tblW w:w="88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448"/>
        <w:gridCol w:w="1275"/>
        <w:gridCol w:w="2268"/>
        <w:gridCol w:w="1560"/>
        <w:gridCol w:w="3337"/>
      </w:tblGrid>
      <w:tr w14:paraId="2F6D70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8" w:hRule="atLeast"/>
          <w:jc w:val="center"/>
        </w:trPr>
        <w:tc>
          <w:tcPr>
            <w:tcW w:w="1723" w:type="dxa"/>
            <w:gridSpan w:val="2"/>
            <w:tcMar>
              <w:top w:w="16" w:type="dxa"/>
              <w:left w:w="16" w:type="dxa"/>
              <w:right w:w="16" w:type="dxa"/>
            </w:tcMar>
            <w:vAlign w:val="center"/>
          </w:tcPr>
          <w:p w14:paraId="453C9F72">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建设项目名称</w:t>
            </w:r>
          </w:p>
        </w:tc>
        <w:tc>
          <w:tcPr>
            <w:tcW w:w="7165" w:type="dxa"/>
            <w:gridSpan w:val="3"/>
            <w:vAlign w:val="center"/>
          </w:tcPr>
          <w:p w14:paraId="44F93917">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盖世食品(江苏)有限公司年产7000吨预制水产及肉类智能制造项目</w:t>
            </w:r>
          </w:p>
        </w:tc>
      </w:tr>
      <w:tr w14:paraId="1F620C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02" w:hRule="atLeast"/>
          <w:jc w:val="center"/>
        </w:trPr>
        <w:tc>
          <w:tcPr>
            <w:tcW w:w="1723" w:type="dxa"/>
            <w:gridSpan w:val="2"/>
            <w:tcMar>
              <w:top w:w="16" w:type="dxa"/>
              <w:left w:w="16" w:type="dxa"/>
              <w:right w:w="16" w:type="dxa"/>
            </w:tcMar>
            <w:vAlign w:val="center"/>
          </w:tcPr>
          <w:p w14:paraId="318F9A70">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项目代码</w:t>
            </w:r>
          </w:p>
        </w:tc>
        <w:tc>
          <w:tcPr>
            <w:tcW w:w="7165" w:type="dxa"/>
            <w:gridSpan w:val="3"/>
            <w:vAlign w:val="center"/>
          </w:tcPr>
          <w:p w14:paraId="4B0BF032">
            <w:pPr>
              <w:adjustRightInd w:val="0"/>
              <w:snapToGrid w:val="0"/>
              <w:jc w:val="center"/>
              <w:rPr>
                <w:rFonts w:hint="default" w:ascii="Times New Roman" w:hAnsi="Times New Roman" w:cs="Times New Roman"/>
                <w:color w:val="auto"/>
                <w:sz w:val="24"/>
                <w:lang w:eastAsia="zh-CN"/>
              </w:rPr>
            </w:pPr>
            <w:r>
              <w:rPr>
                <w:rFonts w:hint="default" w:ascii="Times New Roman" w:hAnsi="Times New Roman" w:cs="Times New Roman"/>
                <w:color w:val="auto"/>
                <w:sz w:val="24"/>
                <w:lang w:val="en-US" w:eastAsia="zh-CN"/>
              </w:rPr>
              <w:t>2506-320860-89-02-290857</w:t>
            </w:r>
          </w:p>
        </w:tc>
      </w:tr>
      <w:tr w14:paraId="3604FC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4" w:hRule="atLeast"/>
          <w:jc w:val="center"/>
        </w:trPr>
        <w:tc>
          <w:tcPr>
            <w:tcW w:w="1723" w:type="dxa"/>
            <w:gridSpan w:val="2"/>
            <w:tcMar>
              <w:top w:w="16" w:type="dxa"/>
              <w:left w:w="16" w:type="dxa"/>
              <w:right w:w="16" w:type="dxa"/>
            </w:tcMar>
            <w:vAlign w:val="center"/>
          </w:tcPr>
          <w:p w14:paraId="0BAFD79E">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建设单位联系人</w:t>
            </w:r>
          </w:p>
        </w:tc>
        <w:tc>
          <w:tcPr>
            <w:tcW w:w="2268" w:type="dxa"/>
            <w:vAlign w:val="center"/>
          </w:tcPr>
          <w:p w14:paraId="7240D595">
            <w:pPr>
              <w:adjustRightInd w:val="0"/>
              <w:snapToGrid w:val="0"/>
              <w:jc w:val="center"/>
              <w:rPr>
                <w:rFonts w:hint="eastAsia" w:ascii="Times New Roman" w:hAnsi="Times New Roman" w:eastAsia="宋体" w:cs="Times New Roman"/>
                <w:color w:val="auto"/>
                <w:sz w:val="24"/>
                <w:lang w:val="en-US" w:eastAsia="zh-CN"/>
              </w:rPr>
            </w:pPr>
            <w:r>
              <w:rPr>
                <w:rFonts w:hint="eastAsia" w:ascii="Times New Roman" w:hAnsi="Times New Roman" w:cs="Times New Roman"/>
                <w:color w:val="auto"/>
                <w:sz w:val="24"/>
                <w:lang w:val="en-US" w:eastAsia="zh-CN"/>
              </w:rPr>
              <w:t>曲炳壮</w:t>
            </w:r>
          </w:p>
        </w:tc>
        <w:tc>
          <w:tcPr>
            <w:tcW w:w="1560" w:type="dxa"/>
            <w:vAlign w:val="center"/>
          </w:tcPr>
          <w:p w14:paraId="000B40AB">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b/>
                <w:bCs/>
                <w:color w:val="auto"/>
                <w:sz w:val="24"/>
              </w:rPr>
              <w:t>联系方式</w:t>
            </w:r>
          </w:p>
        </w:tc>
        <w:tc>
          <w:tcPr>
            <w:tcW w:w="3337" w:type="dxa"/>
            <w:vAlign w:val="center"/>
          </w:tcPr>
          <w:p w14:paraId="136B46D6">
            <w:pPr>
              <w:adjustRightInd w:val="0"/>
              <w:snapToGrid w:val="0"/>
              <w:jc w:val="center"/>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13009475785</w:t>
            </w:r>
          </w:p>
        </w:tc>
      </w:tr>
      <w:tr w14:paraId="7BFBA6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738" w:hRule="atLeast"/>
          <w:jc w:val="center"/>
        </w:trPr>
        <w:tc>
          <w:tcPr>
            <w:tcW w:w="1723" w:type="dxa"/>
            <w:gridSpan w:val="2"/>
            <w:tcMar>
              <w:top w:w="16" w:type="dxa"/>
              <w:left w:w="16" w:type="dxa"/>
              <w:right w:w="16" w:type="dxa"/>
            </w:tcMar>
            <w:vAlign w:val="center"/>
          </w:tcPr>
          <w:p w14:paraId="3ACE39DE">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建设地点</w:t>
            </w:r>
          </w:p>
        </w:tc>
        <w:tc>
          <w:tcPr>
            <w:tcW w:w="7165" w:type="dxa"/>
            <w:gridSpan w:val="3"/>
            <w:vAlign w:val="center"/>
          </w:tcPr>
          <w:p w14:paraId="37C10554">
            <w:pPr>
              <w:keepNext w:val="0"/>
              <w:keepLines w:val="0"/>
              <w:widowControl/>
              <w:suppressLineNumbers w:val="0"/>
              <w:jc w:val="left"/>
              <w:rPr>
                <w:rFonts w:hint="default" w:ascii="Times New Roman" w:hAnsi="Times New Roman" w:eastAsia="宋体" w:cs="Times New Roman"/>
                <w:color w:val="auto"/>
                <w:lang w:val="en-US" w:eastAsia="zh-CN"/>
              </w:rPr>
            </w:pPr>
            <w:r>
              <w:rPr>
                <w:rFonts w:hint="default" w:ascii="Times New Roman" w:hAnsi="Times New Roman" w:cs="Times New Roman"/>
                <w:color w:val="auto"/>
                <w:sz w:val="24"/>
                <w:u w:val="single"/>
              </w:rPr>
              <w:t>江苏省</w:t>
            </w:r>
            <w:r>
              <w:rPr>
                <w:rFonts w:hint="default" w:ascii="Times New Roman" w:hAnsi="Times New Roman" w:cs="Times New Roman"/>
                <w:color w:val="auto"/>
                <w:sz w:val="24"/>
              </w:rPr>
              <w:t>（自治区）</w:t>
            </w:r>
            <w:r>
              <w:rPr>
                <w:rFonts w:hint="eastAsia" w:cs="Times New Roman"/>
                <w:color w:val="auto"/>
                <w:sz w:val="24"/>
                <w:u w:val="single"/>
                <w:lang w:eastAsia="zh-CN"/>
              </w:rPr>
              <w:t>淮安</w:t>
            </w:r>
            <w:r>
              <w:rPr>
                <w:rFonts w:hint="eastAsia" w:cs="Times New Roman"/>
                <w:color w:val="auto"/>
                <w:sz w:val="24"/>
                <w:lang w:eastAsia="zh-CN"/>
              </w:rPr>
              <w:t>市</w:t>
            </w:r>
            <w:r>
              <w:rPr>
                <w:rFonts w:hint="default" w:ascii="Times New Roman" w:hAnsi="Times New Roman" w:cs="Times New Roman"/>
                <w:color w:val="auto"/>
                <w:sz w:val="24"/>
                <w:u w:val="single"/>
              </w:rPr>
              <w:t>涟水县</w:t>
            </w:r>
            <w:r>
              <w:rPr>
                <w:rFonts w:hint="default" w:ascii="Times New Roman" w:hAnsi="Times New Roman" w:cs="Times New Roman"/>
                <w:color w:val="auto"/>
                <w:sz w:val="24"/>
              </w:rPr>
              <w:t>（区）</w:t>
            </w:r>
            <w:r>
              <w:rPr>
                <w:rFonts w:hint="default" w:ascii="Times New Roman" w:hAnsi="Times New Roman" w:cs="Times New Roman"/>
                <w:color w:val="auto"/>
                <w:sz w:val="24"/>
                <w:u w:val="single"/>
              </w:rPr>
              <w:t>/</w:t>
            </w:r>
            <w:r>
              <w:rPr>
                <w:rFonts w:hint="default" w:ascii="Times New Roman" w:hAnsi="Times New Roman" w:cs="Times New Roman"/>
                <w:color w:val="auto"/>
                <w:sz w:val="24"/>
              </w:rPr>
              <w:t>（街道</w:t>
            </w:r>
            <w:r>
              <w:rPr>
                <w:rFonts w:hint="default" w:cs="Times New Roman"/>
                <w:color w:val="auto"/>
                <w:sz w:val="24"/>
                <w:u w:val="single"/>
                <w:lang w:eastAsia="zh-CN"/>
              </w:rPr>
              <w:t>）</w:t>
            </w:r>
            <w:r>
              <w:rPr>
                <w:rFonts w:hint="eastAsia" w:cs="Times New Roman"/>
                <w:color w:val="auto"/>
                <w:sz w:val="24"/>
                <w:u w:val="single"/>
                <w:lang w:val="en-US" w:eastAsia="zh-CN"/>
              </w:rPr>
              <w:t>江苏涟水经济开发区涟水路3号</w:t>
            </w:r>
          </w:p>
        </w:tc>
      </w:tr>
      <w:tr w14:paraId="33217D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07" w:hRule="atLeast"/>
          <w:jc w:val="center"/>
        </w:trPr>
        <w:tc>
          <w:tcPr>
            <w:tcW w:w="1723" w:type="dxa"/>
            <w:gridSpan w:val="2"/>
            <w:tcMar>
              <w:top w:w="16" w:type="dxa"/>
              <w:left w:w="16" w:type="dxa"/>
              <w:right w:w="16" w:type="dxa"/>
            </w:tcMar>
            <w:vAlign w:val="center"/>
          </w:tcPr>
          <w:p w14:paraId="4CB5AF11">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地理坐标</w:t>
            </w:r>
          </w:p>
        </w:tc>
        <w:tc>
          <w:tcPr>
            <w:tcW w:w="7165" w:type="dxa"/>
            <w:gridSpan w:val="3"/>
            <w:vAlign w:val="center"/>
          </w:tcPr>
          <w:p w14:paraId="0E692BD2">
            <w:pPr>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sz w:val="24"/>
              </w:rPr>
              <w:t>（</w:t>
            </w:r>
            <w:r>
              <w:rPr>
                <w:rFonts w:hint="default" w:ascii="Times New Roman" w:hAnsi="Times New Roman" w:cs="Times New Roman"/>
                <w:color w:val="auto"/>
                <w:sz w:val="24"/>
                <w:u w:val="single"/>
              </w:rPr>
              <w:t>119</w:t>
            </w:r>
            <w:r>
              <w:rPr>
                <w:rFonts w:hint="default" w:ascii="Times New Roman" w:hAnsi="Times New Roman" w:cs="Times New Roman"/>
                <w:color w:val="auto"/>
                <w:sz w:val="24"/>
              </w:rPr>
              <w:t>度</w:t>
            </w:r>
            <w:r>
              <w:rPr>
                <w:rFonts w:hint="eastAsia" w:cs="Times New Roman"/>
                <w:color w:val="auto"/>
                <w:sz w:val="24"/>
                <w:u w:val="single"/>
                <w:lang w:val="en-US" w:eastAsia="zh-CN"/>
              </w:rPr>
              <w:t>12</w:t>
            </w:r>
            <w:r>
              <w:rPr>
                <w:rFonts w:hint="default" w:ascii="Times New Roman" w:hAnsi="Times New Roman" w:cs="Times New Roman"/>
                <w:color w:val="auto"/>
                <w:sz w:val="24"/>
              </w:rPr>
              <w:t>分</w:t>
            </w:r>
            <w:r>
              <w:rPr>
                <w:rFonts w:hint="eastAsia" w:cs="Times New Roman"/>
                <w:color w:val="auto"/>
                <w:sz w:val="24"/>
                <w:u w:val="single"/>
                <w:lang w:val="en-US" w:eastAsia="zh-CN"/>
              </w:rPr>
              <w:t>56.031</w:t>
            </w:r>
            <w:r>
              <w:rPr>
                <w:rFonts w:hint="default" w:ascii="Times New Roman" w:hAnsi="Times New Roman" w:cs="Times New Roman"/>
                <w:color w:val="auto"/>
                <w:sz w:val="24"/>
              </w:rPr>
              <w:t>秒，</w:t>
            </w:r>
            <w:r>
              <w:rPr>
                <w:rFonts w:hint="default" w:ascii="Times New Roman" w:hAnsi="Times New Roman" w:cs="Times New Roman"/>
                <w:color w:val="auto"/>
                <w:sz w:val="24"/>
                <w:u w:val="single"/>
              </w:rPr>
              <w:t>33</w:t>
            </w:r>
            <w:r>
              <w:rPr>
                <w:rFonts w:hint="default" w:ascii="Times New Roman" w:hAnsi="Times New Roman" w:cs="Times New Roman"/>
                <w:color w:val="auto"/>
                <w:sz w:val="24"/>
              </w:rPr>
              <w:t>度</w:t>
            </w:r>
            <w:r>
              <w:rPr>
                <w:rFonts w:hint="default" w:ascii="Times New Roman" w:hAnsi="Times New Roman" w:cs="Times New Roman"/>
                <w:color w:val="auto"/>
                <w:sz w:val="24"/>
                <w:u w:val="single"/>
              </w:rPr>
              <w:t>4</w:t>
            </w:r>
            <w:r>
              <w:rPr>
                <w:rFonts w:hint="eastAsia" w:cs="Times New Roman"/>
                <w:color w:val="auto"/>
                <w:sz w:val="24"/>
                <w:u w:val="single"/>
                <w:lang w:val="en-US" w:eastAsia="zh-CN"/>
              </w:rPr>
              <w:t>7</w:t>
            </w:r>
            <w:r>
              <w:rPr>
                <w:rFonts w:hint="default" w:ascii="Times New Roman" w:hAnsi="Times New Roman" w:cs="Times New Roman"/>
                <w:color w:val="auto"/>
                <w:sz w:val="24"/>
              </w:rPr>
              <w:t>分</w:t>
            </w:r>
            <w:r>
              <w:rPr>
                <w:rFonts w:hint="eastAsia" w:cs="Times New Roman"/>
                <w:color w:val="auto"/>
                <w:sz w:val="24"/>
                <w:u w:val="single"/>
                <w:lang w:val="en-US" w:eastAsia="zh-CN"/>
              </w:rPr>
              <w:t>0.857</w:t>
            </w:r>
            <w:r>
              <w:rPr>
                <w:rFonts w:hint="default" w:ascii="Times New Roman" w:hAnsi="Times New Roman" w:cs="Times New Roman"/>
                <w:color w:val="auto"/>
                <w:sz w:val="24"/>
              </w:rPr>
              <w:t>秒）</w:t>
            </w:r>
          </w:p>
        </w:tc>
      </w:tr>
      <w:tr w14:paraId="6FAE3F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094" w:hRule="atLeast"/>
          <w:jc w:val="center"/>
        </w:trPr>
        <w:tc>
          <w:tcPr>
            <w:tcW w:w="1723" w:type="dxa"/>
            <w:gridSpan w:val="2"/>
            <w:tcMar>
              <w:top w:w="16" w:type="dxa"/>
              <w:left w:w="16" w:type="dxa"/>
              <w:right w:w="16" w:type="dxa"/>
            </w:tcMar>
            <w:vAlign w:val="center"/>
          </w:tcPr>
          <w:p w14:paraId="17F2B686">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国民经济</w:t>
            </w:r>
          </w:p>
          <w:p w14:paraId="6CFE4030">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行业类别</w:t>
            </w:r>
          </w:p>
        </w:tc>
        <w:tc>
          <w:tcPr>
            <w:tcW w:w="2268" w:type="dxa"/>
            <w:vAlign w:val="center"/>
          </w:tcPr>
          <w:p w14:paraId="0F3D9B02">
            <w:pPr>
              <w:tabs>
                <w:tab w:val="left" w:pos="1800"/>
              </w:tabs>
              <w:adjustRightInd w:val="0"/>
              <w:snapToGrid w:val="0"/>
              <w:jc w:val="center"/>
              <w:rPr>
                <w:rFonts w:hint="default" w:ascii="Times New Roman" w:hAnsi="Times New Roman" w:cs="Times New Roman"/>
                <w:color w:val="auto"/>
                <w:sz w:val="24"/>
              </w:rPr>
            </w:pPr>
            <w:r>
              <w:rPr>
                <w:color w:val="auto"/>
                <w:sz w:val="24"/>
              </w:rPr>
              <w:t>C1439</w:t>
            </w:r>
            <w:r>
              <w:rPr>
                <w:rFonts w:hint="eastAsia"/>
                <w:color w:val="auto"/>
                <w:sz w:val="24"/>
              </w:rPr>
              <w:t>其他方便食品制造</w:t>
            </w:r>
          </w:p>
        </w:tc>
        <w:tc>
          <w:tcPr>
            <w:tcW w:w="1560" w:type="dxa"/>
            <w:vAlign w:val="center"/>
          </w:tcPr>
          <w:p w14:paraId="39B4A418">
            <w:pPr>
              <w:adjustRightInd w:val="0"/>
              <w:snapToGrid w:val="0"/>
              <w:jc w:val="center"/>
              <w:rPr>
                <w:rFonts w:hint="default" w:ascii="Times New Roman" w:hAnsi="Times New Roman" w:cs="Times New Roman"/>
                <w:b/>
                <w:bCs/>
                <w:color w:val="auto"/>
                <w:sz w:val="24"/>
              </w:rPr>
            </w:pPr>
            <w:bookmarkStart w:id="5" w:name="_Hlk49843745"/>
            <w:r>
              <w:rPr>
                <w:rFonts w:hint="default" w:ascii="Times New Roman" w:hAnsi="Times New Roman" w:cs="Times New Roman"/>
                <w:b/>
                <w:bCs/>
                <w:color w:val="auto"/>
                <w:sz w:val="24"/>
              </w:rPr>
              <w:t>建设项目</w:t>
            </w:r>
          </w:p>
          <w:p w14:paraId="3508E928">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行业类别</w:t>
            </w:r>
            <w:bookmarkEnd w:id="5"/>
          </w:p>
        </w:tc>
        <w:tc>
          <w:tcPr>
            <w:tcW w:w="3337" w:type="dxa"/>
            <w:vAlign w:val="center"/>
          </w:tcPr>
          <w:p w14:paraId="4F7A1EDA">
            <w:pPr>
              <w:adjustRightInd w:val="0"/>
              <w:snapToGrid w:val="0"/>
              <w:jc w:val="left"/>
              <w:rPr>
                <w:rFonts w:hint="default" w:ascii="Times New Roman" w:hAnsi="Times New Roman" w:cs="Times New Roman"/>
                <w:color w:val="auto"/>
                <w:sz w:val="24"/>
              </w:rPr>
            </w:pPr>
            <w:r>
              <w:rPr>
                <w:rFonts w:hint="eastAsia" w:ascii="Times New Roman" w:hAnsi="Times New Roman" w:cs="Times New Roman"/>
                <w:color w:val="auto"/>
                <w:sz w:val="24"/>
                <w:lang w:val="en-US" w:eastAsia="zh-CN"/>
              </w:rPr>
              <w:t>十一、食品制造业</w:t>
            </w:r>
            <w:r>
              <w:rPr>
                <w:rFonts w:hint="default" w:ascii="Times New Roman" w:hAnsi="Times New Roman" w:cs="Times New Roman"/>
                <w:color w:val="auto"/>
                <w:sz w:val="24"/>
              </w:rPr>
              <w:t>21</w:t>
            </w:r>
            <w:r>
              <w:rPr>
                <w:rFonts w:hint="eastAsia" w:ascii="Times New Roman" w:hAnsi="Times New Roman" w:cs="Times New Roman"/>
                <w:color w:val="auto"/>
                <w:sz w:val="24"/>
              </w:rPr>
              <w:t>方便食品制造</w:t>
            </w:r>
            <w:r>
              <w:rPr>
                <w:rFonts w:hint="default" w:ascii="Times New Roman" w:hAnsi="Times New Roman" w:cs="Times New Roman"/>
                <w:color w:val="auto"/>
                <w:sz w:val="24"/>
              </w:rPr>
              <w:t>143</w:t>
            </w:r>
          </w:p>
        </w:tc>
      </w:tr>
      <w:tr w14:paraId="3E40E9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420" w:hRule="atLeast"/>
          <w:jc w:val="center"/>
        </w:trPr>
        <w:tc>
          <w:tcPr>
            <w:tcW w:w="1723" w:type="dxa"/>
            <w:gridSpan w:val="2"/>
            <w:tcMar>
              <w:top w:w="16" w:type="dxa"/>
              <w:left w:w="16" w:type="dxa"/>
              <w:right w:w="16" w:type="dxa"/>
            </w:tcMar>
            <w:vAlign w:val="center"/>
          </w:tcPr>
          <w:p w14:paraId="3D0842FF">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建设性质</w:t>
            </w:r>
          </w:p>
        </w:tc>
        <w:tc>
          <w:tcPr>
            <w:tcW w:w="2268" w:type="dxa"/>
            <w:vAlign w:val="center"/>
          </w:tcPr>
          <w:p w14:paraId="02A869F6">
            <w:pPr>
              <w:adjustRightInd w:val="0"/>
              <w:snapToGrid w:val="0"/>
              <w:jc w:val="left"/>
              <w:rPr>
                <w:rFonts w:hint="default" w:ascii="Times New Roman" w:hAnsi="Times New Roman" w:cs="Times New Roman"/>
                <w:color w:val="auto"/>
                <w:sz w:val="24"/>
              </w:rPr>
            </w:pPr>
            <w:r>
              <w:rPr>
                <w:rFonts w:hint="default" w:ascii="Times New Roman" w:hAnsi="Times New Roman" w:cs="Times New Roman"/>
                <w:color w:val="auto"/>
                <w:sz w:val="24"/>
              </w:rPr>
              <w:sym w:font="Wingdings 2" w:char="00A3"/>
            </w:r>
            <w:r>
              <w:rPr>
                <w:rFonts w:hint="default" w:ascii="Times New Roman" w:hAnsi="Times New Roman" w:cs="Times New Roman"/>
                <w:color w:val="auto"/>
                <w:sz w:val="24"/>
              </w:rPr>
              <w:t>新建（迁建）</w:t>
            </w:r>
          </w:p>
          <w:p w14:paraId="64D2ACE1">
            <w:pPr>
              <w:adjustRightInd w:val="0"/>
              <w:snapToGrid w:val="0"/>
              <w:jc w:val="left"/>
              <w:rPr>
                <w:rFonts w:hint="default" w:ascii="Times New Roman" w:hAnsi="Times New Roman" w:cs="Times New Roman"/>
                <w:color w:val="auto"/>
                <w:sz w:val="24"/>
              </w:rPr>
            </w:pPr>
            <w:r>
              <w:rPr>
                <w:rFonts w:hint="default" w:ascii="Times New Roman" w:hAnsi="Times New Roman" w:cs="Times New Roman"/>
                <w:color w:val="auto"/>
                <w:sz w:val="24"/>
              </w:rPr>
              <w:sym w:font="Wingdings 2" w:char="00A3"/>
            </w:r>
            <w:r>
              <w:rPr>
                <w:rFonts w:hint="default" w:ascii="Times New Roman" w:hAnsi="Times New Roman" w:cs="Times New Roman"/>
                <w:color w:val="auto"/>
                <w:sz w:val="24"/>
              </w:rPr>
              <w:t>改建</w:t>
            </w:r>
          </w:p>
          <w:p w14:paraId="65B85278">
            <w:pPr>
              <w:adjustRightInd w:val="0"/>
              <w:snapToGrid w:val="0"/>
              <w:jc w:val="left"/>
              <w:rPr>
                <w:rFonts w:hint="default" w:ascii="Times New Roman" w:hAnsi="Times New Roman" w:cs="Times New Roman"/>
                <w:color w:val="auto"/>
                <w:sz w:val="24"/>
              </w:rPr>
            </w:pPr>
            <w:r>
              <w:rPr>
                <w:rFonts w:hint="eastAsia" w:cs="Times New Roman"/>
                <w:color w:val="auto"/>
                <w:sz w:val="24"/>
                <w:lang w:eastAsia="zh-CN"/>
              </w:rPr>
              <w:t>☑</w:t>
            </w:r>
            <w:r>
              <w:rPr>
                <w:rFonts w:hint="default" w:ascii="Times New Roman" w:hAnsi="Times New Roman" w:cs="Times New Roman"/>
                <w:color w:val="auto"/>
                <w:sz w:val="24"/>
              </w:rPr>
              <w:t>扩建</w:t>
            </w:r>
          </w:p>
          <w:p w14:paraId="0C6077CF">
            <w:pPr>
              <w:adjustRightInd w:val="0"/>
              <w:snapToGrid w:val="0"/>
              <w:jc w:val="left"/>
              <w:rPr>
                <w:rFonts w:hint="default" w:ascii="Times New Roman" w:hAnsi="Times New Roman" w:cs="Times New Roman"/>
                <w:color w:val="auto"/>
                <w:sz w:val="24"/>
              </w:rPr>
            </w:pPr>
            <w:r>
              <w:rPr>
                <w:rFonts w:hint="default" w:ascii="Times New Roman" w:hAnsi="Times New Roman" w:cs="Times New Roman"/>
                <w:color w:val="auto"/>
                <w:sz w:val="24"/>
              </w:rPr>
              <w:sym w:font="Wingdings 2" w:char="00A3"/>
            </w:r>
            <w:r>
              <w:rPr>
                <w:rFonts w:hint="default" w:ascii="Times New Roman" w:hAnsi="Times New Roman" w:cs="Times New Roman"/>
                <w:color w:val="auto"/>
                <w:sz w:val="24"/>
              </w:rPr>
              <w:t>技术改造</w:t>
            </w:r>
          </w:p>
        </w:tc>
        <w:tc>
          <w:tcPr>
            <w:tcW w:w="1560" w:type="dxa"/>
            <w:vAlign w:val="center"/>
          </w:tcPr>
          <w:p w14:paraId="18ECC02C">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建设项目</w:t>
            </w:r>
          </w:p>
          <w:p w14:paraId="58AEE3CE">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申报情形</w:t>
            </w:r>
          </w:p>
        </w:tc>
        <w:tc>
          <w:tcPr>
            <w:tcW w:w="3337" w:type="dxa"/>
            <w:vAlign w:val="center"/>
          </w:tcPr>
          <w:p w14:paraId="027E6CBB">
            <w:pPr>
              <w:adjustRightInd w:val="0"/>
              <w:snapToGrid w:val="0"/>
              <w:jc w:val="left"/>
              <w:rPr>
                <w:rFonts w:hint="default" w:ascii="Times New Roman" w:hAnsi="Times New Roman" w:cs="Times New Roman"/>
                <w:color w:val="auto"/>
                <w:sz w:val="24"/>
              </w:rPr>
            </w:pPr>
            <w:r>
              <w:rPr>
                <w:rFonts w:hint="default" w:ascii="Times New Roman" w:hAnsi="Times New Roman" w:cs="Times New Roman"/>
                <w:color w:val="auto"/>
                <w:sz w:val="24"/>
              </w:rPr>
              <w:t>☑首次申报项目</w:t>
            </w:r>
          </w:p>
          <w:p w14:paraId="55C022F7">
            <w:pPr>
              <w:adjustRightInd w:val="0"/>
              <w:snapToGrid w:val="0"/>
              <w:jc w:val="left"/>
              <w:rPr>
                <w:rFonts w:hint="default" w:ascii="Times New Roman" w:hAnsi="Times New Roman" w:cs="Times New Roman"/>
                <w:color w:val="auto"/>
                <w:sz w:val="24"/>
              </w:rPr>
            </w:pPr>
            <w:r>
              <w:rPr>
                <w:rFonts w:hint="default" w:ascii="Times New Roman" w:hAnsi="Times New Roman" w:cs="Times New Roman"/>
                <w:color w:val="auto"/>
                <w:sz w:val="24"/>
              </w:rPr>
              <w:sym w:font="Wingdings 2" w:char="00A3"/>
            </w:r>
            <w:r>
              <w:rPr>
                <w:rFonts w:hint="default" w:ascii="Times New Roman" w:hAnsi="Times New Roman" w:cs="Times New Roman"/>
                <w:color w:val="auto"/>
                <w:sz w:val="24"/>
              </w:rPr>
              <w:t>不予批准后再次申报项目</w:t>
            </w:r>
          </w:p>
          <w:p w14:paraId="724236B9">
            <w:pPr>
              <w:adjustRightInd w:val="0"/>
              <w:snapToGrid w:val="0"/>
              <w:jc w:val="left"/>
              <w:rPr>
                <w:rFonts w:hint="default" w:ascii="Times New Roman" w:hAnsi="Times New Roman" w:cs="Times New Roman"/>
                <w:color w:val="auto"/>
                <w:sz w:val="24"/>
              </w:rPr>
            </w:pPr>
            <w:r>
              <w:rPr>
                <w:rFonts w:hint="default" w:ascii="Times New Roman" w:hAnsi="Times New Roman" w:cs="Times New Roman"/>
                <w:color w:val="auto"/>
                <w:sz w:val="24"/>
              </w:rPr>
              <w:sym w:font="Wingdings 2" w:char="00A3"/>
            </w:r>
            <w:r>
              <w:rPr>
                <w:rFonts w:hint="default" w:ascii="Times New Roman" w:hAnsi="Times New Roman" w:cs="Times New Roman"/>
                <w:color w:val="auto"/>
                <w:sz w:val="24"/>
              </w:rPr>
              <w:t>超五年重新审核项目</w:t>
            </w:r>
          </w:p>
          <w:p w14:paraId="538A6262">
            <w:pPr>
              <w:adjustRightInd w:val="0"/>
              <w:snapToGrid w:val="0"/>
              <w:jc w:val="left"/>
              <w:rPr>
                <w:rFonts w:hint="default" w:ascii="Times New Roman" w:hAnsi="Times New Roman" w:cs="Times New Roman"/>
                <w:color w:val="auto"/>
                <w:sz w:val="24"/>
              </w:rPr>
            </w:pPr>
            <w:r>
              <w:rPr>
                <w:rFonts w:hint="default" w:ascii="Times New Roman" w:hAnsi="Times New Roman" w:cs="Times New Roman"/>
                <w:color w:val="auto"/>
                <w:sz w:val="24"/>
              </w:rPr>
              <w:sym w:font="Wingdings 2" w:char="00A3"/>
            </w:r>
            <w:r>
              <w:rPr>
                <w:rFonts w:hint="default" w:ascii="Times New Roman" w:hAnsi="Times New Roman" w:cs="Times New Roman"/>
                <w:color w:val="auto"/>
                <w:sz w:val="24"/>
              </w:rPr>
              <w:t>重大变动重新报批项目</w:t>
            </w:r>
          </w:p>
        </w:tc>
      </w:tr>
      <w:tr w14:paraId="70F50B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723" w:type="dxa"/>
            <w:gridSpan w:val="2"/>
            <w:tcMar>
              <w:top w:w="16" w:type="dxa"/>
              <w:left w:w="16" w:type="dxa"/>
              <w:right w:w="16" w:type="dxa"/>
            </w:tcMar>
            <w:vAlign w:val="center"/>
          </w:tcPr>
          <w:p w14:paraId="7BA3078F">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项目审批（核准/备案）部门</w:t>
            </w:r>
          </w:p>
          <w:p w14:paraId="43AE163F">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（选填）</w:t>
            </w:r>
          </w:p>
        </w:tc>
        <w:tc>
          <w:tcPr>
            <w:tcW w:w="2268" w:type="dxa"/>
            <w:vAlign w:val="center"/>
          </w:tcPr>
          <w:p w14:paraId="5E95B82F">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江苏涟水经济开发区管理委员会</w:t>
            </w:r>
          </w:p>
        </w:tc>
        <w:tc>
          <w:tcPr>
            <w:tcW w:w="1560" w:type="dxa"/>
            <w:vAlign w:val="center"/>
          </w:tcPr>
          <w:p w14:paraId="5D24639D">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项目审批（核准/备案）文号</w:t>
            </w:r>
          </w:p>
          <w:p w14:paraId="30DD6329">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（选填）</w:t>
            </w:r>
          </w:p>
        </w:tc>
        <w:tc>
          <w:tcPr>
            <w:tcW w:w="3337" w:type="dxa"/>
            <w:vAlign w:val="center"/>
          </w:tcPr>
          <w:p w14:paraId="19FE3442">
            <w:pPr>
              <w:adjustRightInd w:val="0"/>
              <w:snapToGrid w:val="0"/>
              <w:jc w:val="center"/>
              <w:rPr>
                <w:rFonts w:hint="eastAsia" w:ascii="Times New Roman" w:hAnsi="Times New Roman" w:eastAsia="宋体" w:cs="Times New Roman"/>
                <w:color w:val="auto"/>
                <w:sz w:val="24"/>
                <w:lang w:eastAsia="zh-CN"/>
              </w:rPr>
            </w:pPr>
            <w:r>
              <w:rPr>
                <w:rFonts w:hint="default" w:ascii="Times New Roman" w:hAnsi="Times New Roman" w:cs="Times New Roman"/>
                <w:color w:val="auto"/>
                <w:sz w:val="24"/>
                <w:lang w:val="en-US" w:eastAsia="zh-CN"/>
              </w:rPr>
              <w:t>涟区开发备〔2025〕</w:t>
            </w:r>
            <w:r>
              <w:rPr>
                <w:rFonts w:hint="eastAsia" w:cs="Times New Roman"/>
                <w:color w:val="auto"/>
                <w:sz w:val="24"/>
                <w:lang w:val="en-US" w:eastAsia="zh-CN"/>
              </w:rPr>
              <w:t>91</w:t>
            </w:r>
            <w:r>
              <w:rPr>
                <w:rFonts w:hint="default" w:ascii="Times New Roman" w:hAnsi="Times New Roman" w:cs="Times New Roman"/>
                <w:color w:val="auto"/>
                <w:sz w:val="24"/>
                <w:lang w:val="en-US" w:eastAsia="zh-CN"/>
              </w:rPr>
              <w:t>号</w:t>
            </w:r>
          </w:p>
        </w:tc>
      </w:tr>
      <w:tr w14:paraId="4F66DF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723" w:type="dxa"/>
            <w:gridSpan w:val="2"/>
            <w:tcMar>
              <w:top w:w="16" w:type="dxa"/>
              <w:left w:w="16" w:type="dxa"/>
              <w:right w:w="16" w:type="dxa"/>
            </w:tcMar>
            <w:vAlign w:val="center"/>
          </w:tcPr>
          <w:p w14:paraId="4A1FB573">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总投资</w:t>
            </w:r>
          </w:p>
          <w:p w14:paraId="305D7E14">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（万元）</w:t>
            </w:r>
          </w:p>
        </w:tc>
        <w:tc>
          <w:tcPr>
            <w:tcW w:w="2268" w:type="dxa"/>
            <w:vAlign w:val="center"/>
          </w:tcPr>
          <w:p w14:paraId="482A5E39">
            <w:pPr>
              <w:adjustRightInd w:val="0"/>
              <w:snapToGrid w:val="0"/>
              <w:jc w:val="center"/>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20000</w:t>
            </w:r>
          </w:p>
        </w:tc>
        <w:tc>
          <w:tcPr>
            <w:tcW w:w="1560" w:type="dxa"/>
            <w:tcMar>
              <w:top w:w="16" w:type="dxa"/>
              <w:left w:w="16" w:type="dxa"/>
              <w:right w:w="16" w:type="dxa"/>
            </w:tcMar>
            <w:vAlign w:val="center"/>
          </w:tcPr>
          <w:p w14:paraId="7940FCE8">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环保投资</w:t>
            </w:r>
          </w:p>
          <w:p w14:paraId="297A0271">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（万元）</w:t>
            </w:r>
          </w:p>
        </w:tc>
        <w:tc>
          <w:tcPr>
            <w:tcW w:w="3337" w:type="dxa"/>
            <w:vAlign w:val="center"/>
          </w:tcPr>
          <w:p w14:paraId="09A5E77E">
            <w:pPr>
              <w:adjustRightInd w:val="0"/>
              <w:snapToGrid w:val="0"/>
              <w:jc w:val="center"/>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200</w:t>
            </w:r>
          </w:p>
        </w:tc>
      </w:tr>
      <w:tr w14:paraId="0FEDA7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723" w:type="dxa"/>
            <w:gridSpan w:val="2"/>
            <w:tcMar>
              <w:top w:w="16" w:type="dxa"/>
              <w:left w:w="16" w:type="dxa"/>
              <w:right w:w="16" w:type="dxa"/>
            </w:tcMar>
            <w:vAlign w:val="center"/>
          </w:tcPr>
          <w:p w14:paraId="7EE4D1C2">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环保投资占比（%）</w:t>
            </w:r>
          </w:p>
        </w:tc>
        <w:tc>
          <w:tcPr>
            <w:tcW w:w="2268" w:type="dxa"/>
            <w:vAlign w:val="center"/>
          </w:tcPr>
          <w:p w14:paraId="042818AD">
            <w:pPr>
              <w:adjustRightInd w:val="0"/>
              <w:snapToGrid w:val="0"/>
              <w:jc w:val="center"/>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1%</w:t>
            </w:r>
          </w:p>
        </w:tc>
        <w:tc>
          <w:tcPr>
            <w:tcW w:w="1560" w:type="dxa"/>
            <w:tcMar>
              <w:top w:w="16" w:type="dxa"/>
              <w:left w:w="16" w:type="dxa"/>
              <w:right w:w="16" w:type="dxa"/>
            </w:tcMar>
            <w:vAlign w:val="center"/>
          </w:tcPr>
          <w:p w14:paraId="0430CC06">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施工工期</w:t>
            </w:r>
          </w:p>
        </w:tc>
        <w:tc>
          <w:tcPr>
            <w:tcW w:w="3337" w:type="dxa"/>
            <w:vAlign w:val="center"/>
          </w:tcPr>
          <w:p w14:paraId="231C5436">
            <w:pPr>
              <w:adjustRightInd w:val="0"/>
              <w:snapToGrid w:val="0"/>
              <w:jc w:val="center"/>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12</w:t>
            </w:r>
            <w:r>
              <w:rPr>
                <w:rFonts w:hint="default" w:ascii="Times New Roman" w:hAnsi="Times New Roman" w:cs="Times New Roman"/>
                <w:color w:val="auto"/>
                <w:sz w:val="24"/>
              </w:rPr>
              <w:t>个月</w:t>
            </w:r>
          </w:p>
        </w:tc>
      </w:tr>
      <w:tr w14:paraId="41ABF3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723" w:type="dxa"/>
            <w:gridSpan w:val="2"/>
            <w:tcMar>
              <w:top w:w="16" w:type="dxa"/>
              <w:left w:w="16" w:type="dxa"/>
              <w:right w:w="16" w:type="dxa"/>
            </w:tcMar>
            <w:vAlign w:val="center"/>
          </w:tcPr>
          <w:p w14:paraId="22AE87CD">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是否开工建设</w:t>
            </w:r>
          </w:p>
        </w:tc>
        <w:tc>
          <w:tcPr>
            <w:tcW w:w="2268" w:type="dxa"/>
            <w:vAlign w:val="center"/>
          </w:tcPr>
          <w:p w14:paraId="55DD227A">
            <w:pPr>
              <w:adjustRightInd w:val="0"/>
              <w:snapToGrid w:val="0"/>
              <w:rPr>
                <w:rFonts w:hint="default" w:ascii="Times New Roman" w:hAnsi="Times New Roman" w:cs="Times New Roman"/>
                <w:color w:val="auto"/>
                <w:sz w:val="24"/>
              </w:rPr>
            </w:pPr>
            <w:r>
              <w:rPr>
                <w:rFonts w:hint="default" w:ascii="Times New Roman" w:hAnsi="Times New Roman" w:cs="Times New Roman"/>
                <w:color w:val="auto"/>
                <w:sz w:val="24"/>
              </w:rPr>
              <w:t>☑否</w:t>
            </w:r>
          </w:p>
          <w:p w14:paraId="383568CB">
            <w:pPr>
              <w:adjustRightInd w:val="0"/>
              <w:snapToGrid w:val="0"/>
              <w:jc w:val="left"/>
              <w:rPr>
                <w:rFonts w:hint="default" w:ascii="Times New Roman" w:hAnsi="Times New Roman" w:cs="Times New Roman"/>
                <w:color w:val="auto"/>
                <w:sz w:val="24"/>
              </w:rPr>
            </w:pPr>
            <w:r>
              <w:rPr>
                <w:rFonts w:hint="default" w:ascii="Times New Roman" w:hAnsi="Times New Roman" w:cs="Times New Roman"/>
                <w:color w:val="auto"/>
                <w:sz w:val="24"/>
              </w:rPr>
              <w:sym w:font="Wingdings 2" w:char="00A3"/>
            </w:r>
            <w:r>
              <w:rPr>
                <w:rFonts w:hint="default" w:ascii="Times New Roman" w:hAnsi="Times New Roman" w:cs="Times New Roman"/>
                <w:color w:val="auto"/>
                <w:sz w:val="24"/>
              </w:rPr>
              <w:t>是：</w:t>
            </w:r>
          </w:p>
        </w:tc>
        <w:tc>
          <w:tcPr>
            <w:tcW w:w="1560" w:type="dxa"/>
            <w:tcMar>
              <w:top w:w="16" w:type="dxa"/>
              <w:left w:w="16" w:type="dxa"/>
              <w:right w:w="16" w:type="dxa"/>
            </w:tcMar>
            <w:vAlign w:val="center"/>
          </w:tcPr>
          <w:p w14:paraId="49BA2898">
            <w:pPr>
              <w:adjustRightInd w:val="0"/>
              <w:snapToGrid w:val="0"/>
              <w:jc w:val="center"/>
              <w:rPr>
                <w:rFonts w:hint="default" w:ascii="Times New Roman" w:hAnsi="Times New Roman" w:cs="Times New Roman"/>
                <w:b/>
                <w:bCs/>
                <w:color w:val="auto"/>
                <w:spacing w:val="-6"/>
                <w:sz w:val="24"/>
              </w:rPr>
            </w:pPr>
            <w:r>
              <w:rPr>
                <w:rFonts w:hint="default" w:ascii="Times New Roman" w:hAnsi="Times New Roman" w:cs="Times New Roman"/>
                <w:b/>
                <w:bCs/>
                <w:color w:val="auto"/>
                <w:spacing w:val="-6"/>
                <w:sz w:val="24"/>
              </w:rPr>
              <w:t>用地（用海）</w:t>
            </w:r>
          </w:p>
          <w:p w14:paraId="0049D99E">
            <w:pPr>
              <w:adjustRightInd w:val="0"/>
              <w:snapToGrid w:val="0"/>
              <w:jc w:val="center"/>
              <w:rPr>
                <w:rFonts w:hint="default" w:ascii="Times New Roman" w:hAnsi="Times New Roman" w:eastAsia="宋体" w:cs="Times New Roman"/>
                <w:b/>
                <w:bCs/>
                <w:color w:val="auto"/>
                <w:sz w:val="24"/>
                <w:lang w:eastAsia="zh-CN"/>
              </w:rPr>
            </w:pPr>
            <w:r>
              <w:rPr>
                <w:rFonts w:hint="default" w:ascii="Times New Roman" w:hAnsi="Times New Roman" w:cs="Times New Roman"/>
                <w:b/>
                <w:bCs/>
                <w:color w:val="auto"/>
                <w:spacing w:val="-6"/>
                <w:sz w:val="24"/>
              </w:rPr>
              <w:t>面积（m</w:t>
            </w:r>
            <w:r>
              <w:rPr>
                <w:rFonts w:hint="default" w:ascii="Times New Roman" w:hAnsi="Times New Roman" w:cs="Times New Roman"/>
                <w:b/>
                <w:bCs/>
                <w:color w:val="auto"/>
                <w:spacing w:val="-6"/>
                <w:sz w:val="24"/>
                <w:vertAlign w:val="superscript"/>
              </w:rPr>
              <w:t>2</w:t>
            </w:r>
            <w:r>
              <w:rPr>
                <w:rFonts w:hint="default" w:ascii="Times New Roman" w:hAnsi="Times New Roman" w:cs="Times New Roman"/>
                <w:b/>
                <w:bCs/>
                <w:color w:val="auto"/>
                <w:spacing w:val="-6"/>
                <w:sz w:val="24"/>
              </w:rPr>
              <w:t>）</w:t>
            </w:r>
          </w:p>
        </w:tc>
        <w:tc>
          <w:tcPr>
            <w:tcW w:w="3337" w:type="dxa"/>
            <w:vAlign w:val="center"/>
          </w:tcPr>
          <w:p w14:paraId="4953DF73">
            <w:pPr>
              <w:widowControl/>
              <w:adjustRightInd/>
              <w:snapToGrid/>
              <w:jc w:val="center"/>
              <w:rPr>
                <w:rFonts w:hint="default" w:ascii="Times New Roman" w:hAnsi="Times New Roman" w:eastAsia="宋体" w:cs="Times New Roman"/>
                <w:color w:val="auto"/>
                <w:sz w:val="24"/>
                <w:lang w:val="en-US" w:eastAsia="zh-CN"/>
              </w:rPr>
            </w:pPr>
            <w:r>
              <w:rPr>
                <w:rFonts w:hint="eastAsia"/>
                <w:color w:val="auto"/>
                <w:sz w:val="24"/>
                <w:szCs w:val="24"/>
                <w:lang w:val="en-US" w:eastAsia="zh-CN"/>
              </w:rPr>
              <w:t>16666.67</w:t>
            </w:r>
          </w:p>
        </w:tc>
      </w:tr>
      <w:tr w14:paraId="035499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723" w:type="dxa"/>
            <w:gridSpan w:val="2"/>
            <w:vAlign w:val="center"/>
          </w:tcPr>
          <w:p w14:paraId="72F88BB2">
            <w:pPr>
              <w:autoSpaceDE w:val="0"/>
              <w:autoSpaceDN w:val="0"/>
              <w:adjustRightInd w:val="0"/>
              <w:snapToGrid w:val="0"/>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专项评价</w:t>
            </w:r>
          </w:p>
          <w:p w14:paraId="332A1E38">
            <w:pPr>
              <w:autoSpaceDE w:val="0"/>
              <w:autoSpaceDN w:val="0"/>
              <w:adjustRightInd w:val="0"/>
              <w:snapToGrid w:val="0"/>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设置情况</w:t>
            </w:r>
          </w:p>
        </w:tc>
        <w:tc>
          <w:tcPr>
            <w:tcW w:w="7165" w:type="dxa"/>
            <w:gridSpan w:val="3"/>
            <w:vAlign w:val="center"/>
          </w:tcPr>
          <w:p w14:paraId="48BE3487">
            <w:pPr>
              <w:autoSpaceDE w:val="0"/>
              <w:autoSpaceDN w:val="0"/>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无</w:t>
            </w:r>
          </w:p>
        </w:tc>
      </w:tr>
      <w:tr w14:paraId="307085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75" w:hRule="atLeast"/>
          <w:jc w:val="center"/>
        </w:trPr>
        <w:tc>
          <w:tcPr>
            <w:tcW w:w="1723" w:type="dxa"/>
            <w:gridSpan w:val="2"/>
            <w:vAlign w:val="center"/>
          </w:tcPr>
          <w:p w14:paraId="628345C0">
            <w:pPr>
              <w:autoSpaceDE w:val="0"/>
              <w:autoSpaceDN w:val="0"/>
              <w:adjustRightInd w:val="0"/>
              <w:snapToGrid w:val="0"/>
              <w:jc w:val="center"/>
              <w:rPr>
                <w:rFonts w:hint="default" w:ascii="Times New Roman" w:hAnsi="Times New Roman" w:cs="Times New Roman"/>
                <w:b/>
                <w:bCs/>
                <w:color w:val="auto"/>
                <w:kern w:val="0"/>
                <w:sz w:val="24"/>
              </w:rPr>
            </w:pPr>
            <w:r>
              <w:rPr>
                <w:rFonts w:hint="default" w:ascii="Times New Roman" w:hAnsi="Times New Roman" w:cs="Times New Roman"/>
                <w:b/>
                <w:bCs/>
                <w:color w:val="auto"/>
                <w:sz w:val="24"/>
              </w:rPr>
              <w:t>规划情况</w:t>
            </w:r>
          </w:p>
        </w:tc>
        <w:tc>
          <w:tcPr>
            <w:tcW w:w="7165" w:type="dxa"/>
            <w:gridSpan w:val="3"/>
            <w:vAlign w:val="center"/>
          </w:tcPr>
          <w:p w14:paraId="0E543F38">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规划文件：《江苏涟水经济开发区开发建设规划（2022-2035年）》；</w:t>
            </w:r>
          </w:p>
          <w:p w14:paraId="7248EC96">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default" w:eastAsia="宋体"/>
                <w:color w:val="auto"/>
                <w:lang w:val="en-US" w:eastAsia="zh-CN"/>
              </w:rPr>
            </w:pPr>
            <w:r>
              <w:rPr>
                <w:rFonts w:hint="default" w:ascii="Times New Roman" w:hAnsi="Times New Roman" w:eastAsia="宋体" w:cs="Times New Roman"/>
                <w:color w:val="auto"/>
                <w:sz w:val="24"/>
                <w:szCs w:val="24"/>
                <w:lang w:val="en-US" w:eastAsia="zh-CN"/>
              </w:rPr>
              <w:t>审查机关：江苏省生态环境厅；</w:t>
            </w:r>
          </w:p>
        </w:tc>
      </w:tr>
      <w:tr w14:paraId="62A55D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33" w:hRule="atLeast"/>
          <w:jc w:val="center"/>
        </w:trPr>
        <w:tc>
          <w:tcPr>
            <w:tcW w:w="1723" w:type="dxa"/>
            <w:gridSpan w:val="2"/>
            <w:vAlign w:val="center"/>
          </w:tcPr>
          <w:p w14:paraId="594F4F2A">
            <w:pPr>
              <w:autoSpaceDE w:val="0"/>
              <w:autoSpaceDN w:val="0"/>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规划环境影响评价情况</w:t>
            </w:r>
          </w:p>
        </w:tc>
        <w:tc>
          <w:tcPr>
            <w:tcW w:w="7165" w:type="dxa"/>
            <w:gridSpan w:val="3"/>
            <w:vAlign w:val="center"/>
          </w:tcPr>
          <w:p w14:paraId="29F98BC4">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规划环评文件名称：《江苏涟水经济开发区开发建设规划（2022-2035）环境影响报告书》；</w:t>
            </w:r>
          </w:p>
          <w:p w14:paraId="7247534A">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审查机关：江苏省生态环境厅；</w:t>
            </w:r>
          </w:p>
          <w:p w14:paraId="389ABC2A">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审查文件名称及文号：《关于江苏涟水经济开发区开发建设规划（2022-2035年）环境影响报告书的审查意见》（苏环审〔2023〕81号）。</w:t>
            </w:r>
          </w:p>
        </w:tc>
      </w:tr>
      <w:tr w14:paraId="7BE675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399" w:hRule="atLeast"/>
          <w:jc w:val="center"/>
        </w:trPr>
        <w:tc>
          <w:tcPr>
            <w:tcW w:w="448" w:type="dxa"/>
            <w:vAlign w:val="center"/>
          </w:tcPr>
          <w:p w14:paraId="50524E60">
            <w:pPr>
              <w:autoSpaceDE w:val="0"/>
              <w:autoSpaceDN w:val="0"/>
              <w:adjustRightInd w:val="0"/>
              <w:snapToGrid w:val="0"/>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规划及规划环境影响评价符合性分析</w:t>
            </w:r>
          </w:p>
        </w:tc>
        <w:tc>
          <w:tcPr>
            <w:tcW w:w="8440" w:type="dxa"/>
            <w:gridSpan w:val="4"/>
          </w:tcPr>
          <w:p w14:paraId="080FAC1A">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1、与《</w:t>
            </w:r>
            <w:r>
              <w:rPr>
                <w:rFonts w:hint="default" w:ascii="Times New Roman" w:hAnsi="Times New Roman" w:eastAsia="宋体" w:cs="Times New Roman"/>
                <w:color w:val="auto"/>
                <w:kern w:val="2"/>
                <w:sz w:val="24"/>
                <w:szCs w:val="24"/>
                <w:lang w:val="en-US" w:eastAsia="zh-CN" w:bidi="ar-SA"/>
              </w:rPr>
              <w:t>江苏涟水经济开发区开发建设规划</w:t>
            </w:r>
            <w:r>
              <w:rPr>
                <w:rFonts w:hint="default" w:ascii="Times New Roman" w:hAnsi="Times New Roman" w:eastAsia="宋体" w:cs="Times New Roman"/>
                <w:color w:val="auto"/>
                <w:sz w:val="24"/>
                <w:szCs w:val="24"/>
              </w:rPr>
              <w:t>》相符性</w:t>
            </w:r>
          </w:p>
          <w:p w14:paraId="7E89BF92">
            <w:pPr>
              <w:adjustRightInd w:val="0"/>
              <w:spacing w:line="360" w:lineRule="auto"/>
              <w:ind w:firstLine="480" w:firstLineChars="200"/>
              <w:rPr>
                <w:color w:val="auto"/>
                <w:sz w:val="24"/>
              </w:rPr>
            </w:pPr>
            <w:r>
              <w:rPr>
                <w:rFonts w:hint="eastAsia"/>
                <w:color w:val="auto"/>
                <w:sz w:val="24"/>
              </w:rPr>
              <w:t>①规划面积及规划范围</w:t>
            </w:r>
          </w:p>
          <w:p w14:paraId="6C6E5354">
            <w:pPr>
              <w:adjustRightInd w:val="0"/>
              <w:spacing w:line="360" w:lineRule="auto"/>
              <w:ind w:firstLine="480" w:firstLineChars="200"/>
              <w:rPr>
                <w:color w:val="auto"/>
                <w:sz w:val="24"/>
              </w:rPr>
            </w:pPr>
            <w:r>
              <w:rPr>
                <w:rFonts w:hint="eastAsia"/>
                <w:color w:val="auto"/>
                <w:sz w:val="24"/>
              </w:rPr>
              <w:t>《江苏涟水经济开发区开发建设规划（2022—2035年）》：规划总面积14.28km</w:t>
            </w:r>
            <w:r>
              <w:rPr>
                <w:rFonts w:hint="eastAsia"/>
                <w:color w:val="auto"/>
                <w:sz w:val="24"/>
                <w:vertAlign w:val="superscript"/>
              </w:rPr>
              <w:t>2</w:t>
            </w:r>
            <w:r>
              <w:rPr>
                <w:rFonts w:hint="eastAsia"/>
                <w:color w:val="auto"/>
                <w:sz w:val="24"/>
              </w:rPr>
              <w:t>，以盐河为界，分为东区2.9km</w:t>
            </w:r>
            <w:r>
              <w:rPr>
                <w:rFonts w:hint="eastAsia"/>
                <w:color w:val="auto"/>
                <w:sz w:val="24"/>
                <w:vertAlign w:val="superscript"/>
              </w:rPr>
              <w:t>2</w:t>
            </w:r>
            <w:r>
              <w:rPr>
                <w:rFonts w:hint="eastAsia"/>
                <w:color w:val="auto"/>
                <w:sz w:val="24"/>
              </w:rPr>
              <w:t>和西区11.38km</w:t>
            </w:r>
            <w:r>
              <w:rPr>
                <w:rFonts w:hint="eastAsia"/>
                <w:color w:val="auto"/>
                <w:sz w:val="24"/>
                <w:vertAlign w:val="superscript"/>
              </w:rPr>
              <w:t>2</w:t>
            </w:r>
            <w:r>
              <w:rPr>
                <w:rFonts w:hint="eastAsia"/>
                <w:color w:val="auto"/>
                <w:sz w:val="24"/>
              </w:rPr>
              <w:t>，规划范围为北达北环路，西临连淮扬镇铁路，南至清涟大道、渠北西路，东跨盐河至广陵路合围区域。</w:t>
            </w:r>
          </w:p>
          <w:p w14:paraId="3BB3FA57">
            <w:pPr>
              <w:adjustRightInd w:val="0"/>
              <w:spacing w:line="360" w:lineRule="auto"/>
              <w:ind w:firstLine="480" w:firstLineChars="200"/>
              <w:rPr>
                <w:color w:val="auto"/>
                <w:sz w:val="24"/>
              </w:rPr>
            </w:pPr>
            <w:r>
              <w:rPr>
                <w:rFonts w:hint="eastAsia"/>
                <w:color w:val="auto"/>
                <w:sz w:val="24"/>
              </w:rPr>
              <w:t>②产业定位及布局</w:t>
            </w:r>
          </w:p>
          <w:p w14:paraId="711A4C94">
            <w:pPr>
              <w:adjustRightInd w:val="0"/>
              <w:spacing w:line="360" w:lineRule="auto"/>
              <w:ind w:firstLine="480" w:firstLineChars="200"/>
              <w:rPr>
                <w:color w:val="auto"/>
                <w:sz w:val="24"/>
              </w:rPr>
            </w:pPr>
            <w:r>
              <w:rPr>
                <w:rFonts w:hint="eastAsia"/>
                <w:color w:val="auto"/>
                <w:sz w:val="24"/>
              </w:rPr>
              <w:t>高质量推动“项目引建、产业转型、园区升级”三大突破，培育构建装备制造、纺织服装、电子信息、绿色食品4大主导产业，实施“腾笼换鸟”，优化产业布局，形成四大主导产业组团，即装备制造产业组团、纺织服装产业组团、电子信息产业组团、绿色食品产业组团。本次规划将保留符合上一轮规划产业定位的企业。随着新一轮规划的实施，开发区将不再鼓励引进建材、医药等行业企业。</w:t>
            </w:r>
          </w:p>
          <w:p w14:paraId="70B08146">
            <w:pPr>
              <w:pStyle w:val="132"/>
              <w:keepNext w:val="0"/>
              <w:keepLines w:val="0"/>
              <w:pageBreakBefore w:val="0"/>
              <w:widowControl/>
              <w:kinsoku/>
              <w:wordWrap/>
              <w:overflowPunct/>
              <w:topLinePunct w:val="0"/>
              <w:autoSpaceDE/>
              <w:autoSpaceDN/>
              <w:bidi w:val="0"/>
              <w:adjustRightInd/>
              <w:snapToGrid/>
              <w:spacing w:before="0" w:beforeLines="0"/>
              <w:textAlignment w:val="auto"/>
              <w:rPr>
                <w:color w:val="auto"/>
                <w:sz w:val="24"/>
                <w:szCs w:val="24"/>
              </w:rPr>
            </w:pPr>
            <w:bookmarkStart w:id="6" w:name="_Toc28013"/>
            <w:r>
              <w:rPr>
                <w:color w:val="auto"/>
                <w:sz w:val="24"/>
                <w:szCs w:val="24"/>
              </w:rPr>
              <w:t>表1-1江苏涟水经济开发区产业准入条件及空间布局约束</w:t>
            </w:r>
            <w:bookmarkEnd w:id="6"/>
          </w:p>
          <w:tbl>
            <w:tblPr>
              <w:tblStyle w:val="3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925"/>
              <w:gridCol w:w="7030"/>
            </w:tblGrid>
            <w:tr w14:paraId="30913E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6" w:type="pct"/>
                  <w:gridSpan w:val="2"/>
                  <w:tcBorders>
                    <w:tl2br w:val="nil"/>
                    <w:tr2bl w:val="nil"/>
                  </w:tcBorders>
                  <w:vAlign w:val="center"/>
                </w:tcPr>
                <w:p w14:paraId="25E39B3D">
                  <w:pPr>
                    <w:pStyle w:val="4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类别</w:t>
                  </w:r>
                </w:p>
              </w:tc>
              <w:tc>
                <w:tcPr>
                  <w:tcW w:w="4193" w:type="pct"/>
                  <w:tcBorders>
                    <w:tl2br w:val="nil"/>
                    <w:tr2bl w:val="nil"/>
                  </w:tcBorders>
                  <w:vAlign w:val="center"/>
                </w:tcPr>
                <w:p w14:paraId="265032D1">
                  <w:pPr>
                    <w:pStyle w:val="4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环境准入条件</w:t>
                  </w:r>
                </w:p>
              </w:tc>
            </w:tr>
            <w:tr w14:paraId="37A621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4" w:type="pct"/>
                  <w:vMerge w:val="restart"/>
                  <w:tcBorders>
                    <w:tl2br w:val="nil"/>
                    <w:tr2bl w:val="nil"/>
                  </w:tcBorders>
                  <w:vAlign w:val="center"/>
                </w:tcPr>
                <w:p w14:paraId="29F8EF69">
                  <w:pPr>
                    <w:pStyle w:val="4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产业准入</w:t>
                  </w:r>
                </w:p>
              </w:tc>
              <w:tc>
                <w:tcPr>
                  <w:tcW w:w="551" w:type="pct"/>
                  <w:tcBorders>
                    <w:tl2br w:val="nil"/>
                    <w:tr2bl w:val="nil"/>
                  </w:tcBorders>
                  <w:vAlign w:val="center"/>
                </w:tcPr>
                <w:p w14:paraId="39994E2F">
                  <w:pPr>
                    <w:pStyle w:val="4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主导产业</w:t>
                  </w:r>
                </w:p>
              </w:tc>
              <w:tc>
                <w:tcPr>
                  <w:tcW w:w="4193" w:type="pct"/>
                  <w:tcBorders>
                    <w:tl2br w:val="nil"/>
                    <w:tr2bl w:val="nil"/>
                  </w:tcBorders>
                  <w:vAlign w:val="center"/>
                </w:tcPr>
                <w:p w14:paraId="1EC3FFAE">
                  <w:pPr>
                    <w:pStyle w:val="4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主要发展装备制造、纺织服装、电子信息、绿色食品4大主导产业。保留符合上一轮规划产业定位的企业，禁止引进建材、医药等行业企业。</w:t>
                  </w:r>
                </w:p>
              </w:tc>
            </w:tr>
            <w:tr w14:paraId="149C23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4" w:type="pct"/>
                  <w:vMerge w:val="continue"/>
                  <w:tcBorders>
                    <w:tl2br w:val="nil"/>
                    <w:tr2bl w:val="nil"/>
                  </w:tcBorders>
                  <w:vAlign w:val="center"/>
                </w:tcPr>
                <w:p w14:paraId="5A5F57D2">
                  <w:pPr>
                    <w:pStyle w:val="45"/>
                    <w:jc w:val="center"/>
                    <w:rPr>
                      <w:rFonts w:hint="default" w:ascii="Times New Roman" w:hAnsi="Times New Roman" w:eastAsia="宋体" w:cs="Times New Roman"/>
                      <w:color w:val="auto"/>
                      <w:sz w:val="21"/>
                      <w:szCs w:val="21"/>
                    </w:rPr>
                  </w:pPr>
                </w:p>
              </w:tc>
              <w:tc>
                <w:tcPr>
                  <w:tcW w:w="551" w:type="pct"/>
                  <w:vMerge w:val="restart"/>
                  <w:tcBorders>
                    <w:tl2br w:val="nil"/>
                    <w:tr2bl w:val="nil"/>
                  </w:tcBorders>
                  <w:vAlign w:val="center"/>
                </w:tcPr>
                <w:p w14:paraId="3F361CF3">
                  <w:pPr>
                    <w:pStyle w:val="4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禁止引入</w:t>
                  </w:r>
                </w:p>
              </w:tc>
              <w:tc>
                <w:tcPr>
                  <w:tcW w:w="4193" w:type="pct"/>
                  <w:tcBorders>
                    <w:tl2br w:val="nil"/>
                    <w:tr2bl w:val="nil"/>
                  </w:tcBorders>
                  <w:vAlign w:val="center"/>
                </w:tcPr>
                <w:p w14:paraId="44DF7E5E">
                  <w:pPr>
                    <w:pStyle w:val="4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1、含酿造工艺的项目。</w:t>
                  </w:r>
                </w:p>
              </w:tc>
            </w:tr>
            <w:tr w14:paraId="5DE326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4" w:type="pct"/>
                  <w:vMerge w:val="continue"/>
                  <w:tcBorders>
                    <w:tl2br w:val="nil"/>
                    <w:tr2bl w:val="nil"/>
                  </w:tcBorders>
                  <w:vAlign w:val="center"/>
                </w:tcPr>
                <w:p w14:paraId="7871BECA">
                  <w:pPr>
                    <w:pStyle w:val="45"/>
                    <w:jc w:val="center"/>
                    <w:rPr>
                      <w:rFonts w:hint="default" w:ascii="Times New Roman" w:hAnsi="Times New Roman" w:eastAsia="宋体" w:cs="Times New Roman"/>
                      <w:color w:val="auto"/>
                      <w:sz w:val="21"/>
                      <w:szCs w:val="21"/>
                    </w:rPr>
                  </w:pPr>
                </w:p>
              </w:tc>
              <w:tc>
                <w:tcPr>
                  <w:tcW w:w="551" w:type="pct"/>
                  <w:vMerge w:val="continue"/>
                  <w:tcBorders>
                    <w:tl2br w:val="nil"/>
                    <w:tr2bl w:val="nil"/>
                  </w:tcBorders>
                  <w:vAlign w:val="center"/>
                </w:tcPr>
                <w:p w14:paraId="0A66AC96">
                  <w:pPr>
                    <w:pStyle w:val="45"/>
                    <w:jc w:val="center"/>
                    <w:rPr>
                      <w:rFonts w:hint="default" w:ascii="Times New Roman" w:hAnsi="Times New Roman" w:eastAsia="宋体" w:cs="Times New Roman"/>
                      <w:color w:val="auto"/>
                      <w:sz w:val="21"/>
                      <w:szCs w:val="21"/>
                    </w:rPr>
                  </w:pPr>
                </w:p>
              </w:tc>
              <w:tc>
                <w:tcPr>
                  <w:tcW w:w="4193" w:type="pct"/>
                  <w:tcBorders>
                    <w:tl2br w:val="nil"/>
                    <w:tr2bl w:val="nil"/>
                  </w:tcBorders>
                  <w:vAlign w:val="center"/>
                </w:tcPr>
                <w:p w14:paraId="58F68610">
                  <w:pPr>
                    <w:pStyle w:val="4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2、使用高VOCs含量的溶剂型涂料、油墨、胶粘剂等项目。</w:t>
                  </w:r>
                </w:p>
              </w:tc>
            </w:tr>
            <w:tr w14:paraId="7CE952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4" w:type="pct"/>
                  <w:vMerge w:val="continue"/>
                  <w:tcBorders>
                    <w:tl2br w:val="nil"/>
                    <w:tr2bl w:val="nil"/>
                  </w:tcBorders>
                  <w:vAlign w:val="center"/>
                </w:tcPr>
                <w:p w14:paraId="64F50DAE">
                  <w:pPr>
                    <w:pStyle w:val="45"/>
                    <w:jc w:val="center"/>
                    <w:rPr>
                      <w:rFonts w:hint="default" w:ascii="Times New Roman" w:hAnsi="Times New Roman" w:eastAsia="宋体" w:cs="Times New Roman"/>
                      <w:color w:val="auto"/>
                      <w:sz w:val="21"/>
                      <w:szCs w:val="21"/>
                    </w:rPr>
                  </w:pPr>
                </w:p>
              </w:tc>
              <w:tc>
                <w:tcPr>
                  <w:tcW w:w="551" w:type="pct"/>
                  <w:vMerge w:val="continue"/>
                  <w:tcBorders>
                    <w:tl2br w:val="nil"/>
                    <w:tr2bl w:val="nil"/>
                  </w:tcBorders>
                  <w:vAlign w:val="center"/>
                </w:tcPr>
                <w:p w14:paraId="119A7A14">
                  <w:pPr>
                    <w:pStyle w:val="45"/>
                    <w:jc w:val="center"/>
                    <w:rPr>
                      <w:rFonts w:hint="default" w:ascii="Times New Roman" w:hAnsi="Times New Roman" w:eastAsia="宋体" w:cs="Times New Roman"/>
                      <w:color w:val="auto"/>
                      <w:sz w:val="21"/>
                      <w:szCs w:val="21"/>
                    </w:rPr>
                  </w:pPr>
                </w:p>
              </w:tc>
              <w:tc>
                <w:tcPr>
                  <w:tcW w:w="4193" w:type="pct"/>
                  <w:tcBorders>
                    <w:tl2br w:val="nil"/>
                    <w:tr2bl w:val="nil"/>
                  </w:tcBorders>
                  <w:vAlign w:val="center"/>
                </w:tcPr>
                <w:p w14:paraId="5A0ADE33">
                  <w:pPr>
                    <w:pStyle w:val="4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3、新建排放铅、汞、铬、镉和类金属砷的项目。</w:t>
                  </w:r>
                </w:p>
              </w:tc>
            </w:tr>
            <w:tr w14:paraId="116AF4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4" w:type="pct"/>
                  <w:vMerge w:val="continue"/>
                  <w:tcBorders>
                    <w:tl2br w:val="nil"/>
                    <w:tr2bl w:val="nil"/>
                  </w:tcBorders>
                  <w:vAlign w:val="center"/>
                </w:tcPr>
                <w:p w14:paraId="3A0FD5A2">
                  <w:pPr>
                    <w:pStyle w:val="45"/>
                    <w:jc w:val="center"/>
                    <w:rPr>
                      <w:rFonts w:hint="default" w:ascii="Times New Roman" w:hAnsi="Times New Roman" w:eastAsia="宋体" w:cs="Times New Roman"/>
                      <w:color w:val="auto"/>
                      <w:sz w:val="21"/>
                      <w:szCs w:val="21"/>
                    </w:rPr>
                  </w:pPr>
                </w:p>
              </w:tc>
              <w:tc>
                <w:tcPr>
                  <w:tcW w:w="551" w:type="pct"/>
                  <w:vMerge w:val="continue"/>
                  <w:tcBorders>
                    <w:tl2br w:val="nil"/>
                    <w:tr2bl w:val="nil"/>
                  </w:tcBorders>
                  <w:vAlign w:val="center"/>
                </w:tcPr>
                <w:p w14:paraId="2C149D1B">
                  <w:pPr>
                    <w:pStyle w:val="45"/>
                    <w:jc w:val="center"/>
                    <w:rPr>
                      <w:rFonts w:hint="default" w:ascii="Times New Roman" w:hAnsi="Times New Roman" w:eastAsia="宋体" w:cs="Times New Roman"/>
                      <w:color w:val="auto"/>
                      <w:sz w:val="21"/>
                      <w:szCs w:val="21"/>
                    </w:rPr>
                  </w:pPr>
                </w:p>
              </w:tc>
              <w:tc>
                <w:tcPr>
                  <w:tcW w:w="4193" w:type="pct"/>
                  <w:tcBorders>
                    <w:tl2br w:val="nil"/>
                    <w:tr2bl w:val="nil"/>
                  </w:tcBorders>
                  <w:vAlign w:val="center"/>
                </w:tcPr>
                <w:p w14:paraId="1BD4A7F5">
                  <w:pPr>
                    <w:pStyle w:val="4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4、属于《淮河流域水污染防治暂行条例》中禁止的项目。</w:t>
                  </w:r>
                </w:p>
              </w:tc>
            </w:tr>
            <w:tr w14:paraId="7BA384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4" w:type="pct"/>
                  <w:vMerge w:val="continue"/>
                  <w:tcBorders>
                    <w:tl2br w:val="nil"/>
                    <w:tr2bl w:val="nil"/>
                  </w:tcBorders>
                  <w:vAlign w:val="center"/>
                </w:tcPr>
                <w:p w14:paraId="11E309CC">
                  <w:pPr>
                    <w:pStyle w:val="45"/>
                    <w:jc w:val="center"/>
                    <w:rPr>
                      <w:rFonts w:hint="default" w:ascii="Times New Roman" w:hAnsi="Times New Roman" w:eastAsia="宋体" w:cs="Times New Roman"/>
                      <w:color w:val="auto"/>
                      <w:sz w:val="21"/>
                      <w:szCs w:val="21"/>
                    </w:rPr>
                  </w:pPr>
                </w:p>
              </w:tc>
              <w:tc>
                <w:tcPr>
                  <w:tcW w:w="551" w:type="pct"/>
                  <w:vMerge w:val="continue"/>
                  <w:tcBorders>
                    <w:tl2br w:val="nil"/>
                    <w:tr2bl w:val="nil"/>
                  </w:tcBorders>
                  <w:vAlign w:val="center"/>
                </w:tcPr>
                <w:p w14:paraId="65202E7D">
                  <w:pPr>
                    <w:pStyle w:val="45"/>
                    <w:jc w:val="center"/>
                    <w:rPr>
                      <w:rFonts w:hint="default" w:ascii="Times New Roman" w:hAnsi="Times New Roman" w:eastAsia="宋体" w:cs="Times New Roman"/>
                      <w:color w:val="auto"/>
                      <w:sz w:val="21"/>
                      <w:szCs w:val="21"/>
                    </w:rPr>
                  </w:pPr>
                </w:p>
              </w:tc>
              <w:tc>
                <w:tcPr>
                  <w:tcW w:w="4193" w:type="pct"/>
                  <w:tcBorders>
                    <w:tl2br w:val="nil"/>
                    <w:tr2bl w:val="nil"/>
                  </w:tcBorders>
                  <w:vAlign w:val="center"/>
                </w:tcPr>
                <w:p w14:paraId="11530821">
                  <w:pPr>
                    <w:pStyle w:val="4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5、属于《环境保护综合名录（2021年版）》中“高污染、高环境风险”产品名录的项目；国家和地方产业政策规定的淘汰类或禁止类的建设项目和工艺。</w:t>
                  </w:r>
                </w:p>
              </w:tc>
            </w:tr>
            <w:tr w14:paraId="7DA171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4" w:type="pct"/>
                  <w:vMerge w:val="continue"/>
                  <w:tcBorders>
                    <w:tl2br w:val="nil"/>
                    <w:tr2bl w:val="nil"/>
                  </w:tcBorders>
                  <w:vAlign w:val="center"/>
                </w:tcPr>
                <w:p w14:paraId="00C29188">
                  <w:pPr>
                    <w:pStyle w:val="45"/>
                    <w:jc w:val="center"/>
                    <w:rPr>
                      <w:rFonts w:hint="default" w:ascii="Times New Roman" w:hAnsi="Times New Roman" w:eastAsia="宋体" w:cs="Times New Roman"/>
                      <w:color w:val="auto"/>
                      <w:sz w:val="21"/>
                      <w:szCs w:val="21"/>
                    </w:rPr>
                  </w:pPr>
                </w:p>
              </w:tc>
              <w:tc>
                <w:tcPr>
                  <w:tcW w:w="551" w:type="pct"/>
                  <w:vMerge w:val="restart"/>
                  <w:tcBorders>
                    <w:tl2br w:val="nil"/>
                    <w:tr2bl w:val="nil"/>
                  </w:tcBorders>
                  <w:vAlign w:val="center"/>
                </w:tcPr>
                <w:p w14:paraId="0A77988B">
                  <w:pPr>
                    <w:pStyle w:val="4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限制引入</w:t>
                  </w:r>
                </w:p>
              </w:tc>
              <w:tc>
                <w:tcPr>
                  <w:tcW w:w="4193" w:type="pct"/>
                  <w:tcBorders>
                    <w:tl2br w:val="nil"/>
                    <w:tr2bl w:val="nil"/>
                  </w:tcBorders>
                  <w:vAlign w:val="center"/>
                </w:tcPr>
                <w:p w14:paraId="7339A557">
                  <w:pPr>
                    <w:pStyle w:val="4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1、《产业结构调整指导目录》及修订、《江苏省工业和信息产业结构调整限制淘汰目录和能耗限额》中限制项目。</w:t>
                  </w:r>
                </w:p>
              </w:tc>
            </w:tr>
            <w:tr w14:paraId="4F9C40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4" w:type="pct"/>
                  <w:vMerge w:val="continue"/>
                  <w:tcBorders>
                    <w:tl2br w:val="nil"/>
                    <w:tr2bl w:val="nil"/>
                  </w:tcBorders>
                  <w:vAlign w:val="center"/>
                </w:tcPr>
                <w:p w14:paraId="29A37B2D">
                  <w:pPr>
                    <w:pStyle w:val="45"/>
                    <w:jc w:val="center"/>
                    <w:rPr>
                      <w:rFonts w:hint="default" w:ascii="Times New Roman" w:hAnsi="Times New Roman" w:eastAsia="宋体" w:cs="Times New Roman"/>
                      <w:color w:val="auto"/>
                      <w:sz w:val="21"/>
                      <w:szCs w:val="21"/>
                    </w:rPr>
                  </w:pPr>
                </w:p>
              </w:tc>
              <w:tc>
                <w:tcPr>
                  <w:tcW w:w="551" w:type="pct"/>
                  <w:vMerge w:val="continue"/>
                  <w:tcBorders>
                    <w:tl2br w:val="nil"/>
                    <w:tr2bl w:val="nil"/>
                  </w:tcBorders>
                  <w:vAlign w:val="center"/>
                </w:tcPr>
                <w:p w14:paraId="4B689B67">
                  <w:pPr>
                    <w:pStyle w:val="45"/>
                    <w:jc w:val="center"/>
                    <w:rPr>
                      <w:rFonts w:hint="default" w:ascii="Times New Roman" w:hAnsi="Times New Roman" w:eastAsia="宋体" w:cs="Times New Roman"/>
                      <w:color w:val="auto"/>
                      <w:sz w:val="21"/>
                      <w:szCs w:val="21"/>
                    </w:rPr>
                  </w:pPr>
                </w:p>
              </w:tc>
              <w:tc>
                <w:tcPr>
                  <w:tcW w:w="4193" w:type="pct"/>
                  <w:tcBorders>
                    <w:tl2br w:val="nil"/>
                    <w:tr2bl w:val="nil"/>
                  </w:tcBorders>
                  <w:vAlign w:val="center"/>
                </w:tcPr>
                <w:p w14:paraId="1F3418A2">
                  <w:pPr>
                    <w:pStyle w:val="4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2、污染治理措施达不到《挥发性有机物（VOCs）污染防治技术政策》、</w:t>
                  </w:r>
                </w:p>
                <w:p w14:paraId="1121C4A0">
                  <w:pPr>
                    <w:pStyle w:val="4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《江苏省重点行业挥发性有机物污染控制指南》等要求的项目。</w:t>
                  </w:r>
                </w:p>
              </w:tc>
            </w:tr>
            <w:tr w14:paraId="3F110D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4" w:type="pct"/>
                  <w:vMerge w:val="continue"/>
                  <w:tcBorders>
                    <w:tl2br w:val="nil"/>
                    <w:tr2bl w:val="nil"/>
                  </w:tcBorders>
                  <w:vAlign w:val="center"/>
                </w:tcPr>
                <w:p w14:paraId="2DEDF2D9">
                  <w:pPr>
                    <w:pStyle w:val="45"/>
                    <w:jc w:val="center"/>
                    <w:rPr>
                      <w:rFonts w:hint="default" w:ascii="Times New Roman" w:hAnsi="Times New Roman" w:eastAsia="宋体" w:cs="Times New Roman"/>
                      <w:color w:val="auto"/>
                      <w:sz w:val="21"/>
                      <w:szCs w:val="21"/>
                    </w:rPr>
                  </w:pPr>
                </w:p>
              </w:tc>
              <w:tc>
                <w:tcPr>
                  <w:tcW w:w="551" w:type="pct"/>
                  <w:vMerge w:val="continue"/>
                  <w:tcBorders>
                    <w:tl2br w:val="nil"/>
                    <w:tr2bl w:val="nil"/>
                  </w:tcBorders>
                  <w:vAlign w:val="center"/>
                </w:tcPr>
                <w:p w14:paraId="1E1DE004">
                  <w:pPr>
                    <w:pStyle w:val="45"/>
                    <w:jc w:val="center"/>
                    <w:rPr>
                      <w:rFonts w:hint="default" w:ascii="Times New Roman" w:hAnsi="Times New Roman" w:eastAsia="宋体" w:cs="Times New Roman"/>
                      <w:color w:val="auto"/>
                      <w:sz w:val="21"/>
                      <w:szCs w:val="21"/>
                    </w:rPr>
                  </w:pPr>
                </w:p>
              </w:tc>
              <w:tc>
                <w:tcPr>
                  <w:tcW w:w="4193" w:type="pct"/>
                  <w:tcBorders>
                    <w:tl2br w:val="nil"/>
                    <w:tr2bl w:val="nil"/>
                  </w:tcBorders>
                  <w:vAlign w:val="center"/>
                </w:tcPr>
                <w:p w14:paraId="7BF89C1B">
                  <w:pPr>
                    <w:pStyle w:val="4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3、属于《淮河流域水污染防治暂行条例》中限制的项目。</w:t>
                  </w:r>
                </w:p>
              </w:tc>
            </w:tr>
            <w:tr w14:paraId="1A4D53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4" w:type="pct"/>
                  <w:vMerge w:val="continue"/>
                  <w:tcBorders>
                    <w:tl2br w:val="nil"/>
                    <w:tr2bl w:val="nil"/>
                  </w:tcBorders>
                  <w:vAlign w:val="center"/>
                </w:tcPr>
                <w:p w14:paraId="442A84D5">
                  <w:pPr>
                    <w:pStyle w:val="45"/>
                    <w:jc w:val="center"/>
                    <w:rPr>
                      <w:rFonts w:hint="default" w:ascii="Times New Roman" w:hAnsi="Times New Roman" w:eastAsia="宋体" w:cs="Times New Roman"/>
                      <w:color w:val="auto"/>
                      <w:sz w:val="21"/>
                      <w:szCs w:val="21"/>
                    </w:rPr>
                  </w:pPr>
                </w:p>
              </w:tc>
              <w:tc>
                <w:tcPr>
                  <w:tcW w:w="551" w:type="pct"/>
                  <w:vMerge w:val="continue"/>
                  <w:tcBorders>
                    <w:tl2br w:val="nil"/>
                    <w:tr2bl w:val="nil"/>
                  </w:tcBorders>
                  <w:vAlign w:val="center"/>
                </w:tcPr>
                <w:p w14:paraId="37CE04A5">
                  <w:pPr>
                    <w:pStyle w:val="45"/>
                    <w:jc w:val="center"/>
                    <w:rPr>
                      <w:rFonts w:hint="default" w:ascii="Times New Roman" w:hAnsi="Times New Roman" w:eastAsia="宋体" w:cs="Times New Roman"/>
                      <w:color w:val="auto"/>
                      <w:sz w:val="21"/>
                      <w:szCs w:val="21"/>
                    </w:rPr>
                  </w:pPr>
                </w:p>
              </w:tc>
              <w:tc>
                <w:tcPr>
                  <w:tcW w:w="4193" w:type="pct"/>
                  <w:tcBorders>
                    <w:tl2br w:val="nil"/>
                    <w:tr2bl w:val="nil"/>
                  </w:tcBorders>
                  <w:vAlign w:val="center"/>
                </w:tcPr>
                <w:p w14:paraId="07935182">
                  <w:pPr>
                    <w:pStyle w:val="4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4、开发区印染排水量不得突破7000吨/日。</w:t>
                  </w:r>
                </w:p>
              </w:tc>
            </w:tr>
            <w:tr w14:paraId="6CE068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6" w:type="pct"/>
                  <w:gridSpan w:val="2"/>
                  <w:vMerge w:val="restart"/>
                  <w:tcBorders>
                    <w:tl2br w:val="nil"/>
                    <w:tr2bl w:val="nil"/>
                  </w:tcBorders>
                  <w:vAlign w:val="center"/>
                </w:tcPr>
                <w:p w14:paraId="701AB59F">
                  <w:pPr>
                    <w:pStyle w:val="4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空间布局约束</w:t>
                  </w:r>
                </w:p>
              </w:tc>
              <w:tc>
                <w:tcPr>
                  <w:tcW w:w="4193" w:type="pct"/>
                  <w:tcBorders>
                    <w:tl2br w:val="nil"/>
                    <w:tr2bl w:val="nil"/>
                  </w:tcBorders>
                  <w:vAlign w:val="center"/>
                </w:tcPr>
                <w:p w14:paraId="06CCAD31">
                  <w:pPr>
                    <w:pStyle w:val="4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落实江苏省、淮安市“三线一单”《江苏省生态空间管控区域规划》《江苏省国家级生态保护红线规划》管控要求。</w:t>
                  </w:r>
                </w:p>
              </w:tc>
            </w:tr>
            <w:tr w14:paraId="053B98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6" w:type="pct"/>
                  <w:gridSpan w:val="2"/>
                  <w:vMerge w:val="continue"/>
                  <w:tcBorders>
                    <w:tl2br w:val="nil"/>
                    <w:tr2bl w:val="nil"/>
                  </w:tcBorders>
                  <w:vAlign w:val="center"/>
                </w:tcPr>
                <w:p w14:paraId="0E32CD70">
                  <w:pPr>
                    <w:pStyle w:val="45"/>
                    <w:jc w:val="center"/>
                    <w:rPr>
                      <w:rFonts w:hint="default" w:ascii="Times New Roman" w:hAnsi="Times New Roman" w:eastAsia="宋体" w:cs="Times New Roman"/>
                      <w:color w:val="auto"/>
                      <w:sz w:val="21"/>
                      <w:szCs w:val="21"/>
                    </w:rPr>
                  </w:pPr>
                </w:p>
              </w:tc>
              <w:tc>
                <w:tcPr>
                  <w:tcW w:w="4193" w:type="pct"/>
                  <w:tcBorders>
                    <w:tl2br w:val="nil"/>
                    <w:tr2bl w:val="nil"/>
                  </w:tcBorders>
                  <w:vAlign w:val="center"/>
                </w:tcPr>
                <w:p w14:paraId="5C779465">
                  <w:pPr>
                    <w:pStyle w:val="4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区内规划的水域和防护绿地，禁止与环境保护功能无关的建设活动。</w:t>
                  </w:r>
                </w:p>
              </w:tc>
            </w:tr>
            <w:tr w14:paraId="243C3E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6" w:type="pct"/>
                  <w:gridSpan w:val="2"/>
                  <w:vMerge w:val="continue"/>
                  <w:tcBorders>
                    <w:tl2br w:val="nil"/>
                    <w:tr2bl w:val="nil"/>
                  </w:tcBorders>
                  <w:vAlign w:val="center"/>
                </w:tcPr>
                <w:p w14:paraId="1C1640F4">
                  <w:pPr>
                    <w:pStyle w:val="45"/>
                    <w:jc w:val="center"/>
                    <w:rPr>
                      <w:rFonts w:hint="default" w:ascii="Times New Roman" w:hAnsi="Times New Roman" w:eastAsia="宋体" w:cs="Times New Roman"/>
                      <w:color w:val="auto"/>
                      <w:sz w:val="21"/>
                      <w:szCs w:val="21"/>
                    </w:rPr>
                  </w:pPr>
                </w:p>
              </w:tc>
              <w:tc>
                <w:tcPr>
                  <w:tcW w:w="4193" w:type="pct"/>
                  <w:tcBorders>
                    <w:tl2br w:val="nil"/>
                    <w:tr2bl w:val="nil"/>
                  </w:tcBorders>
                  <w:vAlign w:val="center"/>
                </w:tcPr>
                <w:p w14:paraId="60F5D470">
                  <w:pPr>
                    <w:pStyle w:val="4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工业用地与居住用地、商住混合用地、学校之间须设置适当的空间隔离带。</w:t>
                  </w:r>
                </w:p>
              </w:tc>
            </w:tr>
          </w:tbl>
          <w:p w14:paraId="541EE1D5">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本项目主要从事</w:t>
            </w:r>
            <w:r>
              <w:rPr>
                <w:rFonts w:hint="eastAsia" w:cs="Times New Roman"/>
                <w:color w:val="auto"/>
                <w:sz w:val="24"/>
                <w:szCs w:val="24"/>
                <w:lang w:eastAsia="zh-CN"/>
              </w:rPr>
              <w:t>预</w:t>
            </w:r>
            <w:r>
              <w:rPr>
                <w:rFonts w:hint="default" w:ascii="Times New Roman" w:hAnsi="Times New Roman" w:eastAsia="宋体" w:cs="Times New Roman"/>
                <w:color w:val="auto"/>
                <w:sz w:val="24"/>
                <w:szCs w:val="24"/>
              </w:rPr>
              <w:t>制水产及肉类</w:t>
            </w:r>
            <w:r>
              <w:rPr>
                <w:rFonts w:hint="eastAsia" w:cs="Times New Roman"/>
                <w:color w:val="auto"/>
                <w:sz w:val="24"/>
                <w:szCs w:val="24"/>
                <w:lang w:eastAsia="zh-CN"/>
              </w:rPr>
              <w:t>生产</w:t>
            </w:r>
            <w:r>
              <w:rPr>
                <w:rFonts w:hint="default" w:ascii="Times New Roman" w:hAnsi="Times New Roman" w:eastAsia="宋体" w:cs="Times New Roman"/>
                <w:color w:val="auto"/>
                <w:sz w:val="24"/>
                <w:szCs w:val="24"/>
              </w:rPr>
              <w:t>，位于</w:t>
            </w:r>
            <w:r>
              <w:rPr>
                <w:rFonts w:hint="eastAsia" w:ascii="Times New Roman" w:hAnsi="Times New Roman" w:eastAsia="宋体" w:cs="Times New Roman"/>
                <w:color w:val="auto"/>
                <w:sz w:val="24"/>
                <w:szCs w:val="24"/>
                <w:lang w:val="en-US" w:eastAsia="zh-CN"/>
              </w:rPr>
              <w:t>江苏涟水经济开发区</w:t>
            </w:r>
            <w:r>
              <w:rPr>
                <w:rFonts w:hint="eastAsia" w:cs="Times New Roman"/>
                <w:color w:val="auto"/>
                <w:sz w:val="24"/>
                <w:szCs w:val="24"/>
                <w:lang w:val="en-US" w:eastAsia="zh-CN"/>
              </w:rPr>
              <w:t>涟水路3号</w:t>
            </w:r>
            <w:r>
              <w:rPr>
                <w:rFonts w:hint="default" w:ascii="Times New Roman" w:hAnsi="Times New Roman" w:eastAsia="宋体" w:cs="Times New Roman"/>
                <w:color w:val="auto"/>
                <w:sz w:val="24"/>
                <w:szCs w:val="24"/>
              </w:rPr>
              <w:t>，属于规划范围内</w:t>
            </w:r>
            <w:r>
              <w:rPr>
                <w:rFonts w:hint="eastAsia"/>
                <w:color w:val="auto"/>
                <w:sz w:val="24"/>
              </w:rPr>
              <w:t>绿色食品产业组团</w:t>
            </w:r>
            <w:r>
              <w:rPr>
                <w:rFonts w:hint="default" w:ascii="Times New Roman" w:hAnsi="Times New Roman" w:cs="Times New Roman"/>
                <w:color w:val="auto"/>
                <w:sz w:val="24"/>
                <w:szCs w:val="24"/>
              </w:rPr>
              <w:t>，用地性质为工业用地，不属于园区禁止引入和限制引入类项目，符合园区用地规划要求。</w:t>
            </w:r>
          </w:p>
          <w:p w14:paraId="6DFB4B32">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2、与《江苏涟水经济开发区环境影响报告书》的相符性</w:t>
            </w:r>
          </w:p>
          <w:p w14:paraId="004926E3">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rPr>
              <w:t>《江苏涟水经济开发区环境影响报告书》于2007年8月14日通过原江苏省环境保护厅审批，2015年5月涟水经济开发区管委会委托江苏省环科咨询股份有限公司编制了《江苏涟水经济开发区片区规划环境影响跟踪评价报告书》，并获得省厅《关于对江苏涟水经济开发区片区规划环境影响跟踪评价报告书的审核意见》（苏环审〔2015〕51号）。2022年，管委会委托编制了《江苏涟水经济开发区开发建设规划（2022-2035年）》，《江苏涟水经济开发区开发建设规划（2022-2035）环境影响报告书》于2023年10月获得了省生态环境厅《关于江苏涟水经济开发区开发建设规划（2022-2035年）环境影响报告书的审查意见》（苏环审〔2023〕81号）。</w:t>
            </w:r>
          </w:p>
          <w:p w14:paraId="73BBAC4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涟水开发区于2023年10月取得了江苏省</w:t>
            </w:r>
            <w:r>
              <w:rPr>
                <w:rFonts w:hint="default" w:ascii="Times New Roman" w:hAnsi="Times New Roman" w:cs="Times New Roman"/>
                <w:color w:val="auto"/>
                <w:sz w:val="24"/>
                <w:szCs w:val="24"/>
                <w:lang w:val="en-US" w:eastAsia="zh-CN"/>
              </w:rPr>
              <w:t>生态环境</w:t>
            </w:r>
            <w:r>
              <w:rPr>
                <w:rFonts w:hint="default" w:ascii="Times New Roman" w:hAnsi="Times New Roman" w:cs="Times New Roman"/>
                <w:color w:val="auto"/>
                <w:sz w:val="24"/>
                <w:szCs w:val="24"/>
              </w:rPr>
              <w:t>厅《关于江苏涟水经济开发区开发建设规划（2022-2035年）环境影响报告书的审核意见》（苏环审〔2023〕81号），本项目与审查意见相符性分析见下表。</w:t>
            </w:r>
          </w:p>
          <w:p w14:paraId="2A063B7C">
            <w:pPr>
              <w:pStyle w:val="132"/>
              <w:keepNext w:val="0"/>
              <w:keepLines w:val="0"/>
              <w:pageBreakBefore w:val="0"/>
              <w:widowControl/>
              <w:kinsoku/>
              <w:wordWrap/>
              <w:overflowPunct/>
              <w:topLinePunct w:val="0"/>
              <w:autoSpaceDE/>
              <w:autoSpaceDN/>
              <w:bidi w:val="0"/>
              <w:adjustRightInd/>
              <w:snapToGrid/>
              <w:spacing w:before="0" w:beforeLines="0"/>
              <w:textAlignment w:val="auto"/>
              <w:rPr>
                <w:rFonts w:hint="default" w:ascii="Times New Roman" w:hAnsi="Times New Roman" w:cs="Times New Roman"/>
                <w:color w:val="auto"/>
                <w:sz w:val="24"/>
                <w:szCs w:val="24"/>
              </w:rPr>
            </w:pPr>
            <w:bookmarkStart w:id="7" w:name="_Toc9664"/>
            <w:r>
              <w:rPr>
                <w:rFonts w:hint="default" w:ascii="Times New Roman" w:hAnsi="Times New Roman" w:cs="Times New Roman"/>
                <w:color w:val="auto"/>
                <w:sz w:val="24"/>
                <w:szCs w:val="24"/>
              </w:rPr>
              <w:t>表1-2本项目与审查意见相符性分析</w:t>
            </w:r>
            <w:bookmarkEnd w:id="7"/>
          </w:p>
          <w:tbl>
            <w:tblPr>
              <w:tblStyle w:val="32"/>
              <w:tblW w:w="490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77"/>
              <w:gridCol w:w="4909"/>
              <w:gridCol w:w="2125"/>
              <w:gridCol w:w="709"/>
            </w:tblGrid>
            <w:tr w14:paraId="21856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90" w:type="pct"/>
                  <w:tcBorders>
                    <w:top w:val="single" w:color="auto" w:sz="12" w:space="0"/>
                    <w:left w:val="nil"/>
                    <w:bottom w:val="single" w:color="auto" w:sz="8" w:space="0"/>
                  </w:tcBorders>
                  <w:vAlign w:val="center"/>
                </w:tcPr>
                <w:p w14:paraId="4C179DC7">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2985" w:type="pct"/>
                  <w:tcBorders>
                    <w:top w:val="single" w:color="auto" w:sz="12" w:space="0"/>
                    <w:bottom w:val="single" w:color="auto" w:sz="8" w:space="0"/>
                  </w:tcBorders>
                  <w:vAlign w:val="center"/>
                </w:tcPr>
                <w:p w14:paraId="163161E0">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审查意见</w:t>
                  </w:r>
                </w:p>
              </w:tc>
              <w:tc>
                <w:tcPr>
                  <w:tcW w:w="1292" w:type="pct"/>
                  <w:tcBorders>
                    <w:top w:val="single" w:color="auto" w:sz="12" w:space="0"/>
                    <w:bottom w:val="single" w:color="auto" w:sz="8" w:space="0"/>
                  </w:tcBorders>
                  <w:vAlign w:val="center"/>
                </w:tcPr>
                <w:p w14:paraId="05663942">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w:t>
                  </w:r>
                </w:p>
              </w:tc>
              <w:tc>
                <w:tcPr>
                  <w:tcW w:w="431" w:type="pct"/>
                  <w:tcBorders>
                    <w:top w:val="single" w:color="auto" w:sz="12" w:space="0"/>
                    <w:bottom w:val="single" w:color="auto" w:sz="8" w:space="0"/>
                    <w:right w:val="nil"/>
                  </w:tcBorders>
                  <w:vAlign w:val="center"/>
                </w:tcPr>
                <w:p w14:paraId="4C183F38">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是否符合</w:t>
                  </w:r>
                </w:p>
              </w:tc>
            </w:tr>
            <w:tr w14:paraId="68573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90" w:type="pct"/>
                  <w:tcBorders>
                    <w:top w:val="single" w:color="auto" w:sz="8" w:space="0"/>
                    <w:left w:val="nil"/>
                  </w:tcBorders>
                  <w:vAlign w:val="center"/>
                </w:tcPr>
                <w:p w14:paraId="325490E1">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2985" w:type="pct"/>
                  <w:tcBorders>
                    <w:top w:val="single" w:color="auto" w:sz="8" w:space="0"/>
                  </w:tcBorders>
                  <w:vAlign w:val="center"/>
                </w:tcPr>
                <w:p w14:paraId="3112788C">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严格空间管控，优化空间布局。落实《报告书》提出的现有环境问题整改措施，2025年底前，江苏快乐电源（涟水）有限公司限制扩大规模、涟水龙盛气体有限公司搬迁退让；淮安市亚森木业有限公司等11家企业仅允许实施规范化整治提升。强化工业企业退出和产业升级过程中的污染防治。开发区内绿地及水域在规划期内禁止开发利用。加强区内空间隔离带建设，西区工业用地与居住、商住混合用地、学校之间设置50米以上空间隔离带，或在该范围内布置办公等不产生噪声污染、废气排放的设施，并设置不少于20米的绿化隔离带，确保开发区产业布局与生态环境保护、人居环境安全相协调。</w:t>
                  </w:r>
                </w:p>
              </w:tc>
              <w:tc>
                <w:tcPr>
                  <w:tcW w:w="1292" w:type="pct"/>
                  <w:tcBorders>
                    <w:top w:val="single" w:color="auto" w:sz="8" w:space="0"/>
                  </w:tcBorders>
                  <w:vAlign w:val="center"/>
                </w:tcPr>
                <w:p w14:paraId="2A8B7DA2">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本次项目位于</w:t>
                  </w:r>
                  <w:r>
                    <w:rPr>
                      <w:rFonts w:hint="default" w:ascii="Times New Roman" w:hAnsi="Times New Roman" w:cs="Times New Roman"/>
                      <w:color w:val="auto"/>
                      <w:sz w:val="22"/>
                      <w:szCs w:val="22"/>
                      <w:lang w:val="en-US" w:eastAsia="zh-CN"/>
                    </w:rPr>
                    <w:t>江苏涟水经济开发区涟水路3号</w:t>
                  </w:r>
                  <w:r>
                    <w:rPr>
                      <w:rFonts w:hint="default" w:ascii="Times New Roman" w:hAnsi="Times New Roman" w:cs="Times New Roman"/>
                      <w:color w:val="auto"/>
                      <w:sz w:val="21"/>
                      <w:szCs w:val="21"/>
                    </w:rPr>
                    <w:t>，属于工业用地。不在《报告书》提出的现有环境问题整改措施范围内。</w:t>
                  </w:r>
                </w:p>
              </w:tc>
              <w:tc>
                <w:tcPr>
                  <w:tcW w:w="431" w:type="pct"/>
                  <w:tcBorders>
                    <w:top w:val="single" w:color="auto" w:sz="8" w:space="0"/>
                    <w:right w:val="nil"/>
                  </w:tcBorders>
                  <w:vAlign w:val="center"/>
                </w:tcPr>
                <w:p w14:paraId="0AC95046">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14:paraId="1AC0C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90" w:type="pct"/>
                  <w:tcBorders>
                    <w:left w:val="nil"/>
                  </w:tcBorders>
                  <w:vAlign w:val="center"/>
                </w:tcPr>
                <w:p w14:paraId="32E2E0E8">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2985" w:type="pct"/>
                  <w:vAlign w:val="center"/>
                </w:tcPr>
                <w:p w14:paraId="7C5022B4">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严守环境质量底线，实施污染物排放限值限量管理。落实国家和江苏省关于大气、水、土壤、噪声污染防治、区域生态环境分区管控、工业园区（集中区）污染物排放限值限量管理相关要求，建立以环境质量为核心的污染物总量控制管理体系，实施主要污染物排放浓度和总量“双管控”。2025年，开发区环境空气细颗粒物（PM</w:t>
                  </w:r>
                  <w:r>
                    <w:rPr>
                      <w:rFonts w:hint="default" w:ascii="Times New Roman" w:hAnsi="Times New Roman" w:cs="Times New Roman"/>
                      <w:color w:val="auto"/>
                      <w:sz w:val="21"/>
                      <w:szCs w:val="21"/>
                      <w:vertAlign w:val="subscript"/>
                    </w:rPr>
                    <w:t>2.5</w:t>
                  </w:r>
                  <w:r>
                    <w:rPr>
                      <w:rFonts w:hint="default" w:ascii="Times New Roman" w:hAnsi="Times New Roman" w:cs="Times New Roman"/>
                      <w:color w:val="auto"/>
                      <w:sz w:val="21"/>
                      <w:szCs w:val="21"/>
                    </w:rPr>
                    <w:t>）年均浓度应达到29微克/立方米，盐河应稳定达到</w:t>
                  </w:r>
                  <w:r>
                    <w:rPr>
                      <w:rFonts w:hint="eastAsia" w:ascii="Times New Roman" w:cs="Times New Roman"/>
                      <w:color w:val="auto"/>
                      <w:sz w:val="21"/>
                      <w:szCs w:val="21"/>
                      <w:lang w:eastAsia="zh-CN"/>
                    </w:rPr>
                    <w:t>Ⅱ</w:t>
                  </w:r>
                  <w:r>
                    <w:rPr>
                      <w:rFonts w:hint="default" w:ascii="Times New Roman" w:hAnsi="Times New Roman" w:cs="Times New Roman"/>
                      <w:color w:val="auto"/>
                      <w:sz w:val="21"/>
                      <w:szCs w:val="21"/>
                    </w:rPr>
                    <w:t>、Ⅲ类水质标准。</w:t>
                  </w:r>
                </w:p>
              </w:tc>
              <w:tc>
                <w:tcPr>
                  <w:tcW w:w="1292" w:type="pct"/>
                  <w:vAlign w:val="center"/>
                </w:tcPr>
                <w:p w14:paraId="02627F3C">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本次项目污染物排放执行园区总量控制管理相关要求，本次</w:t>
                  </w:r>
                  <w:r>
                    <w:rPr>
                      <w:rFonts w:hint="eastAsia" w:ascii="Times New Roman" w:cs="Times New Roman"/>
                      <w:color w:val="auto"/>
                      <w:sz w:val="21"/>
                      <w:szCs w:val="21"/>
                      <w:lang w:eastAsia="zh-CN"/>
                    </w:rPr>
                    <w:t>扩建项</w:t>
                  </w:r>
                  <w:r>
                    <w:rPr>
                      <w:rFonts w:hint="default" w:ascii="Times New Roman" w:hAnsi="Times New Roman" w:cs="Times New Roman"/>
                      <w:color w:val="auto"/>
                      <w:sz w:val="21"/>
                      <w:szCs w:val="21"/>
                    </w:rPr>
                    <w:t>目主要污染物排放浓度和总量双达标。</w:t>
                  </w:r>
                </w:p>
              </w:tc>
              <w:tc>
                <w:tcPr>
                  <w:tcW w:w="431" w:type="pct"/>
                  <w:tcBorders>
                    <w:right w:val="nil"/>
                  </w:tcBorders>
                  <w:vAlign w:val="center"/>
                </w:tcPr>
                <w:p w14:paraId="59C383D1">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14:paraId="3AC59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90" w:type="pct"/>
                  <w:tcBorders>
                    <w:left w:val="nil"/>
                  </w:tcBorders>
                  <w:vAlign w:val="center"/>
                </w:tcPr>
                <w:p w14:paraId="63AA5D23">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2985" w:type="pct"/>
                  <w:vAlign w:val="center"/>
                </w:tcPr>
                <w:p w14:paraId="594ED1E6">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加强源头治理，协同推进减污降碳。严格落实生态环境准入清单（附件2），以及《报告书》提出的生态环境准入要求，严格限制与主导产业不相关且排污负荷大的项目入区，执行最严格的行业废水、废气排放控制要求。强化企业特征污染物排放控制、高效治理设施建设以及精细化管控，引进项目的生产工艺、设备，以及单位产品水耗、能耗、污染物排放和资源利用效率等应达到同行业国内先进水平。全面开展清洁生产审核，推动重点行业依法实施强制性审核，引导其他行业自觉自愿开展审核，不断提高现有企业清洁生产和污染治理水平。根据国家和地方碳减排、碳达峰行动方案和路径要求，优化产业结构、能源结构等规划内容，推进减污降碳协同增效。</w:t>
                  </w:r>
                </w:p>
              </w:tc>
              <w:tc>
                <w:tcPr>
                  <w:tcW w:w="1292" w:type="pct"/>
                  <w:vAlign w:val="center"/>
                </w:tcPr>
                <w:p w14:paraId="4FE1A683">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cs="Times New Roman"/>
                      <w:color w:val="auto"/>
                      <w:sz w:val="21"/>
                      <w:szCs w:val="21"/>
                    </w:rPr>
                  </w:pPr>
                  <w:r>
                    <w:rPr>
                      <w:rFonts w:ascii="Times New Roman"/>
                      <w:color w:val="auto"/>
                      <w:szCs w:val="21"/>
                    </w:rPr>
                    <w:t>本项目</w:t>
                  </w:r>
                  <w:r>
                    <w:rPr>
                      <w:rFonts w:ascii="Times New Roman" w:hAnsi="Times New Roman" w:cs="Times New Roman"/>
                      <w:color w:val="auto"/>
                      <w:szCs w:val="21"/>
                    </w:rPr>
                    <w:t>为</w:t>
                  </w:r>
                  <w:r>
                    <w:rPr>
                      <w:rFonts w:hint="eastAsia" w:ascii="Times New Roman" w:hAnsi="Times New Roman" w:cs="Times New Roman"/>
                      <w:color w:val="auto"/>
                      <w:szCs w:val="21"/>
                      <w:lang w:eastAsia="zh-CN"/>
                    </w:rPr>
                    <w:t>预</w:t>
                  </w:r>
                  <w:r>
                    <w:rPr>
                      <w:rFonts w:hint="default" w:ascii="Times New Roman" w:hAnsi="Times New Roman" w:cs="Times New Roman"/>
                      <w:color w:val="auto"/>
                      <w:szCs w:val="21"/>
                    </w:rPr>
                    <w:t>制水产及肉类</w:t>
                  </w:r>
                  <w:r>
                    <w:rPr>
                      <w:rFonts w:hint="eastAsia" w:ascii="Times New Roman" w:hAnsi="Times New Roman" w:cs="Times New Roman"/>
                      <w:color w:val="auto"/>
                      <w:szCs w:val="21"/>
                      <w:lang w:eastAsia="zh-CN"/>
                    </w:rPr>
                    <w:t>生产扩建</w:t>
                  </w:r>
                  <w:r>
                    <w:rPr>
                      <w:rFonts w:ascii="Times New Roman" w:hAnsi="Times New Roman" w:cs="Times New Roman"/>
                      <w:color w:val="auto"/>
                      <w:szCs w:val="21"/>
                    </w:rPr>
                    <w:t>项目，生产工艺、设备</w:t>
                  </w:r>
                  <w:r>
                    <w:rPr>
                      <w:rFonts w:ascii="Times New Roman"/>
                      <w:color w:val="auto"/>
                      <w:szCs w:val="21"/>
                    </w:rPr>
                    <w:t>，以及单位产品水耗、能耗、污染物排放和资源利用效率达到同行业国内先进水平，不属于园区禁止引入和限制引入类项目，符合园区产业准入条件</w:t>
                  </w:r>
                </w:p>
              </w:tc>
              <w:tc>
                <w:tcPr>
                  <w:tcW w:w="431" w:type="pct"/>
                  <w:tcBorders>
                    <w:right w:val="nil"/>
                  </w:tcBorders>
                  <w:vAlign w:val="center"/>
                </w:tcPr>
                <w:p w14:paraId="5F5C6F69">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14:paraId="31553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90" w:type="pct"/>
                  <w:tcBorders>
                    <w:left w:val="nil"/>
                  </w:tcBorders>
                  <w:vAlign w:val="center"/>
                </w:tcPr>
                <w:p w14:paraId="2F056B18">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2985" w:type="pct"/>
                  <w:vAlign w:val="center"/>
                </w:tcPr>
                <w:p w14:paraId="62C29303">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完善环境基础设施建设，提高基础设施运行效能。加快推进西区</w:t>
                  </w:r>
                  <w:r>
                    <w:rPr>
                      <w:rFonts w:hint="eastAsia" w:ascii="Times New Roman" w:cs="Times New Roman"/>
                      <w:color w:val="auto"/>
                      <w:sz w:val="21"/>
                      <w:szCs w:val="21"/>
                      <w:lang w:eastAsia="zh-CN"/>
                    </w:rPr>
                    <w:t>污水处理厂</w:t>
                  </w:r>
                  <w:r>
                    <w:rPr>
                      <w:rFonts w:hint="default" w:ascii="Times New Roman" w:hAnsi="Times New Roman" w:cs="Times New Roman"/>
                      <w:color w:val="auto"/>
                      <w:sz w:val="21"/>
                      <w:szCs w:val="21"/>
                    </w:rPr>
                    <w:t>中水回用设施及回用管网建设，2025年底前建成二支大沟生态安全缓冲区，改造建成2万吨/日工业污水处理设施、1万吨/日中水回用工程，确保工业废水与生活污水分类收集、分质处理。开展区内入河排污口排查及规范化整治，建立名录，强化日常监管。加强园区固体废物减量化、资源化、无害化处理，一般工业固废、危险废物应依法依规收集、处理处置，做到“就地分类收集、就近转移处置”。</w:t>
                  </w:r>
                </w:p>
              </w:tc>
              <w:tc>
                <w:tcPr>
                  <w:tcW w:w="1292" w:type="pct"/>
                  <w:vAlign w:val="center"/>
                </w:tcPr>
                <w:p w14:paraId="5CC235F6">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w:t>
                  </w:r>
                  <w:r>
                    <w:rPr>
                      <w:rFonts w:hint="eastAsia" w:ascii="Times New Roman" w:cs="Times New Roman"/>
                      <w:color w:val="auto"/>
                      <w:sz w:val="21"/>
                      <w:szCs w:val="21"/>
                      <w:lang w:eastAsia="zh-CN"/>
                    </w:rPr>
                    <w:t>次扩建</w:t>
                  </w:r>
                  <w:r>
                    <w:rPr>
                      <w:rFonts w:hint="default" w:ascii="Times New Roman" w:hAnsi="Times New Roman" w:cs="Times New Roman"/>
                      <w:color w:val="auto"/>
                      <w:sz w:val="21"/>
                      <w:szCs w:val="21"/>
                    </w:rPr>
                    <w:t>项目</w:t>
                  </w:r>
                  <w:r>
                    <w:rPr>
                      <w:rFonts w:hint="eastAsia" w:ascii="Times New Roman" w:cs="Times New Roman"/>
                      <w:color w:val="auto"/>
                      <w:sz w:val="21"/>
                      <w:szCs w:val="21"/>
                      <w:lang w:eastAsia="zh-CN"/>
                    </w:rPr>
                    <w:t>涉及新增员工，</w:t>
                  </w:r>
                  <w:r>
                    <w:rPr>
                      <w:rFonts w:hint="default" w:ascii="Times New Roman" w:hAnsi="Times New Roman" w:cs="Times New Roman"/>
                      <w:color w:val="auto"/>
                      <w:sz w:val="21"/>
                      <w:szCs w:val="21"/>
                    </w:rPr>
                    <w:t>生活</w:t>
                  </w:r>
                  <w:r>
                    <w:rPr>
                      <w:rFonts w:hint="eastAsia" w:ascii="Times New Roman" w:cs="Times New Roman"/>
                      <w:color w:val="auto"/>
                      <w:sz w:val="21"/>
                      <w:szCs w:val="21"/>
                      <w:lang w:eastAsia="zh-CN"/>
                    </w:rPr>
                    <w:t>食堂</w:t>
                  </w:r>
                  <w:r>
                    <w:rPr>
                      <w:rFonts w:hint="default" w:ascii="Times New Roman" w:hAnsi="Times New Roman" w:cs="Times New Roman"/>
                      <w:color w:val="auto"/>
                      <w:sz w:val="21"/>
                      <w:szCs w:val="21"/>
                    </w:rPr>
                    <w:t>污水</w:t>
                  </w:r>
                  <w:r>
                    <w:rPr>
                      <w:rFonts w:hint="eastAsia" w:ascii="Times New Roman" w:cs="Times New Roman"/>
                      <w:color w:val="auto"/>
                      <w:sz w:val="21"/>
                      <w:szCs w:val="21"/>
                      <w:lang w:eastAsia="zh-CN"/>
                    </w:rPr>
                    <w:t>依托现有项目</w:t>
                  </w:r>
                  <w:r>
                    <w:rPr>
                      <w:rFonts w:hint="default" w:ascii="Times New Roman" w:hAnsi="Times New Roman" w:cs="Times New Roman"/>
                      <w:color w:val="auto"/>
                      <w:sz w:val="21"/>
                      <w:szCs w:val="21"/>
                    </w:rPr>
                    <w:t>经</w:t>
                  </w:r>
                  <w:r>
                    <w:rPr>
                      <w:rFonts w:hint="eastAsia" w:ascii="Times New Roman" w:cs="Times New Roman"/>
                      <w:color w:val="auto"/>
                      <w:sz w:val="21"/>
                      <w:szCs w:val="21"/>
                      <w:lang w:eastAsia="zh-CN"/>
                    </w:rPr>
                    <w:t>隔油池</w:t>
                  </w:r>
                  <w:r>
                    <w:rPr>
                      <w:rFonts w:hint="eastAsia" w:ascii="Times New Roman" w:cs="Times New Roman"/>
                      <w:color w:val="auto"/>
                      <w:sz w:val="21"/>
                      <w:szCs w:val="21"/>
                      <w:lang w:val="en-US" w:eastAsia="zh-CN"/>
                    </w:rPr>
                    <w:t>+</w:t>
                  </w:r>
                  <w:r>
                    <w:rPr>
                      <w:rFonts w:hint="default" w:ascii="Times New Roman" w:hAnsi="Times New Roman" w:cs="Times New Roman"/>
                      <w:color w:val="auto"/>
                      <w:sz w:val="21"/>
                      <w:szCs w:val="21"/>
                    </w:rPr>
                    <w:t>化粪池处理后与生产废水经厂区污水处理站预处理后一起接管至涟水经济开发区西区污水处理厂集中处理。本次</w:t>
                  </w:r>
                  <w:r>
                    <w:rPr>
                      <w:rFonts w:hint="eastAsia" w:ascii="Times New Roman" w:cs="Times New Roman"/>
                      <w:color w:val="auto"/>
                      <w:sz w:val="21"/>
                      <w:szCs w:val="21"/>
                      <w:lang w:eastAsia="zh-CN"/>
                    </w:rPr>
                    <w:t>扩建</w:t>
                  </w:r>
                  <w:r>
                    <w:rPr>
                      <w:rFonts w:hint="default" w:ascii="Times New Roman" w:hAnsi="Times New Roman" w:cs="Times New Roman"/>
                      <w:color w:val="auto"/>
                      <w:sz w:val="21"/>
                      <w:szCs w:val="21"/>
                    </w:rPr>
                    <w:t>项目一般工业固废、危险废物分类收集、暂存并委托处理。</w:t>
                  </w:r>
                </w:p>
              </w:tc>
              <w:tc>
                <w:tcPr>
                  <w:tcW w:w="431" w:type="pct"/>
                  <w:tcBorders>
                    <w:right w:val="nil"/>
                  </w:tcBorders>
                  <w:vAlign w:val="center"/>
                </w:tcPr>
                <w:p w14:paraId="63E99C76">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14:paraId="14E65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90" w:type="pct"/>
                  <w:tcBorders>
                    <w:left w:val="nil"/>
                  </w:tcBorders>
                  <w:vAlign w:val="center"/>
                </w:tcPr>
                <w:p w14:paraId="47D53E42">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2985" w:type="pct"/>
                  <w:vAlign w:val="center"/>
                </w:tcPr>
                <w:p w14:paraId="58555103">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立健全环境监测监控体系。开展包括环境空气、地表水、地下水、土壤、底泥等环境要素的长期跟踪监测与管理。结合区域跟踪监测情况，动态调整开发区开发建设规模和时序进度，优化生态环境保护措施，确保区域生态环境质量不恶化。探索开展新污染物环境本底调查监测，依法公开新污染物信息。积极推进氟化物污染物排放及水环境质量的监测监控，园区重点涉氟企业雨水污水排放口完成氟化物自动监控系统安装，并与省、市平台联网。指导区内企业规范安装在线监测设备并联网，推进区内排污许可重点管理单位自动监测全覆盖；暂不具备安装在线监测设备条件的企业，应做好委托监测工作。</w:t>
                  </w:r>
                </w:p>
              </w:tc>
              <w:tc>
                <w:tcPr>
                  <w:tcW w:w="1292" w:type="pct"/>
                  <w:vAlign w:val="center"/>
                </w:tcPr>
                <w:p w14:paraId="0F08DFA2">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cs="Times New Roman"/>
                      <w:color w:val="auto"/>
                      <w:sz w:val="21"/>
                      <w:szCs w:val="21"/>
                    </w:rPr>
                  </w:pPr>
                  <w:r>
                    <w:rPr>
                      <w:rFonts w:hint="default" w:ascii="Times New Roman" w:hAnsi="Times New Roman" w:cs="Times New Roman"/>
                      <w:color w:val="auto"/>
                    </w:rPr>
                    <w:t>本</w:t>
                  </w:r>
                  <w:r>
                    <w:rPr>
                      <w:rFonts w:hint="default" w:ascii="Times New Roman" w:hAnsi="Times New Roman" w:cs="Times New Roman"/>
                      <w:color w:val="auto"/>
                      <w:lang w:val="en-US" w:eastAsia="zh-CN"/>
                    </w:rPr>
                    <w:t>项目不涉及污染因子氟化物</w:t>
                  </w:r>
                  <w:r>
                    <w:rPr>
                      <w:rFonts w:hint="default" w:ascii="Times New Roman" w:hAnsi="Times New Roman" w:cs="Times New Roman"/>
                      <w:color w:val="auto"/>
                    </w:rPr>
                    <w:t>。废气、废水排口均加强污染源监管</w:t>
                  </w:r>
                  <w:r>
                    <w:rPr>
                      <w:rFonts w:hint="default" w:ascii="Times New Roman" w:hAnsi="Times New Roman" w:cs="Times New Roman"/>
                      <w:color w:val="auto"/>
                      <w:lang w:eastAsia="zh-CN"/>
                    </w:rPr>
                    <w:t>，</w:t>
                  </w:r>
                  <w:r>
                    <w:rPr>
                      <w:rFonts w:hint="default" w:ascii="Times New Roman" w:hAnsi="Times New Roman" w:cs="Times New Roman"/>
                      <w:color w:val="auto"/>
                    </w:rPr>
                    <w:t>确保污染物稳定达标排放。本项目</w:t>
                  </w:r>
                  <w:r>
                    <w:rPr>
                      <w:rFonts w:hint="default" w:ascii="Times New Roman" w:hAnsi="Times New Roman" w:cs="Times New Roman"/>
                      <w:color w:val="auto"/>
                      <w:lang w:val="en-US" w:eastAsia="zh-CN"/>
                    </w:rPr>
                    <w:t>将按排污许可要求委托有资质的检测公司开展监测工作</w:t>
                  </w:r>
                  <w:r>
                    <w:rPr>
                      <w:rFonts w:hint="default" w:ascii="Times New Roman" w:hAnsi="Times New Roman" w:cs="Times New Roman"/>
                      <w:color w:val="auto"/>
                    </w:rPr>
                    <w:t>。</w:t>
                  </w:r>
                </w:p>
              </w:tc>
              <w:tc>
                <w:tcPr>
                  <w:tcW w:w="431" w:type="pct"/>
                  <w:tcBorders>
                    <w:right w:val="nil"/>
                  </w:tcBorders>
                  <w:vAlign w:val="center"/>
                </w:tcPr>
                <w:p w14:paraId="0E496BF5">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14:paraId="35399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90" w:type="pct"/>
                  <w:tcBorders>
                    <w:left w:val="nil"/>
                  </w:tcBorders>
                  <w:vAlign w:val="center"/>
                </w:tcPr>
                <w:p w14:paraId="44F362FB">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w:t>
                  </w:r>
                </w:p>
              </w:tc>
              <w:tc>
                <w:tcPr>
                  <w:tcW w:w="2985" w:type="pct"/>
                  <w:vAlign w:val="center"/>
                </w:tcPr>
                <w:p w14:paraId="5D6F2387">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健全环境风险防控体系，提升环境应急能力。完善开发区风险防控体系建设，确保事故废水不进入外环境。加强环境应急基础设施建设，配备充足的应急装备物资，形成环境应急救援能力。健全环境风险评估和应急预案制度，定期开展环境应急演练，完善环境应急响应联动机制，提升应急实战水平。建立突发环境事件隐患排查长效机制，定期排查突发环境事件隐患，建立隐患清单并督促整改到位，保障区域环境安全。重点关注并督促指导涉重金属企业构筑“风险单元－管网、应急池－厂界”环境风险防控体系，严防涉重金属突发水污染事件</w:t>
                  </w:r>
                  <w:r>
                    <w:rPr>
                      <w:rFonts w:hint="default" w:ascii="Times New Roman" w:hAnsi="Times New Roman" w:cs="Times New Roman"/>
                      <w:color w:val="auto"/>
                      <w:sz w:val="21"/>
                      <w:szCs w:val="21"/>
                      <w:lang w:eastAsia="zh-CN"/>
                    </w:rPr>
                    <w:t>。</w:t>
                  </w:r>
                </w:p>
              </w:tc>
              <w:tc>
                <w:tcPr>
                  <w:tcW w:w="1292" w:type="pct"/>
                  <w:vAlign w:val="center"/>
                </w:tcPr>
                <w:p w14:paraId="5D9E0375">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企业将针对本次</w:t>
                  </w:r>
                  <w:r>
                    <w:rPr>
                      <w:rFonts w:hint="eastAsia" w:ascii="Times New Roman" w:cs="Times New Roman"/>
                      <w:color w:val="auto"/>
                      <w:sz w:val="21"/>
                      <w:szCs w:val="21"/>
                      <w:lang w:eastAsia="zh-CN"/>
                    </w:rPr>
                    <w:t>扩建</w:t>
                  </w:r>
                  <w:r>
                    <w:rPr>
                      <w:rFonts w:hint="default" w:ascii="Times New Roman" w:hAnsi="Times New Roman" w:cs="Times New Roman"/>
                      <w:color w:val="auto"/>
                      <w:sz w:val="21"/>
                      <w:szCs w:val="21"/>
                    </w:rPr>
                    <w:t>项目，进行全场突发环境事件应急预案的编制，完善环境应急措施，并将应急装备和储备物资纳入储备体系，积极响应市、县、园区突发环境事件应急响应体系，组织有针对性的应急演练，从而提高应急处置能力，并及时进行备案。</w:t>
                  </w:r>
                </w:p>
              </w:tc>
              <w:tc>
                <w:tcPr>
                  <w:tcW w:w="431" w:type="pct"/>
                  <w:tcBorders>
                    <w:right w:val="nil"/>
                  </w:tcBorders>
                  <w:vAlign w:val="center"/>
                </w:tcPr>
                <w:p w14:paraId="1AB4A7C2">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14:paraId="0595A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90" w:type="pct"/>
                  <w:tcBorders>
                    <w:left w:val="nil"/>
                    <w:bottom w:val="single" w:color="auto" w:sz="12" w:space="0"/>
                  </w:tcBorders>
                  <w:vAlign w:val="center"/>
                </w:tcPr>
                <w:p w14:paraId="5D823171">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w:t>
                  </w:r>
                </w:p>
              </w:tc>
              <w:tc>
                <w:tcPr>
                  <w:tcW w:w="2985" w:type="pct"/>
                  <w:tcBorders>
                    <w:bottom w:val="single" w:color="auto" w:sz="12" w:space="0"/>
                  </w:tcBorders>
                  <w:vAlign w:val="center"/>
                </w:tcPr>
                <w:p w14:paraId="5DAF3E81">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切实加强园区环境管理。健全园区环境管理机构，严格环境管理制度，强化日常环境监督管理，落实区域环境质量监测和污染源监控计划；加快推进区内企业竣工环保验收进程，今后所有入区企业和项目须严格执行环境影响评价和“三同时”制度；完善园区和企业风险防范措施与应急预案，定期开展应急演练；制定危险化学品登记管理制度；进一步梳理区内不符合产业定位或环境管理要求的企业和项目，提出并落实整改措施；开展区内各河道水环境综合整治。</w:t>
                  </w:r>
                </w:p>
              </w:tc>
              <w:tc>
                <w:tcPr>
                  <w:tcW w:w="1292" w:type="pct"/>
                  <w:tcBorders>
                    <w:bottom w:val="single" w:color="auto" w:sz="12" w:space="0"/>
                  </w:tcBorders>
                  <w:vAlign w:val="center"/>
                </w:tcPr>
                <w:p w14:paraId="71C73AF4">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企业切实加强环境管理制度，强化日常环境监督管理，严格执行“三同时”制度，制定危险化学品登记管理制度。</w:t>
                  </w:r>
                </w:p>
              </w:tc>
              <w:tc>
                <w:tcPr>
                  <w:tcW w:w="431" w:type="pct"/>
                  <w:tcBorders>
                    <w:bottom w:val="single" w:color="auto" w:sz="12" w:space="0"/>
                    <w:right w:val="nil"/>
                  </w:tcBorders>
                  <w:vAlign w:val="center"/>
                </w:tcPr>
                <w:p w14:paraId="0AD0FF26">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bl>
          <w:p w14:paraId="69A8679A">
            <w:pPr>
              <w:pStyle w:val="45"/>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0" w:firstLineChars="200"/>
              <w:jc w:val="both"/>
              <w:textAlignment w:val="auto"/>
              <w:rPr>
                <w:rStyle w:val="39"/>
                <w:rFonts w:hint="default" w:ascii="Times New Roman" w:hAnsi="Times New Roman" w:eastAsia="宋体" w:cs="Times New Roman"/>
                <w:color w:val="auto"/>
                <w:kern w:val="0"/>
                <w:sz w:val="24"/>
                <w:lang w:eastAsia="zh-CN"/>
              </w:rPr>
            </w:pPr>
            <w:r>
              <w:rPr>
                <w:rFonts w:hint="default" w:ascii="Times New Roman" w:hAnsi="Times New Roman" w:cs="Times New Roman"/>
                <w:color w:val="auto"/>
                <w:sz w:val="24"/>
                <w:szCs w:val="24"/>
              </w:rPr>
              <w:t>综上所述，本项目符合开发区环境保护的总体要求，符合</w:t>
            </w:r>
            <w:r>
              <w:rPr>
                <w:rFonts w:hint="default" w:ascii="Times New Roman" w:hAnsi="Times New Roman" w:eastAsia="宋体" w:cs="Times New Roman"/>
                <w:color w:val="auto"/>
                <w:kern w:val="2"/>
                <w:sz w:val="24"/>
                <w:szCs w:val="24"/>
                <w:lang w:val="en-US" w:eastAsia="zh-CN" w:bidi="ar-SA"/>
              </w:rPr>
              <w:t>《江苏涟水经济开发区开发建设规划（2022-2035）环境影响报告书》</w:t>
            </w:r>
            <w:r>
              <w:rPr>
                <w:rFonts w:hint="default" w:ascii="Times New Roman" w:hAnsi="Times New Roman" w:cs="Times New Roman"/>
                <w:color w:val="auto"/>
                <w:sz w:val="24"/>
                <w:szCs w:val="24"/>
              </w:rPr>
              <w:t>结论及审查意见，符合生态环境准入要求</w:t>
            </w:r>
            <w:r>
              <w:rPr>
                <w:rFonts w:hint="default" w:ascii="Times New Roman" w:hAnsi="Times New Roman" w:cs="Times New Roman"/>
                <w:color w:val="auto"/>
                <w:sz w:val="24"/>
                <w:szCs w:val="24"/>
                <w:lang w:eastAsia="zh-CN"/>
              </w:rPr>
              <w:t>。</w:t>
            </w:r>
          </w:p>
        </w:tc>
      </w:tr>
    </w:tbl>
    <w:p w14:paraId="3B380C80">
      <w:pPr>
        <w:autoSpaceDE w:val="0"/>
        <w:autoSpaceDN w:val="0"/>
        <w:adjustRightInd w:val="0"/>
        <w:snapToGrid w:val="0"/>
        <w:jc w:val="center"/>
        <w:rPr>
          <w:b/>
          <w:bCs/>
          <w:color w:val="auto"/>
          <w:kern w:val="0"/>
          <w:sz w:val="24"/>
        </w:rPr>
        <w:sectPr>
          <w:footerReference r:id="rId8"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tbl>
      <w:tblPr>
        <w:tblStyle w:val="3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8554"/>
      </w:tblGrid>
      <w:tr w14:paraId="44FE70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05" w:hRule="atLeast"/>
          <w:jc w:val="center"/>
        </w:trPr>
        <w:tc>
          <w:tcPr>
            <w:tcW w:w="334" w:type="dxa"/>
            <w:vAlign w:val="center"/>
          </w:tcPr>
          <w:p w14:paraId="0E7399F8">
            <w:pPr>
              <w:autoSpaceDE w:val="0"/>
              <w:autoSpaceDN w:val="0"/>
              <w:adjustRightInd w:val="0"/>
              <w:snapToGrid w:val="0"/>
              <w:jc w:val="center"/>
              <w:rPr>
                <w:b/>
                <w:bCs/>
                <w:color w:val="auto"/>
                <w:kern w:val="0"/>
                <w:sz w:val="24"/>
              </w:rPr>
            </w:pPr>
            <w:r>
              <w:rPr>
                <w:rFonts w:hAnsi="宋体"/>
                <w:b/>
                <w:bCs/>
                <w:color w:val="auto"/>
                <w:kern w:val="0"/>
                <w:sz w:val="24"/>
              </w:rPr>
              <w:t>其他符合性分析</w:t>
            </w:r>
          </w:p>
        </w:tc>
        <w:tc>
          <w:tcPr>
            <w:tcW w:w="8554" w:type="dxa"/>
            <w:vAlign w:val="center"/>
          </w:tcPr>
          <w:p w14:paraId="0AA861B6">
            <w:pPr>
              <w:tabs>
                <w:tab w:val="left" w:pos="720"/>
              </w:tabs>
              <w:adjustRightInd w:val="0"/>
              <w:snapToGrid w:val="0"/>
              <w:spacing w:line="360" w:lineRule="auto"/>
              <w:ind w:firstLine="482" w:firstLineChars="200"/>
              <w:rPr>
                <w:b/>
                <w:color w:val="auto"/>
                <w:sz w:val="24"/>
              </w:rPr>
            </w:pPr>
            <w:r>
              <w:rPr>
                <w:b/>
                <w:color w:val="auto"/>
                <w:sz w:val="24"/>
              </w:rPr>
              <w:t>一、产业政策相符性</w:t>
            </w:r>
          </w:p>
          <w:p w14:paraId="40337939">
            <w:pPr>
              <w:tabs>
                <w:tab w:val="left" w:pos="720"/>
              </w:tabs>
              <w:adjustRightInd w:val="0"/>
              <w:snapToGrid w:val="0"/>
              <w:spacing w:line="360" w:lineRule="auto"/>
              <w:ind w:firstLine="480" w:firstLineChars="200"/>
              <w:rPr>
                <w:color w:val="auto"/>
                <w:sz w:val="24"/>
              </w:rPr>
            </w:pPr>
            <w:r>
              <w:rPr>
                <w:color w:val="auto"/>
                <w:sz w:val="24"/>
              </w:rPr>
              <w:t>本项目主要为</w:t>
            </w:r>
            <w:r>
              <w:rPr>
                <w:rFonts w:ascii="Times New Roman" w:hAnsi="Times New Roman" w:cs="Times New Roman"/>
                <w:color w:val="auto"/>
                <w:sz w:val="24"/>
              </w:rPr>
              <w:t>预制水产及肉类</w:t>
            </w:r>
            <w:r>
              <w:rPr>
                <w:rFonts w:hint="eastAsia" w:ascii="Times New Roman" w:hAnsi="Times New Roman" w:cs="Times New Roman"/>
                <w:color w:val="auto"/>
                <w:sz w:val="24"/>
                <w:lang w:eastAsia="zh-CN"/>
              </w:rPr>
              <w:t>扩建</w:t>
            </w:r>
            <w:r>
              <w:rPr>
                <w:rFonts w:ascii="Times New Roman" w:hAnsi="Times New Roman" w:cs="Times New Roman"/>
                <w:color w:val="auto"/>
                <w:sz w:val="24"/>
              </w:rPr>
              <w:t>项</w:t>
            </w:r>
            <w:r>
              <w:rPr>
                <w:color w:val="auto"/>
                <w:sz w:val="24"/>
              </w:rPr>
              <w:t>目，对照《产业结构调整指导目录（20</w:t>
            </w:r>
            <w:r>
              <w:rPr>
                <w:rFonts w:hint="eastAsia"/>
                <w:color w:val="auto"/>
                <w:sz w:val="24"/>
              </w:rPr>
              <w:t>24</w:t>
            </w:r>
            <w:r>
              <w:rPr>
                <w:color w:val="auto"/>
                <w:sz w:val="24"/>
              </w:rPr>
              <w:t>年本）》，不属于其中的限制类和淘汰类项目，为允许类项目。</w:t>
            </w:r>
          </w:p>
          <w:p w14:paraId="418C2B19">
            <w:pPr>
              <w:tabs>
                <w:tab w:val="left" w:pos="720"/>
              </w:tabs>
              <w:adjustRightInd w:val="0"/>
              <w:snapToGrid w:val="0"/>
              <w:spacing w:line="360" w:lineRule="auto"/>
              <w:ind w:firstLine="480" w:firstLineChars="200"/>
              <w:rPr>
                <w:color w:val="auto"/>
                <w:kern w:val="0"/>
                <w:sz w:val="24"/>
              </w:rPr>
            </w:pPr>
            <w:r>
              <w:rPr>
                <w:color w:val="auto"/>
                <w:kern w:val="0"/>
                <w:sz w:val="24"/>
              </w:rPr>
              <w:t>对照《江苏省产业结构调整限制、淘汰和禁止目录》（苏办发</w:t>
            </w:r>
            <w:r>
              <w:rPr>
                <w:rFonts w:hint="eastAsia"/>
                <w:color w:val="auto"/>
                <w:kern w:val="0"/>
                <w:sz w:val="24"/>
                <w:lang w:eastAsia="zh-CN"/>
              </w:rPr>
              <w:t>〔2018〕32号</w:t>
            </w:r>
            <w:r>
              <w:rPr>
                <w:color w:val="auto"/>
                <w:kern w:val="0"/>
                <w:sz w:val="24"/>
              </w:rPr>
              <w:t>），本项目不属于限制类、淘汰类。</w:t>
            </w:r>
          </w:p>
          <w:p w14:paraId="6EE1E395">
            <w:pPr>
              <w:tabs>
                <w:tab w:val="left" w:pos="720"/>
              </w:tabs>
              <w:adjustRightInd w:val="0"/>
              <w:snapToGrid w:val="0"/>
              <w:spacing w:line="360" w:lineRule="auto"/>
              <w:ind w:firstLine="480" w:firstLineChars="200"/>
              <w:rPr>
                <w:color w:val="auto"/>
                <w:kern w:val="0"/>
                <w:sz w:val="24"/>
              </w:rPr>
            </w:pPr>
            <w:r>
              <w:rPr>
                <w:color w:val="auto"/>
                <w:kern w:val="0"/>
                <w:sz w:val="24"/>
              </w:rPr>
              <w:t>故本次</w:t>
            </w:r>
            <w:r>
              <w:rPr>
                <w:rFonts w:ascii="Times New Roman" w:hAnsi="Times New Roman" w:cs="Times New Roman"/>
                <w:color w:val="auto"/>
                <w:sz w:val="24"/>
              </w:rPr>
              <w:t>预制水产及肉类</w:t>
            </w:r>
            <w:r>
              <w:rPr>
                <w:rFonts w:hint="eastAsia" w:ascii="Times New Roman" w:hAnsi="Times New Roman" w:cs="Times New Roman"/>
                <w:color w:val="auto"/>
                <w:sz w:val="24"/>
                <w:lang w:eastAsia="zh-CN"/>
              </w:rPr>
              <w:t>扩建</w:t>
            </w:r>
            <w:r>
              <w:rPr>
                <w:color w:val="auto"/>
                <w:kern w:val="0"/>
                <w:sz w:val="24"/>
              </w:rPr>
              <w:t>符合国家及地方的产业政策，该项目202</w:t>
            </w:r>
            <w:r>
              <w:rPr>
                <w:rFonts w:hint="eastAsia"/>
                <w:color w:val="auto"/>
                <w:kern w:val="0"/>
                <w:sz w:val="24"/>
                <w:lang w:val="en-US" w:eastAsia="zh-CN"/>
              </w:rPr>
              <w:t>5</w:t>
            </w:r>
            <w:r>
              <w:rPr>
                <w:color w:val="auto"/>
                <w:kern w:val="0"/>
                <w:sz w:val="24"/>
              </w:rPr>
              <w:t>年</w:t>
            </w:r>
            <w:r>
              <w:rPr>
                <w:rFonts w:hint="eastAsia"/>
                <w:color w:val="auto"/>
                <w:kern w:val="0"/>
                <w:sz w:val="24"/>
                <w:lang w:val="en-US" w:eastAsia="zh-CN"/>
              </w:rPr>
              <w:t>6</w:t>
            </w:r>
            <w:r>
              <w:rPr>
                <w:color w:val="auto"/>
                <w:kern w:val="0"/>
                <w:sz w:val="24"/>
              </w:rPr>
              <w:t>月</w:t>
            </w:r>
            <w:r>
              <w:rPr>
                <w:rFonts w:hint="eastAsia"/>
                <w:color w:val="auto"/>
                <w:kern w:val="0"/>
                <w:sz w:val="24"/>
                <w:lang w:val="en-US" w:eastAsia="zh-CN"/>
              </w:rPr>
              <w:t>24</w:t>
            </w:r>
            <w:r>
              <w:rPr>
                <w:color w:val="auto"/>
                <w:kern w:val="0"/>
                <w:sz w:val="24"/>
              </w:rPr>
              <w:t>日由江苏涟水经济开发区管委会备案，备案证号：</w:t>
            </w:r>
            <w:r>
              <w:rPr>
                <w:color w:val="auto"/>
                <w:kern w:val="0"/>
                <w:sz w:val="24"/>
                <w:lang w:val="en-US" w:eastAsia="zh-CN"/>
              </w:rPr>
              <w:t>涟区开发备〔2025〕</w:t>
            </w:r>
            <w:r>
              <w:rPr>
                <w:rFonts w:hint="eastAsia"/>
                <w:color w:val="auto"/>
                <w:kern w:val="0"/>
                <w:sz w:val="24"/>
                <w:lang w:val="en-US" w:eastAsia="zh-CN"/>
              </w:rPr>
              <w:t>91</w:t>
            </w:r>
            <w:r>
              <w:rPr>
                <w:color w:val="auto"/>
                <w:kern w:val="0"/>
                <w:sz w:val="24"/>
                <w:lang w:val="en-US" w:eastAsia="zh-CN"/>
              </w:rPr>
              <w:t>号</w:t>
            </w:r>
            <w:r>
              <w:rPr>
                <w:color w:val="auto"/>
                <w:kern w:val="0"/>
                <w:sz w:val="24"/>
              </w:rPr>
              <w:t>，项目代码：</w:t>
            </w:r>
            <w:r>
              <w:rPr>
                <w:rFonts w:hint="eastAsia"/>
                <w:color w:val="auto"/>
                <w:kern w:val="0"/>
                <w:sz w:val="24"/>
                <w:lang w:val="en-US" w:eastAsia="zh-CN"/>
              </w:rPr>
              <w:t>2506-320860-89-02-290857</w:t>
            </w:r>
            <w:r>
              <w:rPr>
                <w:color w:val="auto"/>
                <w:kern w:val="0"/>
                <w:sz w:val="24"/>
              </w:rPr>
              <w:t>。</w:t>
            </w:r>
          </w:p>
          <w:p w14:paraId="5576BD12">
            <w:pPr>
              <w:tabs>
                <w:tab w:val="left" w:pos="720"/>
              </w:tabs>
              <w:adjustRightInd w:val="0"/>
              <w:snapToGrid w:val="0"/>
              <w:spacing w:line="360" w:lineRule="auto"/>
              <w:ind w:firstLine="482" w:firstLineChars="200"/>
              <w:rPr>
                <w:b/>
                <w:color w:val="auto"/>
                <w:sz w:val="24"/>
              </w:rPr>
            </w:pPr>
            <w:r>
              <w:rPr>
                <w:b/>
                <w:color w:val="auto"/>
                <w:sz w:val="24"/>
              </w:rPr>
              <w:t>二、选址、规划相符性分析</w:t>
            </w:r>
          </w:p>
          <w:p w14:paraId="7D87D4B4">
            <w:pPr>
              <w:tabs>
                <w:tab w:val="left" w:pos="720"/>
              </w:tabs>
              <w:adjustRightInd w:val="0"/>
              <w:snapToGrid w:val="0"/>
              <w:spacing w:line="360" w:lineRule="auto"/>
              <w:ind w:firstLine="480" w:firstLineChars="200"/>
              <w:rPr>
                <w:color w:val="auto"/>
                <w:kern w:val="0"/>
                <w:sz w:val="24"/>
              </w:rPr>
            </w:pPr>
            <w:r>
              <w:rPr>
                <w:color w:val="auto"/>
                <w:kern w:val="0"/>
                <w:sz w:val="24"/>
              </w:rPr>
              <w:t>本项目位于</w:t>
            </w:r>
            <w:r>
              <w:rPr>
                <w:color w:val="auto"/>
                <w:kern w:val="0"/>
                <w:sz w:val="24"/>
                <w:lang w:val="en-US" w:eastAsia="zh-CN"/>
              </w:rPr>
              <w:t>江苏省淮安市</w:t>
            </w:r>
            <w:r>
              <w:rPr>
                <w:rFonts w:hint="eastAsia"/>
                <w:color w:val="auto"/>
                <w:kern w:val="0"/>
                <w:sz w:val="24"/>
                <w:lang w:val="en-US" w:eastAsia="zh-CN"/>
              </w:rPr>
              <w:t>江苏涟水经济开发区涟水路3号</w:t>
            </w:r>
            <w:r>
              <w:rPr>
                <w:color w:val="auto"/>
                <w:kern w:val="0"/>
                <w:sz w:val="24"/>
              </w:rPr>
              <w:t>，对照国家《限制用地项目目录（2012年本）》和《禁止用地项目目录（2012年本）》及《江苏省限制用地项目目录（2013年本）》和《江苏省禁止用地项目目录（2013年本）》相关名录，本项目不属于其规定的限制用地和禁止用地项目范畴，因此，该项目建设选址合理。</w:t>
            </w:r>
          </w:p>
          <w:p w14:paraId="223DFD8A">
            <w:pPr>
              <w:tabs>
                <w:tab w:val="left" w:pos="720"/>
              </w:tabs>
              <w:adjustRightInd w:val="0"/>
              <w:snapToGrid w:val="0"/>
              <w:spacing w:line="360" w:lineRule="auto"/>
              <w:ind w:firstLine="480" w:firstLineChars="200"/>
              <w:rPr>
                <w:color w:val="auto"/>
                <w:kern w:val="0"/>
                <w:sz w:val="24"/>
              </w:rPr>
            </w:pPr>
            <w:r>
              <w:rPr>
                <w:color w:val="auto"/>
                <w:kern w:val="0"/>
                <w:sz w:val="24"/>
              </w:rPr>
              <w:t>综上，本项目符合相关规划要求。</w:t>
            </w:r>
          </w:p>
          <w:p w14:paraId="1945517E">
            <w:pPr>
              <w:adjustRightInd w:val="0"/>
              <w:snapToGrid w:val="0"/>
              <w:spacing w:line="360" w:lineRule="auto"/>
              <w:ind w:firstLine="482" w:firstLineChars="200"/>
              <w:rPr>
                <w:rFonts w:ascii="Times New Roman" w:cs="Times New Roman" w:hAnsiTheme="minorEastAsia" w:eastAsiaTheme="minorEastAsia"/>
                <w:b/>
                <w:color w:val="auto"/>
                <w:sz w:val="24"/>
              </w:rPr>
            </w:pPr>
            <w:r>
              <w:rPr>
                <w:rFonts w:ascii="Times New Roman" w:cs="Times New Roman" w:hAnsiTheme="minorEastAsia" w:eastAsiaTheme="minorEastAsia"/>
                <w:b/>
                <w:color w:val="auto"/>
                <w:sz w:val="24"/>
              </w:rPr>
              <w:t>三、“三线一单”相符性分析</w:t>
            </w:r>
          </w:p>
          <w:p w14:paraId="35C97507">
            <w:pPr>
              <w:adjustRightInd w:val="0"/>
              <w:snapToGrid w:val="0"/>
              <w:spacing w:line="360" w:lineRule="auto"/>
              <w:ind w:firstLine="482" w:firstLineChars="200"/>
              <w:rPr>
                <w:rFonts w:hAnsiTheme="minorEastAsia" w:eastAsiaTheme="minorEastAsia"/>
                <w:b/>
                <w:color w:val="auto"/>
                <w:sz w:val="24"/>
              </w:rPr>
            </w:pPr>
            <w:r>
              <w:rPr>
                <w:rFonts w:hAnsiTheme="minorEastAsia" w:eastAsiaTheme="minorEastAsia"/>
                <w:b/>
                <w:color w:val="auto"/>
                <w:sz w:val="24"/>
              </w:rPr>
              <w:t>（1）与生态红线相符性</w:t>
            </w:r>
          </w:p>
          <w:p w14:paraId="3EDE0D3A">
            <w:pPr>
              <w:adjustRightInd w:val="0"/>
              <w:snapToGrid w:val="0"/>
              <w:spacing w:line="360" w:lineRule="auto"/>
              <w:ind w:firstLine="480" w:firstLineChars="200"/>
              <w:rPr>
                <w:rFonts w:hint="eastAsia"/>
                <w:color w:val="auto"/>
                <w:sz w:val="24"/>
              </w:rPr>
            </w:pPr>
            <w:r>
              <w:rPr>
                <w:color w:val="auto"/>
                <w:sz w:val="24"/>
              </w:rPr>
              <w:t>①</w:t>
            </w:r>
            <w:r>
              <w:rPr>
                <w:rFonts w:hint="eastAsia"/>
                <w:color w:val="auto"/>
                <w:sz w:val="24"/>
              </w:rPr>
              <w:t>与生态红线相符性分析</w:t>
            </w:r>
          </w:p>
          <w:p w14:paraId="3FB0FEE6">
            <w:pPr>
              <w:adjustRightInd w:val="0"/>
              <w:snapToGrid w:val="0"/>
              <w:spacing w:line="360" w:lineRule="auto"/>
              <w:ind w:firstLine="480" w:firstLineChars="200"/>
              <w:rPr>
                <w:color w:val="auto"/>
                <w:sz w:val="24"/>
              </w:rPr>
            </w:pPr>
            <w:r>
              <w:rPr>
                <w:color w:val="auto"/>
                <w:sz w:val="24"/>
              </w:rPr>
              <w:t>本项目位于</w:t>
            </w:r>
            <w:r>
              <w:rPr>
                <w:rFonts w:hint="eastAsia"/>
                <w:color w:val="auto"/>
                <w:kern w:val="0"/>
                <w:sz w:val="24"/>
                <w:lang w:val="en-US" w:eastAsia="zh-CN"/>
              </w:rPr>
              <w:t>江苏涟水经济开发区涟水路3号</w:t>
            </w:r>
            <w:r>
              <w:rPr>
                <w:color w:val="auto"/>
                <w:sz w:val="24"/>
              </w:rPr>
              <w:t>，对照《省政府关于印发江苏省生态空间管控区域规划的通知》（苏政发〔2020〕1号）和《省政府关于印发江苏省国家级生态保护红线规划》（苏政发〔2018〕74号），本项目距离涟水湖约</w:t>
            </w:r>
            <w:r>
              <w:rPr>
                <w:rFonts w:hint="eastAsia"/>
                <w:color w:val="auto"/>
                <w:sz w:val="24"/>
                <w:lang w:val="en-US" w:eastAsia="zh-CN"/>
              </w:rPr>
              <w:t>1010</w:t>
            </w:r>
            <w:r>
              <w:rPr>
                <w:color w:val="auto"/>
                <w:sz w:val="24"/>
              </w:rPr>
              <w:t>m，距离古黄河（涟水县）饮用水水源保护区3800m，不在生态空间管控区域内，详见表1-2。因此与《省政府关于印发江苏省生态空间管控区域规划的通知》（苏政发〔2020〕1号）和《省政府关于印发江苏省国家级生态保护红线规划》（苏政发〔2018〕74号）相符。详见表1-</w:t>
            </w:r>
            <w:r>
              <w:rPr>
                <w:rFonts w:hint="eastAsia"/>
                <w:color w:val="auto"/>
                <w:sz w:val="24"/>
                <w:lang w:val="en-US" w:eastAsia="zh-CN"/>
              </w:rPr>
              <w:t>3</w:t>
            </w:r>
            <w:r>
              <w:rPr>
                <w:color w:val="auto"/>
                <w:sz w:val="24"/>
              </w:rPr>
              <w:t>。</w:t>
            </w:r>
          </w:p>
          <w:p w14:paraId="2FF349FF">
            <w:pPr>
              <w:keepNext/>
              <w:adjustRightInd w:val="0"/>
              <w:snapToGrid w:val="0"/>
              <w:jc w:val="center"/>
              <w:rPr>
                <w:b/>
                <w:color w:val="auto"/>
                <w:sz w:val="24"/>
              </w:rPr>
            </w:pPr>
            <w:r>
              <w:rPr>
                <w:b/>
                <w:color w:val="auto"/>
                <w:sz w:val="24"/>
              </w:rPr>
              <w:t>表1-</w:t>
            </w:r>
            <w:r>
              <w:rPr>
                <w:rFonts w:hint="eastAsia"/>
                <w:b/>
                <w:color w:val="auto"/>
                <w:sz w:val="24"/>
                <w:lang w:val="en-US" w:eastAsia="zh-CN"/>
              </w:rPr>
              <w:t>3</w:t>
            </w:r>
            <w:r>
              <w:rPr>
                <w:b/>
                <w:color w:val="auto"/>
                <w:sz w:val="24"/>
              </w:rPr>
              <w:t xml:space="preserve">  项目地附近红线生态区域情况表</w:t>
            </w:r>
          </w:p>
          <w:tbl>
            <w:tblPr>
              <w:tblStyle w:val="3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079"/>
              <w:gridCol w:w="791"/>
              <w:gridCol w:w="1668"/>
              <w:gridCol w:w="2262"/>
              <w:gridCol w:w="941"/>
              <w:gridCol w:w="861"/>
              <w:gridCol w:w="736"/>
            </w:tblGrid>
            <w:tr w14:paraId="3C88E9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47" w:type="pct"/>
                  <w:vMerge w:val="restart"/>
                  <w:vAlign w:val="center"/>
                </w:tcPr>
                <w:p w14:paraId="58268451">
                  <w:pPr>
                    <w:adjustRightInd w:val="0"/>
                    <w:snapToGrid w:val="0"/>
                    <w:spacing w:line="280" w:lineRule="exact"/>
                    <w:jc w:val="center"/>
                    <w:rPr>
                      <w:b/>
                      <w:bCs/>
                      <w:color w:val="auto"/>
                      <w:szCs w:val="21"/>
                    </w:rPr>
                  </w:pPr>
                  <w:r>
                    <w:rPr>
                      <w:b/>
                      <w:bCs/>
                      <w:color w:val="auto"/>
                      <w:szCs w:val="21"/>
                    </w:rPr>
                    <w:t>红线区域</w:t>
                  </w:r>
                </w:p>
                <w:p w14:paraId="0F1D44E3">
                  <w:pPr>
                    <w:adjustRightInd w:val="0"/>
                    <w:snapToGrid w:val="0"/>
                    <w:spacing w:line="280" w:lineRule="exact"/>
                    <w:jc w:val="center"/>
                    <w:rPr>
                      <w:b/>
                      <w:bCs/>
                      <w:color w:val="auto"/>
                      <w:szCs w:val="21"/>
                    </w:rPr>
                  </w:pPr>
                  <w:r>
                    <w:rPr>
                      <w:b/>
                      <w:bCs/>
                      <w:color w:val="auto"/>
                      <w:szCs w:val="21"/>
                    </w:rPr>
                    <w:t>名称</w:t>
                  </w:r>
                </w:p>
              </w:tc>
              <w:tc>
                <w:tcPr>
                  <w:tcW w:w="474" w:type="pct"/>
                  <w:vMerge w:val="restart"/>
                  <w:vAlign w:val="center"/>
                </w:tcPr>
                <w:p w14:paraId="62055C15">
                  <w:pPr>
                    <w:adjustRightInd w:val="0"/>
                    <w:snapToGrid w:val="0"/>
                    <w:spacing w:line="280" w:lineRule="exact"/>
                    <w:jc w:val="center"/>
                    <w:rPr>
                      <w:b/>
                      <w:bCs/>
                      <w:color w:val="auto"/>
                      <w:szCs w:val="21"/>
                    </w:rPr>
                  </w:pPr>
                  <w:r>
                    <w:rPr>
                      <w:b/>
                      <w:bCs/>
                      <w:color w:val="auto"/>
                      <w:szCs w:val="21"/>
                    </w:rPr>
                    <w:t>主导生态</w:t>
                  </w:r>
                </w:p>
                <w:p w14:paraId="55707A5E">
                  <w:pPr>
                    <w:adjustRightInd w:val="0"/>
                    <w:snapToGrid w:val="0"/>
                    <w:spacing w:line="280" w:lineRule="exact"/>
                    <w:jc w:val="center"/>
                    <w:rPr>
                      <w:b/>
                      <w:bCs/>
                      <w:color w:val="auto"/>
                      <w:szCs w:val="21"/>
                    </w:rPr>
                  </w:pPr>
                  <w:r>
                    <w:rPr>
                      <w:b/>
                      <w:bCs/>
                      <w:color w:val="auto"/>
                      <w:szCs w:val="21"/>
                    </w:rPr>
                    <w:t>功能</w:t>
                  </w:r>
                </w:p>
              </w:tc>
              <w:tc>
                <w:tcPr>
                  <w:tcW w:w="2356" w:type="pct"/>
                  <w:gridSpan w:val="2"/>
                  <w:vAlign w:val="center"/>
                </w:tcPr>
                <w:p w14:paraId="4AC328D5">
                  <w:pPr>
                    <w:adjustRightInd w:val="0"/>
                    <w:snapToGrid w:val="0"/>
                    <w:spacing w:line="280" w:lineRule="exact"/>
                    <w:jc w:val="center"/>
                    <w:rPr>
                      <w:b/>
                      <w:bCs/>
                      <w:color w:val="auto"/>
                      <w:szCs w:val="21"/>
                    </w:rPr>
                  </w:pPr>
                  <w:r>
                    <w:rPr>
                      <w:b/>
                      <w:bCs/>
                      <w:color w:val="auto"/>
                      <w:szCs w:val="21"/>
                    </w:rPr>
                    <w:t>红线区域范围</w:t>
                  </w:r>
                </w:p>
              </w:tc>
              <w:tc>
                <w:tcPr>
                  <w:tcW w:w="1521" w:type="pct"/>
                  <w:gridSpan w:val="3"/>
                  <w:vAlign w:val="center"/>
                </w:tcPr>
                <w:p w14:paraId="20A78493">
                  <w:pPr>
                    <w:adjustRightInd w:val="0"/>
                    <w:snapToGrid w:val="0"/>
                    <w:spacing w:line="280" w:lineRule="exact"/>
                    <w:jc w:val="center"/>
                    <w:rPr>
                      <w:b/>
                      <w:bCs/>
                      <w:color w:val="auto"/>
                      <w:szCs w:val="21"/>
                    </w:rPr>
                  </w:pPr>
                  <w:r>
                    <w:rPr>
                      <w:b/>
                      <w:bCs/>
                      <w:color w:val="auto"/>
                      <w:szCs w:val="21"/>
                    </w:rPr>
                    <w:t>面积（平方公里）</w:t>
                  </w:r>
                </w:p>
              </w:tc>
            </w:tr>
            <w:tr w14:paraId="4B2B06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47" w:type="pct"/>
                  <w:vMerge w:val="continue"/>
                  <w:vAlign w:val="center"/>
                </w:tcPr>
                <w:p w14:paraId="7D9DB65C">
                  <w:pPr>
                    <w:adjustRightInd w:val="0"/>
                    <w:snapToGrid w:val="0"/>
                    <w:spacing w:line="280" w:lineRule="exact"/>
                    <w:jc w:val="center"/>
                    <w:rPr>
                      <w:b/>
                      <w:bCs/>
                      <w:color w:val="auto"/>
                      <w:szCs w:val="21"/>
                    </w:rPr>
                  </w:pPr>
                </w:p>
              </w:tc>
              <w:tc>
                <w:tcPr>
                  <w:tcW w:w="474" w:type="pct"/>
                  <w:vMerge w:val="continue"/>
                  <w:vAlign w:val="center"/>
                </w:tcPr>
                <w:p w14:paraId="03ECB7DC">
                  <w:pPr>
                    <w:adjustRightInd w:val="0"/>
                    <w:snapToGrid w:val="0"/>
                    <w:spacing w:line="280" w:lineRule="exact"/>
                    <w:jc w:val="center"/>
                    <w:rPr>
                      <w:b/>
                      <w:bCs/>
                      <w:color w:val="auto"/>
                      <w:szCs w:val="21"/>
                    </w:rPr>
                  </w:pPr>
                </w:p>
              </w:tc>
              <w:tc>
                <w:tcPr>
                  <w:tcW w:w="1000" w:type="pct"/>
                  <w:vAlign w:val="center"/>
                </w:tcPr>
                <w:p w14:paraId="28996C71">
                  <w:pPr>
                    <w:adjustRightInd w:val="0"/>
                    <w:snapToGrid w:val="0"/>
                    <w:spacing w:line="280" w:lineRule="exact"/>
                    <w:jc w:val="center"/>
                    <w:rPr>
                      <w:b/>
                      <w:bCs/>
                      <w:color w:val="auto"/>
                      <w:szCs w:val="21"/>
                    </w:rPr>
                  </w:pPr>
                  <w:r>
                    <w:rPr>
                      <w:b/>
                      <w:bCs/>
                      <w:color w:val="auto"/>
                      <w:szCs w:val="21"/>
                    </w:rPr>
                    <w:t>国家生态保护红线范围</w:t>
                  </w:r>
                </w:p>
              </w:tc>
              <w:tc>
                <w:tcPr>
                  <w:tcW w:w="1356" w:type="pct"/>
                  <w:vAlign w:val="center"/>
                </w:tcPr>
                <w:p w14:paraId="0EF6CAEE">
                  <w:pPr>
                    <w:adjustRightInd w:val="0"/>
                    <w:snapToGrid w:val="0"/>
                    <w:spacing w:line="280" w:lineRule="exact"/>
                    <w:jc w:val="center"/>
                    <w:rPr>
                      <w:b/>
                      <w:bCs/>
                      <w:color w:val="auto"/>
                      <w:szCs w:val="21"/>
                    </w:rPr>
                  </w:pPr>
                  <w:r>
                    <w:rPr>
                      <w:b/>
                      <w:bCs/>
                      <w:color w:val="auto"/>
                      <w:szCs w:val="21"/>
                    </w:rPr>
                    <w:t>生态空间管控区域范围</w:t>
                  </w:r>
                </w:p>
              </w:tc>
              <w:tc>
                <w:tcPr>
                  <w:tcW w:w="564" w:type="pct"/>
                  <w:vAlign w:val="center"/>
                </w:tcPr>
                <w:p w14:paraId="5A4DA3B1">
                  <w:pPr>
                    <w:adjustRightInd w:val="0"/>
                    <w:snapToGrid w:val="0"/>
                    <w:spacing w:line="280" w:lineRule="exact"/>
                    <w:jc w:val="center"/>
                    <w:rPr>
                      <w:b/>
                      <w:bCs/>
                      <w:color w:val="auto"/>
                      <w:szCs w:val="21"/>
                    </w:rPr>
                  </w:pPr>
                  <w:r>
                    <w:rPr>
                      <w:b/>
                      <w:bCs/>
                      <w:color w:val="auto"/>
                      <w:szCs w:val="21"/>
                    </w:rPr>
                    <w:t>国家生态保护红线范围</w:t>
                  </w:r>
                </w:p>
              </w:tc>
              <w:tc>
                <w:tcPr>
                  <w:tcW w:w="516" w:type="pct"/>
                  <w:vAlign w:val="center"/>
                </w:tcPr>
                <w:p w14:paraId="4BD25E82">
                  <w:pPr>
                    <w:adjustRightInd w:val="0"/>
                    <w:snapToGrid w:val="0"/>
                    <w:spacing w:line="280" w:lineRule="exact"/>
                    <w:jc w:val="center"/>
                    <w:rPr>
                      <w:b/>
                      <w:bCs/>
                      <w:color w:val="auto"/>
                      <w:szCs w:val="21"/>
                    </w:rPr>
                  </w:pPr>
                  <w:r>
                    <w:rPr>
                      <w:b/>
                      <w:bCs/>
                      <w:color w:val="auto"/>
                      <w:szCs w:val="21"/>
                    </w:rPr>
                    <w:t>生态空间管控区域范围</w:t>
                  </w:r>
                </w:p>
              </w:tc>
              <w:tc>
                <w:tcPr>
                  <w:tcW w:w="440" w:type="pct"/>
                  <w:vAlign w:val="center"/>
                </w:tcPr>
                <w:p w14:paraId="0124DCEA">
                  <w:pPr>
                    <w:adjustRightInd w:val="0"/>
                    <w:snapToGrid w:val="0"/>
                    <w:spacing w:line="280" w:lineRule="exact"/>
                    <w:jc w:val="center"/>
                    <w:rPr>
                      <w:b/>
                      <w:bCs/>
                      <w:color w:val="auto"/>
                      <w:szCs w:val="21"/>
                    </w:rPr>
                  </w:pPr>
                  <w:r>
                    <w:rPr>
                      <w:b/>
                      <w:bCs/>
                      <w:color w:val="auto"/>
                      <w:szCs w:val="21"/>
                    </w:rPr>
                    <w:t>总面积</w:t>
                  </w:r>
                </w:p>
              </w:tc>
            </w:tr>
            <w:tr w14:paraId="145749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47" w:type="pct"/>
                  <w:vAlign w:val="center"/>
                </w:tcPr>
                <w:p w14:paraId="2072CFA6">
                  <w:pPr>
                    <w:adjustRightInd w:val="0"/>
                    <w:snapToGrid w:val="0"/>
                    <w:spacing w:line="280" w:lineRule="exact"/>
                    <w:jc w:val="center"/>
                    <w:rPr>
                      <w:rFonts w:hint="eastAsia" w:eastAsia="宋体"/>
                      <w:color w:val="auto"/>
                      <w:szCs w:val="21"/>
                      <w:lang w:eastAsia="zh-CN"/>
                    </w:rPr>
                  </w:pPr>
                  <w:r>
                    <w:rPr>
                      <w:rFonts w:hint="eastAsia"/>
                      <w:color w:val="auto"/>
                      <w:szCs w:val="21"/>
                      <w:lang w:eastAsia="zh-CN"/>
                    </w:rPr>
                    <w:t>涟水湖</w:t>
                  </w:r>
                </w:p>
              </w:tc>
              <w:tc>
                <w:tcPr>
                  <w:tcW w:w="474" w:type="pct"/>
                  <w:vAlign w:val="center"/>
                </w:tcPr>
                <w:p w14:paraId="73A41E17">
                  <w:pPr>
                    <w:adjustRightInd w:val="0"/>
                    <w:snapToGrid w:val="0"/>
                    <w:spacing w:line="280" w:lineRule="exact"/>
                    <w:jc w:val="center"/>
                    <w:rPr>
                      <w:color w:val="auto"/>
                      <w:szCs w:val="21"/>
                    </w:rPr>
                  </w:pPr>
                  <w:r>
                    <w:rPr>
                      <w:color w:val="auto"/>
                      <w:szCs w:val="21"/>
                    </w:rPr>
                    <w:t>生物多样性保护</w:t>
                  </w:r>
                </w:p>
              </w:tc>
              <w:tc>
                <w:tcPr>
                  <w:tcW w:w="1000" w:type="pct"/>
                  <w:vAlign w:val="center"/>
                </w:tcPr>
                <w:p w14:paraId="58C56A07">
                  <w:pPr>
                    <w:adjustRightInd w:val="0"/>
                    <w:snapToGrid w:val="0"/>
                    <w:spacing w:line="280" w:lineRule="exact"/>
                    <w:jc w:val="center"/>
                    <w:rPr>
                      <w:color w:val="auto"/>
                      <w:szCs w:val="21"/>
                    </w:rPr>
                  </w:pPr>
                  <w:r>
                    <w:rPr>
                      <w:color w:val="auto"/>
                      <w:szCs w:val="21"/>
                    </w:rPr>
                    <w:t>/</w:t>
                  </w:r>
                </w:p>
              </w:tc>
              <w:tc>
                <w:tcPr>
                  <w:tcW w:w="1356" w:type="pct"/>
                  <w:vAlign w:val="center"/>
                </w:tcPr>
                <w:p w14:paraId="75896BB6">
                  <w:pPr>
                    <w:adjustRightInd w:val="0"/>
                    <w:snapToGrid w:val="0"/>
                    <w:spacing w:line="280" w:lineRule="exact"/>
                    <w:jc w:val="center"/>
                    <w:rPr>
                      <w:color w:val="auto"/>
                      <w:szCs w:val="21"/>
                    </w:rPr>
                  </w:pPr>
                  <w:r>
                    <w:rPr>
                      <w:color w:val="auto"/>
                      <w:szCs w:val="21"/>
                    </w:rPr>
                    <w:t>包括自然保护区核心区、缓冲区和实验区。自然保护区五岛公园以及相连水域为核心区和缓冲区。实验区范围包括涟水县涟城镇的五岛公园以及相连水域，城郊废黄河沿线的林区和水域、湿地生态系统。坐标为：118°59′E至119°35′E，33°45′N至34°65′N之间</w:t>
                  </w:r>
                </w:p>
              </w:tc>
              <w:tc>
                <w:tcPr>
                  <w:tcW w:w="564" w:type="pct"/>
                  <w:vAlign w:val="center"/>
                </w:tcPr>
                <w:p w14:paraId="586874F3">
                  <w:pPr>
                    <w:adjustRightInd w:val="0"/>
                    <w:snapToGrid w:val="0"/>
                    <w:spacing w:line="280" w:lineRule="exact"/>
                    <w:jc w:val="center"/>
                    <w:rPr>
                      <w:color w:val="auto"/>
                      <w:szCs w:val="21"/>
                    </w:rPr>
                  </w:pPr>
                  <w:r>
                    <w:rPr>
                      <w:color w:val="auto"/>
                      <w:szCs w:val="21"/>
                    </w:rPr>
                    <w:t>34.33</w:t>
                  </w:r>
                </w:p>
              </w:tc>
              <w:tc>
                <w:tcPr>
                  <w:tcW w:w="516" w:type="pct"/>
                  <w:vAlign w:val="center"/>
                </w:tcPr>
                <w:p w14:paraId="0BA7A7D2">
                  <w:pPr>
                    <w:adjustRightInd w:val="0"/>
                    <w:snapToGrid w:val="0"/>
                    <w:spacing w:line="280" w:lineRule="exact"/>
                    <w:jc w:val="center"/>
                    <w:rPr>
                      <w:color w:val="auto"/>
                      <w:szCs w:val="21"/>
                    </w:rPr>
                  </w:pPr>
                  <w:r>
                    <w:rPr>
                      <w:color w:val="auto"/>
                      <w:szCs w:val="21"/>
                    </w:rPr>
                    <w:t>/</w:t>
                  </w:r>
                </w:p>
              </w:tc>
              <w:tc>
                <w:tcPr>
                  <w:tcW w:w="440" w:type="pct"/>
                  <w:vAlign w:val="center"/>
                </w:tcPr>
                <w:p w14:paraId="0D01CCC4">
                  <w:pPr>
                    <w:adjustRightInd w:val="0"/>
                    <w:snapToGrid w:val="0"/>
                    <w:spacing w:line="280" w:lineRule="exact"/>
                    <w:jc w:val="center"/>
                    <w:rPr>
                      <w:color w:val="auto"/>
                      <w:szCs w:val="21"/>
                    </w:rPr>
                  </w:pPr>
                  <w:r>
                    <w:rPr>
                      <w:color w:val="auto"/>
                      <w:szCs w:val="21"/>
                    </w:rPr>
                    <w:t>34.33</w:t>
                  </w:r>
                </w:p>
              </w:tc>
            </w:tr>
            <w:tr w14:paraId="0A55BA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47" w:type="pct"/>
                  <w:vAlign w:val="center"/>
                </w:tcPr>
                <w:p w14:paraId="2B26AB8E">
                  <w:pPr>
                    <w:adjustRightInd w:val="0"/>
                    <w:snapToGrid w:val="0"/>
                    <w:spacing w:line="280" w:lineRule="exact"/>
                    <w:jc w:val="center"/>
                    <w:rPr>
                      <w:color w:val="auto"/>
                      <w:szCs w:val="21"/>
                    </w:rPr>
                  </w:pPr>
                  <w:r>
                    <w:rPr>
                      <w:color w:val="auto"/>
                      <w:szCs w:val="21"/>
                    </w:rPr>
                    <w:t>古黄河（涟水县）饮用水水源保护区</w:t>
                  </w:r>
                </w:p>
              </w:tc>
              <w:tc>
                <w:tcPr>
                  <w:tcW w:w="474" w:type="pct"/>
                  <w:vAlign w:val="center"/>
                </w:tcPr>
                <w:p w14:paraId="6EFBD32A">
                  <w:pPr>
                    <w:adjustRightInd w:val="0"/>
                    <w:snapToGrid w:val="0"/>
                    <w:spacing w:line="280" w:lineRule="exact"/>
                    <w:jc w:val="center"/>
                    <w:rPr>
                      <w:color w:val="auto"/>
                      <w:szCs w:val="21"/>
                    </w:rPr>
                  </w:pPr>
                  <w:r>
                    <w:rPr>
                      <w:color w:val="auto"/>
                      <w:szCs w:val="21"/>
                    </w:rPr>
                    <w:t>水源水质保护</w:t>
                  </w:r>
                </w:p>
              </w:tc>
              <w:tc>
                <w:tcPr>
                  <w:tcW w:w="1000" w:type="pct"/>
                  <w:vAlign w:val="center"/>
                </w:tcPr>
                <w:p w14:paraId="132201FF">
                  <w:pPr>
                    <w:adjustRightInd w:val="0"/>
                    <w:snapToGrid w:val="0"/>
                    <w:spacing w:line="280" w:lineRule="exact"/>
                    <w:jc w:val="center"/>
                    <w:rPr>
                      <w:color w:val="auto"/>
                      <w:szCs w:val="21"/>
                    </w:rPr>
                  </w:pPr>
                  <w:r>
                    <w:rPr>
                      <w:color w:val="auto"/>
                      <w:szCs w:val="21"/>
                    </w:rPr>
                    <w:t>/</w:t>
                  </w:r>
                </w:p>
              </w:tc>
              <w:tc>
                <w:tcPr>
                  <w:tcW w:w="1356" w:type="pct"/>
                  <w:vAlign w:val="center"/>
                </w:tcPr>
                <w:p w14:paraId="070B757C">
                  <w:pPr>
                    <w:adjustRightInd w:val="0"/>
                    <w:snapToGrid w:val="0"/>
                    <w:spacing w:line="280" w:lineRule="exact"/>
                    <w:jc w:val="center"/>
                    <w:rPr>
                      <w:color w:val="auto"/>
                      <w:szCs w:val="21"/>
                    </w:rPr>
                  </w:pPr>
                  <w:r>
                    <w:rPr>
                      <w:color w:val="auto"/>
                      <w:szCs w:val="21"/>
                    </w:rPr>
                    <w:t>一级保护区：上游1000米至下游500米，及其岸背水坡之间的水域范围和一级保护区水域与两岸背水坡堤脚之间的陆域范围。</w:t>
                  </w:r>
                </w:p>
                <w:p w14:paraId="7895E3D4">
                  <w:pPr>
                    <w:adjustRightInd w:val="0"/>
                    <w:snapToGrid w:val="0"/>
                    <w:spacing w:line="280" w:lineRule="exact"/>
                    <w:jc w:val="center"/>
                    <w:rPr>
                      <w:color w:val="auto"/>
                      <w:szCs w:val="21"/>
                    </w:rPr>
                  </w:pPr>
                  <w:r>
                    <w:rPr>
                      <w:color w:val="auto"/>
                      <w:szCs w:val="21"/>
                    </w:rPr>
                    <w:t>二级保护区：一级保护区以外上溯1500米、下延至涟水闸的水域范围和二级保护区水域与两岸背水坡堤脚之间的陆域范围</w:t>
                  </w:r>
                </w:p>
              </w:tc>
              <w:tc>
                <w:tcPr>
                  <w:tcW w:w="564" w:type="pct"/>
                  <w:vAlign w:val="center"/>
                </w:tcPr>
                <w:p w14:paraId="4EFD1882">
                  <w:pPr>
                    <w:adjustRightInd w:val="0"/>
                    <w:snapToGrid w:val="0"/>
                    <w:spacing w:line="280" w:lineRule="exact"/>
                    <w:jc w:val="center"/>
                    <w:rPr>
                      <w:color w:val="auto"/>
                      <w:szCs w:val="21"/>
                    </w:rPr>
                  </w:pPr>
                  <w:r>
                    <w:rPr>
                      <w:color w:val="auto"/>
                      <w:szCs w:val="21"/>
                    </w:rPr>
                    <w:t>1.81</w:t>
                  </w:r>
                </w:p>
              </w:tc>
              <w:tc>
                <w:tcPr>
                  <w:tcW w:w="516" w:type="pct"/>
                  <w:vAlign w:val="center"/>
                </w:tcPr>
                <w:p w14:paraId="126F3817">
                  <w:pPr>
                    <w:adjustRightInd w:val="0"/>
                    <w:snapToGrid w:val="0"/>
                    <w:spacing w:line="280" w:lineRule="exact"/>
                    <w:jc w:val="center"/>
                    <w:rPr>
                      <w:color w:val="auto"/>
                      <w:szCs w:val="21"/>
                    </w:rPr>
                  </w:pPr>
                  <w:r>
                    <w:rPr>
                      <w:color w:val="auto"/>
                      <w:szCs w:val="21"/>
                    </w:rPr>
                    <w:t>/</w:t>
                  </w:r>
                </w:p>
              </w:tc>
              <w:tc>
                <w:tcPr>
                  <w:tcW w:w="440" w:type="pct"/>
                  <w:vAlign w:val="center"/>
                </w:tcPr>
                <w:p w14:paraId="478B039A">
                  <w:pPr>
                    <w:adjustRightInd w:val="0"/>
                    <w:snapToGrid w:val="0"/>
                    <w:spacing w:line="280" w:lineRule="exact"/>
                    <w:jc w:val="center"/>
                    <w:rPr>
                      <w:color w:val="auto"/>
                      <w:szCs w:val="21"/>
                    </w:rPr>
                  </w:pPr>
                  <w:r>
                    <w:rPr>
                      <w:color w:val="auto"/>
                      <w:szCs w:val="21"/>
                    </w:rPr>
                    <w:t>1.81</w:t>
                  </w:r>
                </w:p>
              </w:tc>
            </w:tr>
          </w:tbl>
          <w:p w14:paraId="2C223264">
            <w:pPr>
              <w:adjustRightInd w:val="0"/>
              <w:snapToGrid w:val="0"/>
              <w:spacing w:before="120" w:beforeLines="50" w:line="360" w:lineRule="auto"/>
              <w:ind w:firstLine="480" w:firstLineChars="200"/>
              <w:rPr>
                <w:rFonts w:hint="default" w:eastAsia="宋体"/>
                <w:color w:val="auto"/>
                <w:sz w:val="24"/>
                <w:lang w:val="en-US" w:eastAsia="zh-CN"/>
              </w:rPr>
            </w:pPr>
            <w:r>
              <w:rPr>
                <w:color w:val="auto"/>
                <w:sz w:val="24"/>
              </w:rPr>
              <w:t>由表1-</w:t>
            </w:r>
            <w:r>
              <w:rPr>
                <w:rFonts w:hint="eastAsia"/>
                <w:color w:val="auto"/>
                <w:sz w:val="24"/>
                <w:lang w:val="en-US" w:eastAsia="zh-CN"/>
              </w:rPr>
              <w:t>3</w:t>
            </w:r>
            <w:r>
              <w:rPr>
                <w:color w:val="auto"/>
                <w:sz w:val="24"/>
              </w:rPr>
              <w:t>可知，本项目不在生态空间管控区域范围内，不会导致辖区内生态空间管控区域生态服务功能下降。因此，本项目的建设与《省政府关于印发江苏省国家级生态保护红线规划的通知》（苏政发</w:t>
            </w:r>
            <w:r>
              <w:rPr>
                <w:rFonts w:hint="eastAsia"/>
                <w:color w:val="auto"/>
                <w:sz w:val="24"/>
                <w:lang w:eastAsia="zh-CN"/>
              </w:rPr>
              <w:t>〔2018〕74号</w:t>
            </w:r>
            <w:r>
              <w:rPr>
                <w:color w:val="auto"/>
                <w:sz w:val="24"/>
              </w:rPr>
              <w:t>文）和《江苏省人民政府关于印发江苏省生态空间管控区域规划的通知》（苏政发〔2020〕1号）相符。本项目与江苏省生态空间管控区域位置关系见附图</w:t>
            </w:r>
            <w:r>
              <w:rPr>
                <w:rFonts w:hint="eastAsia"/>
                <w:color w:val="auto"/>
                <w:sz w:val="24"/>
                <w:lang w:val="en-US" w:eastAsia="zh-CN"/>
              </w:rPr>
              <w:t>3。</w:t>
            </w:r>
          </w:p>
          <w:p w14:paraId="4069B0CB">
            <w:pPr>
              <w:adjustRightInd w:val="0"/>
              <w:snapToGrid w:val="0"/>
              <w:spacing w:line="360" w:lineRule="auto"/>
              <w:ind w:firstLine="480" w:firstLineChars="200"/>
              <w:rPr>
                <w:rFonts w:hAnsiTheme="minorEastAsia" w:eastAsiaTheme="minorEastAsia"/>
                <w:bCs/>
                <w:color w:val="auto"/>
                <w:sz w:val="24"/>
              </w:rPr>
            </w:pPr>
            <w:r>
              <w:rPr>
                <w:rFonts w:hAnsiTheme="minorEastAsia" w:eastAsiaTheme="minorEastAsia"/>
                <w:bCs/>
                <w:color w:val="auto"/>
                <w:sz w:val="24"/>
              </w:rPr>
              <w:t>②与省、市</w:t>
            </w:r>
            <w:r>
              <w:rPr>
                <w:rFonts w:hint="eastAsia" w:hAnsiTheme="minorEastAsia" w:eastAsiaTheme="minorEastAsia"/>
                <w:bCs/>
                <w:color w:val="auto"/>
                <w:sz w:val="24"/>
              </w:rPr>
              <w:t>“</w:t>
            </w:r>
            <w:r>
              <w:rPr>
                <w:rFonts w:hAnsiTheme="minorEastAsia" w:eastAsiaTheme="minorEastAsia"/>
                <w:bCs/>
                <w:color w:val="auto"/>
                <w:sz w:val="24"/>
              </w:rPr>
              <w:t>三线一单</w:t>
            </w:r>
            <w:r>
              <w:rPr>
                <w:rFonts w:hint="eastAsia" w:hAnsiTheme="minorEastAsia" w:eastAsiaTheme="minorEastAsia"/>
                <w:bCs/>
                <w:color w:val="auto"/>
                <w:sz w:val="24"/>
              </w:rPr>
              <w:t>”</w:t>
            </w:r>
            <w:r>
              <w:rPr>
                <w:rFonts w:hAnsiTheme="minorEastAsia" w:eastAsiaTheme="minorEastAsia"/>
                <w:bCs/>
                <w:color w:val="auto"/>
                <w:sz w:val="24"/>
              </w:rPr>
              <w:t>生态环境分区管控方案相符性分析</w:t>
            </w:r>
          </w:p>
          <w:p w14:paraId="1CCFE70F">
            <w:pPr>
              <w:adjustRightInd w:val="0"/>
              <w:snapToGrid w:val="0"/>
              <w:spacing w:line="360" w:lineRule="auto"/>
              <w:ind w:firstLine="480" w:firstLineChars="200"/>
              <w:rPr>
                <w:rFonts w:hAnsiTheme="minorEastAsia" w:eastAsiaTheme="minorEastAsia"/>
                <w:bCs/>
                <w:color w:val="auto"/>
                <w:sz w:val="24"/>
              </w:rPr>
            </w:pPr>
            <w:r>
              <w:rPr>
                <w:rFonts w:hint="eastAsia" w:hAnsiTheme="minorEastAsia" w:eastAsiaTheme="minorEastAsia"/>
                <w:bCs/>
                <w:color w:val="auto"/>
                <w:sz w:val="24"/>
              </w:rPr>
              <w:t>a.与江苏省《关于印发江苏省“三线一单”生态环境分区管控方案的通知》（苏政发〔2020〕49号）及《江苏省2023年度生态环境分区管控动态更新成果公告》相符性分析</w:t>
            </w:r>
          </w:p>
          <w:p w14:paraId="4CF7A033">
            <w:pPr>
              <w:adjustRightInd w:val="0"/>
              <w:snapToGrid w:val="0"/>
              <w:spacing w:line="360" w:lineRule="auto"/>
              <w:ind w:firstLine="480" w:firstLineChars="200"/>
              <w:rPr>
                <w:rFonts w:hAnsiTheme="minorEastAsia" w:eastAsiaTheme="minorEastAsia"/>
                <w:bCs/>
                <w:color w:val="auto"/>
                <w:sz w:val="24"/>
              </w:rPr>
            </w:pPr>
            <w:r>
              <w:rPr>
                <w:rFonts w:hint="eastAsia" w:hAnsiTheme="minorEastAsia" w:eastAsiaTheme="minorEastAsia"/>
                <w:bCs/>
                <w:color w:val="auto"/>
                <w:sz w:val="24"/>
              </w:rPr>
              <w:t>本项目与江苏省《关于印发江苏省“三线一单”生态环境分区管控方案的通知》（苏政发〔2020〕49号）及《江苏省2023年度生态环境分区管控动态更新成果公告》相符性分析见表1-</w:t>
            </w:r>
            <w:r>
              <w:rPr>
                <w:rFonts w:hint="eastAsia" w:hAnsiTheme="minorEastAsia" w:eastAsiaTheme="minorEastAsia"/>
                <w:bCs/>
                <w:color w:val="auto"/>
                <w:sz w:val="24"/>
                <w:lang w:val="en-US" w:eastAsia="zh-CN"/>
              </w:rPr>
              <w:t>4</w:t>
            </w:r>
            <w:r>
              <w:rPr>
                <w:rFonts w:hint="eastAsia" w:hAnsiTheme="minorEastAsia" w:eastAsiaTheme="minorEastAsia"/>
                <w:bCs/>
                <w:color w:val="auto"/>
                <w:sz w:val="24"/>
              </w:rPr>
              <w:t>。本项目位于</w:t>
            </w:r>
            <w:r>
              <w:rPr>
                <w:rFonts w:hint="eastAsia"/>
                <w:color w:val="auto"/>
                <w:kern w:val="0"/>
                <w:sz w:val="24"/>
                <w:lang w:val="en-US" w:eastAsia="zh-CN"/>
              </w:rPr>
              <w:t>江苏涟水经济开发区涟水路3号</w:t>
            </w:r>
            <w:r>
              <w:rPr>
                <w:rFonts w:hint="eastAsia" w:hAnsiTheme="minorEastAsia" w:eastAsiaTheme="minorEastAsia"/>
                <w:bCs/>
                <w:color w:val="auto"/>
                <w:sz w:val="24"/>
              </w:rPr>
              <w:t>。</w:t>
            </w:r>
          </w:p>
          <w:p w14:paraId="55F44BCC">
            <w:pPr>
              <w:keepNext/>
              <w:adjustRightInd w:val="0"/>
              <w:snapToGrid w:val="0"/>
              <w:jc w:val="center"/>
              <w:rPr>
                <w:b/>
                <w:color w:val="auto"/>
                <w:sz w:val="24"/>
              </w:rPr>
            </w:pPr>
          </w:p>
          <w:p w14:paraId="7F018499">
            <w:pPr>
              <w:keepNext/>
              <w:adjustRightInd w:val="0"/>
              <w:snapToGrid w:val="0"/>
              <w:jc w:val="center"/>
              <w:rPr>
                <w:b/>
                <w:color w:val="auto"/>
                <w:sz w:val="24"/>
              </w:rPr>
            </w:pPr>
          </w:p>
          <w:p w14:paraId="371E6E3B">
            <w:pPr>
              <w:keepNext/>
              <w:adjustRightInd w:val="0"/>
              <w:snapToGrid w:val="0"/>
              <w:jc w:val="center"/>
              <w:rPr>
                <w:b/>
                <w:color w:val="auto"/>
                <w:sz w:val="24"/>
              </w:rPr>
            </w:pPr>
          </w:p>
          <w:p w14:paraId="0790331D">
            <w:pPr>
              <w:keepNext/>
              <w:adjustRightInd w:val="0"/>
              <w:snapToGrid w:val="0"/>
              <w:jc w:val="center"/>
              <w:rPr>
                <w:b/>
                <w:color w:val="auto"/>
                <w:sz w:val="24"/>
              </w:rPr>
            </w:pPr>
          </w:p>
          <w:p w14:paraId="43A1652A">
            <w:pPr>
              <w:keepNext/>
              <w:adjustRightInd w:val="0"/>
              <w:snapToGrid w:val="0"/>
              <w:jc w:val="center"/>
              <w:rPr>
                <w:b/>
                <w:color w:val="auto"/>
                <w:sz w:val="24"/>
              </w:rPr>
            </w:pPr>
            <w:r>
              <w:rPr>
                <w:b/>
                <w:color w:val="auto"/>
                <w:sz w:val="24"/>
              </w:rPr>
              <w:t>表1-</w:t>
            </w:r>
            <w:r>
              <w:rPr>
                <w:rFonts w:hint="eastAsia"/>
                <w:b/>
                <w:color w:val="auto"/>
                <w:sz w:val="24"/>
                <w:lang w:val="en-US" w:eastAsia="zh-CN"/>
              </w:rPr>
              <w:t>4</w:t>
            </w:r>
            <w:r>
              <w:rPr>
                <w:rFonts w:hint="eastAsia"/>
                <w:b/>
                <w:color w:val="auto"/>
                <w:sz w:val="24"/>
              </w:rPr>
              <w:t xml:space="preserve"> </w:t>
            </w:r>
            <w:r>
              <w:rPr>
                <w:b/>
                <w:color w:val="auto"/>
                <w:sz w:val="24"/>
              </w:rPr>
              <w:t xml:space="preserve"> </w:t>
            </w:r>
            <w:r>
              <w:rPr>
                <w:rFonts w:hint="eastAsia"/>
                <w:b/>
                <w:color w:val="auto"/>
                <w:sz w:val="24"/>
                <w:lang w:eastAsia="zh-CN"/>
              </w:rPr>
              <w:t>扩建</w:t>
            </w:r>
            <w:r>
              <w:rPr>
                <w:b/>
                <w:color w:val="auto"/>
                <w:sz w:val="24"/>
              </w:rPr>
              <w:t>项目与《江苏省“三线一单”生态环境分区管控方案》</w:t>
            </w:r>
          </w:p>
          <w:p w14:paraId="6BABCAB7">
            <w:pPr>
              <w:keepNext/>
              <w:adjustRightInd w:val="0"/>
              <w:snapToGrid w:val="0"/>
              <w:jc w:val="center"/>
              <w:rPr>
                <w:b/>
                <w:color w:val="auto"/>
                <w:sz w:val="24"/>
              </w:rPr>
            </w:pPr>
            <w:r>
              <w:rPr>
                <w:b/>
                <w:color w:val="auto"/>
                <w:sz w:val="24"/>
              </w:rPr>
              <w:t>相符性分析</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4"/>
              <w:gridCol w:w="4470"/>
              <w:gridCol w:w="2071"/>
              <w:gridCol w:w="543"/>
            </w:tblGrid>
            <w:tr w14:paraId="2B260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244" w:type="dxa"/>
                  <w:tcBorders>
                    <w:top w:val="single" w:color="auto" w:sz="12" w:space="0"/>
                    <w:left w:val="nil"/>
                  </w:tcBorders>
                  <w:vAlign w:val="center"/>
                </w:tcPr>
                <w:p w14:paraId="77B59829">
                  <w:pPr>
                    <w:jc w:val="center"/>
                    <w:rPr>
                      <w:b/>
                      <w:color w:val="auto"/>
                      <w:szCs w:val="21"/>
                    </w:rPr>
                  </w:pPr>
                  <w:r>
                    <w:rPr>
                      <w:b/>
                      <w:color w:val="auto"/>
                      <w:szCs w:val="21"/>
                    </w:rPr>
                    <w:t>管控类别</w:t>
                  </w:r>
                </w:p>
              </w:tc>
              <w:tc>
                <w:tcPr>
                  <w:tcW w:w="4470" w:type="dxa"/>
                  <w:tcBorders>
                    <w:top w:val="single" w:color="auto" w:sz="12" w:space="0"/>
                  </w:tcBorders>
                  <w:vAlign w:val="center"/>
                </w:tcPr>
                <w:p w14:paraId="1C04ED86">
                  <w:pPr>
                    <w:jc w:val="center"/>
                    <w:rPr>
                      <w:b/>
                      <w:color w:val="auto"/>
                      <w:szCs w:val="21"/>
                    </w:rPr>
                  </w:pPr>
                  <w:r>
                    <w:rPr>
                      <w:b/>
                      <w:color w:val="auto"/>
                      <w:szCs w:val="21"/>
                    </w:rPr>
                    <w:t>重点管控要求</w:t>
                  </w:r>
                </w:p>
              </w:tc>
              <w:tc>
                <w:tcPr>
                  <w:tcW w:w="2071" w:type="dxa"/>
                  <w:vMerge w:val="restart"/>
                  <w:tcBorders>
                    <w:top w:val="single" w:color="auto" w:sz="12" w:space="0"/>
                  </w:tcBorders>
                  <w:vAlign w:val="center"/>
                </w:tcPr>
                <w:p w14:paraId="413920DF">
                  <w:pPr>
                    <w:jc w:val="center"/>
                    <w:rPr>
                      <w:b/>
                      <w:color w:val="auto"/>
                      <w:szCs w:val="21"/>
                    </w:rPr>
                  </w:pPr>
                  <w:r>
                    <w:rPr>
                      <w:rFonts w:hint="eastAsia"/>
                      <w:b/>
                      <w:color w:val="auto"/>
                      <w:szCs w:val="21"/>
                      <w:lang w:eastAsia="zh-CN"/>
                    </w:rPr>
                    <w:t>扩建</w:t>
                  </w:r>
                  <w:r>
                    <w:rPr>
                      <w:b/>
                      <w:color w:val="auto"/>
                      <w:szCs w:val="21"/>
                    </w:rPr>
                    <w:t>项目建设情况</w:t>
                  </w:r>
                </w:p>
              </w:tc>
              <w:tc>
                <w:tcPr>
                  <w:tcW w:w="0" w:type="auto"/>
                  <w:vMerge w:val="restart"/>
                  <w:tcBorders>
                    <w:top w:val="single" w:color="auto" w:sz="12" w:space="0"/>
                    <w:right w:val="nil"/>
                  </w:tcBorders>
                  <w:vAlign w:val="center"/>
                </w:tcPr>
                <w:p w14:paraId="65227ABB">
                  <w:pPr>
                    <w:jc w:val="center"/>
                    <w:rPr>
                      <w:b/>
                      <w:color w:val="auto"/>
                      <w:szCs w:val="21"/>
                    </w:rPr>
                  </w:pPr>
                  <w:r>
                    <w:rPr>
                      <w:b/>
                      <w:color w:val="auto"/>
                      <w:szCs w:val="21"/>
                    </w:rPr>
                    <w:t>相符性分析</w:t>
                  </w:r>
                </w:p>
              </w:tc>
            </w:tr>
            <w:tr w14:paraId="31158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14" w:type="dxa"/>
                  <w:gridSpan w:val="2"/>
                  <w:tcBorders>
                    <w:left w:val="nil"/>
                  </w:tcBorders>
                  <w:vAlign w:val="center"/>
                </w:tcPr>
                <w:p w14:paraId="4E726634">
                  <w:pPr>
                    <w:jc w:val="center"/>
                    <w:rPr>
                      <w:b/>
                      <w:color w:val="auto"/>
                      <w:szCs w:val="21"/>
                    </w:rPr>
                  </w:pPr>
                  <w:r>
                    <w:rPr>
                      <w:b/>
                      <w:color w:val="auto"/>
                      <w:szCs w:val="21"/>
                    </w:rPr>
                    <w:t>三、淮河流域</w:t>
                  </w:r>
                </w:p>
              </w:tc>
              <w:tc>
                <w:tcPr>
                  <w:tcW w:w="2071" w:type="dxa"/>
                  <w:vMerge w:val="continue"/>
                  <w:vAlign w:val="center"/>
                </w:tcPr>
                <w:p w14:paraId="6B609F9B">
                  <w:pPr>
                    <w:jc w:val="center"/>
                    <w:rPr>
                      <w:b/>
                      <w:color w:val="auto"/>
                      <w:szCs w:val="21"/>
                    </w:rPr>
                  </w:pPr>
                </w:p>
              </w:tc>
              <w:tc>
                <w:tcPr>
                  <w:tcW w:w="0" w:type="auto"/>
                  <w:vMerge w:val="continue"/>
                  <w:tcBorders>
                    <w:right w:val="nil"/>
                  </w:tcBorders>
                  <w:vAlign w:val="center"/>
                </w:tcPr>
                <w:p w14:paraId="02795B08">
                  <w:pPr>
                    <w:jc w:val="center"/>
                    <w:rPr>
                      <w:b/>
                      <w:color w:val="auto"/>
                      <w:szCs w:val="21"/>
                    </w:rPr>
                  </w:pPr>
                </w:p>
              </w:tc>
            </w:tr>
            <w:tr w14:paraId="54856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4" w:type="dxa"/>
                  <w:tcBorders>
                    <w:left w:val="nil"/>
                  </w:tcBorders>
                  <w:vAlign w:val="center"/>
                </w:tcPr>
                <w:p w14:paraId="01AE0FD5">
                  <w:pPr>
                    <w:jc w:val="center"/>
                    <w:rPr>
                      <w:color w:val="auto"/>
                      <w:sz w:val="22"/>
                      <w:szCs w:val="22"/>
                    </w:rPr>
                  </w:pPr>
                  <w:r>
                    <w:rPr>
                      <w:color w:val="auto"/>
                      <w:sz w:val="22"/>
                      <w:szCs w:val="22"/>
                    </w:rPr>
                    <w:t>空间布局约束</w:t>
                  </w:r>
                </w:p>
              </w:tc>
              <w:tc>
                <w:tcPr>
                  <w:tcW w:w="4470" w:type="dxa"/>
                  <w:vAlign w:val="center"/>
                </w:tcPr>
                <w:p w14:paraId="4E233D17">
                  <w:pPr>
                    <w:jc w:val="center"/>
                    <w:rPr>
                      <w:color w:val="auto"/>
                      <w:sz w:val="22"/>
                      <w:szCs w:val="22"/>
                    </w:rPr>
                  </w:pPr>
                  <w:r>
                    <w:rPr>
                      <w:color w:val="auto"/>
                      <w:sz w:val="22"/>
                      <w:szCs w:val="22"/>
                    </w:rPr>
                    <w:t>1．禁止在淮河流域新建化学制浆造纸企业，禁止在淮河流域新建制革、化工、印染、电镀、酿造等污染严重的小型企业。2．落实《江苏省通榆河水污染防治条例》，在通榆河一级保护区、二级保护区，禁止新建、改建、扩建制浆、造纸、化工、制革、酿造、染料、印染、电镀、炼油、铅酸蓄电池和排放水污染物的黑色金属冶炼及</w:t>
                  </w:r>
                  <w:r>
                    <w:rPr>
                      <w:rFonts w:hint="eastAsia"/>
                      <w:color w:val="auto"/>
                      <w:sz w:val="22"/>
                      <w:szCs w:val="22"/>
                      <w:lang w:eastAsia="zh-CN"/>
                    </w:rPr>
                    <w:t>压延</w:t>
                  </w:r>
                  <w:r>
                    <w:rPr>
                      <w:color w:val="auto"/>
                      <w:sz w:val="22"/>
                      <w:szCs w:val="22"/>
                    </w:rPr>
                    <w:t>加工项目、有色金属冶炼及压延加工项目、金属制品项目等污染环境的项目。3、在通榆河一级保护区，禁止新建、扩建直接或者间接向水体排放污染物的项目，禁止建设工业固体废物集中贮存、利用、处置设施或者场所以及城市生活垃圾填埋场，禁止新建规模化畜禽养殖场。</w:t>
                  </w:r>
                </w:p>
              </w:tc>
              <w:tc>
                <w:tcPr>
                  <w:tcW w:w="2071" w:type="dxa"/>
                  <w:vAlign w:val="center"/>
                </w:tcPr>
                <w:p w14:paraId="36B714F3">
                  <w:pPr>
                    <w:jc w:val="center"/>
                    <w:rPr>
                      <w:color w:val="auto"/>
                      <w:sz w:val="22"/>
                      <w:szCs w:val="22"/>
                    </w:rPr>
                  </w:pPr>
                  <w:r>
                    <w:rPr>
                      <w:rFonts w:hint="eastAsia"/>
                      <w:color w:val="auto"/>
                      <w:sz w:val="22"/>
                      <w:szCs w:val="22"/>
                      <w:lang w:eastAsia="zh-CN"/>
                    </w:rPr>
                    <w:t>本</w:t>
                  </w:r>
                  <w:r>
                    <w:rPr>
                      <w:color w:val="auto"/>
                      <w:sz w:val="22"/>
                      <w:szCs w:val="22"/>
                    </w:rPr>
                    <w:t>项目属于</w:t>
                  </w:r>
                  <w:r>
                    <w:rPr>
                      <w:rFonts w:hint="eastAsia"/>
                      <w:color w:val="auto"/>
                      <w:sz w:val="22"/>
                      <w:szCs w:val="22"/>
                      <w:lang w:eastAsia="zh-CN"/>
                    </w:rPr>
                    <w:t>食品制造业</w:t>
                  </w:r>
                  <w:r>
                    <w:rPr>
                      <w:color w:val="auto"/>
                      <w:sz w:val="22"/>
                      <w:szCs w:val="22"/>
                    </w:rPr>
                    <w:t>，不属于制革、化工、印染、电镀、酿造等污染严重的小型企业。本项目不位于通榆河一级保护区、二级保护区内。</w:t>
                  </w:r>
                </w:p>
              </w:tc>
              <w:tc>
                <w:tcPr>
                  <w:tcW w:w="0" w:type="auto"/>
                  <w:tcBorders>
                    <w:right w:val="nil"/>
                  </w:tcBorders>
                  <w:vAlign w:val="center"/>
                </w:tcPr>
                <w:p w14:paraId="51FB5CDA">
                  <w:pPr>
                    <w:jc w:val="center"/>
                    <w:rPr>
                      <w:color w:val="auto"/>
                      <w:sz w:val="22"/>
                      <w:szCs w:val="22"/>
                    </w:rPr>
                  </w:pPr>
                  <w:r>
                    <w:rPr>
                      <w:color w:val="auto"/>
                      <w:sz w:val="22"/>
                      <w:szCs w:val="22"/>
                    </w:rPr>
                    <w:t>符合</w:t>
                  </w:r>
                </w:p>
              </w:tc>
            </w:tr>
            <w:tr w14:paraId="749F5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4" w:type="dxa"/>
                  <w:tcBorders>
                    <w:left w:val="nil"/>
                  </w:tcBorders>
                  <w:vAlign w:val="center"/>
                </w:tcPr>
                <w:p w14:paraId="435B8AC3">
                  <w:pPr>
                    <w:jc w:val="center"/>
                    <w:rPr>
                      <w:color w:val="auto"/>
                      <w:sz w:val="22"/>
                      <w:szCs w:val="22"/>
                    </w:rPr>
                  </w:pPr>
                  <w:r>
                    <w:rPr>
                      <w:color w:val="auto"/>
                      <w:sz w:val="22"/>
                      <w:szCs w:val="22"/>
                    </w:rPr>
                    <w:t>污染物排放管控</w:t>
                  </w:r>
                </w:p>
              </w:tc>
              <w:tc>
                <w:tcPr>
                  <w:tcW w:w="4470" w:type="dxa"/>
                  <w:vAlign w:val="center"/>
                </w:tcPr>
                <w:p w14:paraId="7DD90786">
                  <w:pPr>
                    <w:jc w:val="center"/>
                    <w:rPr>
                      <w:color w:val="auto"/>
                      <w:sz w:val="22"/>
                      <w:szCs w:val="22"/>
                    </w:rPr>
                  </w:pPr>
                  <w:r>
                    <w:rPr>
                      <w:color w:val="auto"/>
                      <w:sz w:val="22"/>
                      <w:szCs w:val="22"/>
                    </w:rPr>
                    <w:t>按照《</w:t>
                  </w:r>
                  <w:r>
                    <w:rPr>
                      <w:rFonts w:hint="eastAsia"/>
                      <w:color w:val="auto"/>
                      <w:sz w:val="22"/>
                      <w:szCs w:val="22"/>
                      <w:lang w:eastAsia="zh-CN"/>
                    </w:rPr>
                    <w:t>淮河流域水污染防治暂行条例</w:t>
                  </w:r>
                  <w:r>
                    <w:rPr>
                      <w:color w:val="auto"/>
                      <w:sz w:val="22"/>
                      <w:szCs w:val="22"/>
                    </w:rPr>
                    <w:t>》实施排污总量控制制度。</w:t>
                  </w:r>
                </w:p>
              </w:tc>
              <w:tc>
                <w:tcPr>
                  <w:tcW w:w="2071" w:type="dxa"/>
                  <w:vAlign w:val="center"/>
                </w:tcPr>
                <w:p w14:paraId="458DA3B0">
                  <w:pPr>
                    <w:jc w:val="center"/>
                    <w:rPr>
                      <w:color w:val="auto"/>
                      <w:sz w:val="22"/>
                      <w:szCs w:val="22"/>
                    </w:rPr>
                  </w:pPr>
                  <w:r>
                    <w:rPr>
                      <w:rFonts w:hint="eastAsia"/>
                      <w:color w:val="auto"/>
                      <w:sz w:val="22"/>
                      <w:szCs w:val="22"/>
                      <w:lang w:eastAsia="zh-CN"/>
                    </w:rPr>
                    <w:t>本</w:t>
                  </w:r>
                  <w:r>
                    <w:rPr>
                      <w:color w:val="auto"/>
                      <w:sz w:val="22"/>
                      <w:szCs w:val="22"/>
                    </w:rPr>
                    <w:t>项目按照相关规定实施总量控制。</w:t>
                  </w:r>
                </w:p>
              </w:tc>
              <w:tc>
                <w:tcPr>
                  <w:tcW w:w="0" w:type="auto"/>
                  <w:tcBorders>
                    <w:right w:val="nil"/>
                  </w:tcBorders>
                  <w:vAlign w:val="center"/>
                </w:tcPr>
                <w:p w14:paraId="3FA6F412">
                  <w:pPr>
                    <w:jc w:val="center"/>
                    <w:rPr>
                      <w:color w:val="auto"/>
                      <w:sz w:val="22"/>
                      <w:szCs w:val="22"/>
                    </w:rPr>
                  </w:pPr>
                  <w:r>
                    <w:rPr>
                      <w:color w:val="auto"/>
                      <w:sz w:val="22"/>
                      <w:szCs w:val="22"/>
                    </w:rPr>
                    <w:t>符合</w:t>
                  </w:r>
                </w:p>
              </w:tc>
            </w:tr>
            <w:tr w14:paraId="3C9FC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4" w:type="dxa"/>
                  <w:tcBorders>
                    <w:left w:val="nil"/>
                  </w:tcBorders>
                  <w:vAlign w:val="center"/>
                </w:tcPr>
                <w:p w14:paraId="42D133F0">
                  <w:pPr>
                    <w:jc w:val="center"/>
                    <w:rPr>
                      <w:color w:val="auto"/>
                      <w:sz w:val="22"/>
                      <w:szCs w:val="22"/>
                    </w:rPr>
                  </w:pPr>
                  <w:r>
                    <w:rPr>
                      <w:color w:val="auto"/>
                      <w:sz w:val="22"/>
                      <w:szCs w:val="22"/>
                    </w:rPr>
                    <w:t>环境风险防控</w:t>
                  </w:r>
                </w:p>
              </w:tc>
              <w:tc>
                <w:tcPr>
                  <w:tcW w:w="4470" w:type="dxa"/>
                  <w:vAlign w:val="center"/>
                </w:tcPr>
                <w:p w14:paraId="5019DED6">
                  <w:pPr>
                    <w:jc w:val="center"/>
                    <w:rPr>
                      <w:color w:val="auto"/>
                      <w:sz w:val="22"/>
                      <w:szCs w:val="22"/>
                    </w:rPr>
                  </w:pPr>
                  <w:r>
                    <w:rPr>
                      <w:color w:val="auto"/>
                      <w:sz w:val="22"/>
                      <w:szCs w:val="22"/>
                    </w:rPr>
                    <w:t>禁止运输剧毒化学品以及国家规定禁止通过内河运输的其他危险化学品的船舶进入通榆河及主要供水河道。</w:t>
                  </w:r>
                </w:p>
              </w:tc>
              <w:tc>
                <w:tcPr>
                  <w:tcW w:w="2071" w:type="dxa"/>
                  <w:vAlign w:val="center"/>
                </w:tcPr>
                <w:p w14:paraId="6CFF6E87">
                  <w:pPr>
                    <w:jc w:val="center"/>
                    <w:rPr>
                      <w:color w:val="auto"/>
                      <w:sz w:val="22"/>
                      <w:szCs w:val="22"/>
                    </w:rPr>
                  </w:pPr>
                  <w:r>
                    <w:rPr>
                      <w:rFonts w:hint="eastAsia"/>
                      <w:color w:val="auto"/>
                      <w:sz w:val="22"/>
                      <w:szCs w:val="22"/>
                      <w:lang w:eastAsia="zh-CN"/>
                    </w:rPr>
                    <w:t>本</w:t>
                  </w:r>
                  <w:r>
                    <w:rPr>
                      <w:color w:val="auto"/>
                      <w:sz w:val="22"/>
                      <w:szCs w:val="22"/>
                    </w:rPr>
                    <w:t>项目不涉及剧毒化学品和其他危险化学品，运输均为陆运，不涉及水运。</w:t>
                  </w:r>
                </w:p>
              </w:tc>
              <w:tc>
                <w:tcPr>
                  <w:tcW w:w="0" w:type="auto"/>
                  <w:tcBorders>
                    <w:right w:val="nil"/>
                  </w:tcBorders>
                  <w:vAlign w:val="center"/>
                </w:tcPr>
                <w:p w14:paraId="7F7327A7">
                  <w:pPr>
                    <w:jc w:val="center"/>
                    <w:rPr>
                      <w:color w:val="auto"/>
                      <w:sz w:val="22"/>
                      <w:szCs w:val="22"/>
                    </w:rPr>
                  </w:pPr>
                  <w:r>
                    <w:rPr>
                      <w:color w:val="auto"/>
                      <w:sz w:val="22"/>
                      <w:szCs w:val="22"/>
                    </w:rPr>
                    <w:t>符合</w:t>
                  </w:r>
                </w:p>
              </w:tc>
            </w:tr>
            <w:tr w14:paraId="7D99C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4" w:type="dxa"/>
                  <w:tcBorders>
                    <w:left w:val="nil"/>
                  </w:tcBorders>
                  <w:vAlign w:val="center"/>
                </w:tcPr>
                <w:p w14:paraId="221A3BCF">
                  <w:pPr>
                    <w:jc w:val="center"/>
                    <w:rPr>
                      <w:color w:val="auto"/>
                      <w:sz w:val="22"/>
                      <w:szCs w:val="22"/>
                    </w:rPr>
                  </w:pPr>
                  <w:r>
                    <w:rPr>
                      <w:color w:val="auto"/>
                      <w:sz w:val="22"/>
                      <w:szCs w:val="22"/>
                    </w:rPr>
                    <w:t>资源利用效率要求</w:t>
                  </w:r>
                </w:p>
              </w:tc>
              <w:tc>
                <w:tcPr>
                  <w:tcW w:w="4470" w:type="dxa"/>
                  <w:vAlign w:val="center"/>
                </w:tcPr>
                <w:p w14:paraId="65872E77">
                  <w:pPr>
                    <w:jc w:val="center"/>
                    <w:rPr>
                      <w:color w:val="auto"/>
                      <w:sz w:val="22"/>
                      <w:szCs w:val="22"/>
                    </w:rPr>
                  </w:pPr>
                  <w:r>
                    <w:rPr>
                      <w:color w:val="auto"/>
                      <w:sz w:val="22"/>
                      <w:szCs w:val="22"/>
                    </w:rPr>
                    <w:t>限制缺水地区发</w:t>
                  </w:r>
                  <w:r>
                    <w:rPr>
                      <w:rFonts w:hint="eastAsia"/>
                      <w:color w:val="auto"/>
                      <w:sz w:val="22"/>
                      <w:szCs w:val="22"/>
                    </w:rPr>
                    <w:t>展</w:t>
                  </w:r>
                  <w:r>
                    <w:rPr>
                      <w:color w:val="auto"/>
                      <w:sz w:val="22"/>
                      <w:szCs w:val="22"/>
                    </w:rPr>
                    <w:t>耗水型产业，调整缺水地区的产业结构，严格控制高耗水、高耗能和重污染的建设项目。</w:t>
                  </w:r>
                </w:p>
              </w:tc>
              <w:tc>
                <w:tcPr>
                  <w:tcW w:w="2071" w:type="dxa"/>
                  <w:vAlign w:val="center"/>
                </w:tcPr>
                <w:p w14:paraId="2B0C5983">
                  <w:pPr>
                    <w:jc w:val="center"/>
                    <w:rPr>
                      <w:color w:val="auto"/>
                      <w:sz w:val="22"/>
                      <w:szCs w:val="22"/>
                    </w:rPr>
                  </w:pPr>
                  <w:r>
                    <w:rPr>
                      <w:rFonts w:hint="eastAsia"/>
                      <w:color w:val="auto"/>
                      <w:sz w:val="22"/>
                      <w:szCs w:val="22"/>
                      <w:lang w:eastAsia="zh-CN"/>
                    </w:rPr>
                    <w:t>本</w:t>
                  </w:r>
                  <w:r>
                    <w:rPr>
                      <w:color w:val="auto"/>
                      <w:sz w:val="22"/>
                      <w:szCs w:val="22"/>
                    </w:rPr>
                    <w:t>不属于高耗水、高耗能和重污染的建设项目。</w:t>
                  </w:r>
                </w:p>
              </w:tc>
              <w:tc>
                <w:tcPr>
                  <w:tcW w:w="0" w:type="auto"/>
                  <w:tcBorders>
                    <w:right w:val="nil"/>
                  </w:tcBorders>
                  <w:vAlign w:val="center"/>
                </w:tcPr>
                <w:p w14:paraId="7E336A64">
                  <w:pPr>
                    <w:jc w:val="center"/>
                    <w:rPr>
                      <w:color w:val="auto"/>
                      <w:sz w:val="22"/>
                      <w:szCs w:val="22"/>
                    </w:rPr>
                  </w:pPr>
                  <w:r>
                    <w:rPr>
                      <w:color w:val="auto"/>
                      <w:sz w:val="22"/>
                      <w:szCs w:val="22"/>
                    </w:rPr>
                    <w:t>符合</w:t>
                  </w:r>
                </w:p>
              </w:tc>
            </w:tr>
          </w:tbl>
          <w:p w14:paraId="40D013BE">
            <w:pPr>
              <w:adjustRightInd w:val="0"/>
              <w:snapToGrid w:val="0"/>
              <w:spacing w:before="120" w:beforeLines="50" w:line="360" w:lineRule="auto"/>
              <w:ind w:firstLine="480" w:firstLineChars="200"/>
              <w:rPr>
                <w:rFonts w:hint="eastAsia" w:hAnsiTheme="minorEastAsia" w:eastAsiaTheme="minorEastAsia"/>
                <w:color w:val="auto"/>
                <w:sz w:val="24"/>
              </w:rPr>
            </w:pPr>
            <w:r>
              <w:rPr>
                <w:rFonts w:hAnsiTheme="minorEastAsia" w:eastAsiaTheme="minorEastAsia"/>
                <w:color w:val="auto"/>
                <w:sz w:val="24"/>
              </w:rPr>
              <w:t>根据上表分析可知，</w:t>
            </w:r>
            <w:r>
              <w:rPr>
                <w:rFonts w:hint="eastAsia" w:hAnsiTheme="minorEastAsia" w:eastAsiaTheme="minorEastAsia"/>
                <w:color w:val="auto"/>
                <w:sz w:val="24"/>
                <w:lang w:eastAsia="zh-CN"/>
              </w:rPr>
              <w:t>扩建</w:t>
            </w:r>
            <w:r>
              <w:rPr>
                <w:rFonts w:hAnsiTheme="minorEastAsia" w:eastAsiaTheme="minorEastAsia"/>
                <w:color w:val="auto"/>
                <w:sz w:val="24"/>
              </w:rPr>
              <w:t>项目与《</w:t>
            </w:r>
            <w:r>
              <w:rPr>
                <w:rFonts w:hAnsiTheme="minorEastAsia" w:eastAsiaTheme="minorEastAsia"/>
                <w:bCs/>
                <w:color w:val="auto"/>
                <w:sz w:val="24"/>
              </w:rPr>
              <w:t>江苏省</w:t>
            </w:r>
            <w:r>
              <w:rPr>
                <w:rFonts w:eastAsiaTheme="minorEastAsia"/>
                <w:bCs/>
                <w:color w:val="auto"/>
                <w:sz w:val="24"/>
              </w:rPr>
              <w:t>“</w:t>
            </w:r>
            <w:r>
              <w:rPr>
                <w:rFonts w:hAnsiTheme="minorEastAsia" w:eastAsiaTheme="minorEastAsia"/>
                <w:bCs/>
                <w:color w:val="auto"/>
                <w:sz w:val="24"/>
              </w:rPr>
              <w:t>三线一单</w:t>
            </w:r>
            <w:r>
              <w:rPr>
                <w:rFonts w:eastAsiaTheme="minorEastAsia"/>
                <w:bCs/>
                <w:color w:val="auto"/>
                <w:sz w:val="24"/>
              </w:rPr>
              <w:t>”</w:t>
            </w:r>
            <w:r>
              <w:rPr>
                <w:rFonts w:hAnsiTheme="minorEastAsia" w:eastAsiaTheme="minorEastAsia"/>
                <w:bCs/>
                <w:color w:val="auto"/>
                <w:sz w:val="24"/>
              </w:rPr>
              <w:t>生态环境分区管控方案</w:t>
            </w:r>
            <w:r>
              <w:rPr>
                <w:rFonts w:hAnsiTheme="minorEastAsia" w:eastAsiaTheme="minorEastAsia"/>
                <w:color w:val="auto"/>
                <w:sz w:val="24"/>
              </w:rPr>
              <w:t>》是相符的。</w:t>
            </w:r>
            <w:r>
              <w:rPr>
                <w:rFonts w:hint="eastAsia" w:hAnsiTheme="minorEastAsia" w:eastAsiaTheme="minorEastAsia"/>
                <w:color w:val="auto"/>
                <w:sz w:val="24"/>
              </w:rPr>
              <w:t>江苏省生态环境分区管控综合查询报告书见附件</w:t>
            </w:r>
            <w:r>
              <w:rPr>
                <w:rFonts w:hint="eastAsia" w:hAnsiTheme="minorEastAsia" w:eastAsiaTheme="minorEastAsia"/>
                <w:color w:val="auto"/>
                <w:sz w:val="24"/>
                <w:lang w:val="en-US" w:eastAsia="zh-CN"/>
              </w:rPr>
              <w:t>11。</w:t>
            </w:r>
          </w:p>
          <w:p w14:paraId="03BFC1FE">
            <w:pPr>
              <w:adjustRightInd w:val="0"/>
              <w:snapToGrid w:val="0"/>
              <w:spacing w:line="360" w:lineRule="auto"/>
              <w:ind w:firstLine="480" w:firstLineChars="200"/>
              <w:rPr>
                <w:rFonts w:hAnsiTheme="minorEastAsia" w:eastAsiaTheme="minorEastAsia"/>
                <w:color w:val="auto"/>
                <w:sz w:val="24"/>
              </w:rPr>
            </w:pPr>
            <w:r>
              <w:rPr>
                <w:rFonts w:hint="eastAsia" w:hAnsiTheme="minorEastAsia" w:eastAsiaTheme="minorEastAsia"/>
                <w:color w:val="auto"/>
                <w:sz w:val="24"/>
              </w:rPr>
              <w:t>b.与《市政府关于印发淮安市“三线一单”生态环境分区管控方案的通知》（淮政发〔2020〕16号）相符性分析</w:t>
            </w:r>
          </w:p>
          <w:p w14:paraId="52CE7394">
            <w:pPr>
              <w:adjustRightInd w:val="0"/>
              <w:snapToGrid w:val="0"/>
              <w:spacing w:before="120" w:beforeLines="50" w:line="360" w:lineRule="auto"/>
              <w:ind w:firstLine="480" w:firstLineChars="200"/>
              <w:rPr>
                <w:rFonts w:hAnsiTheme="minorEastAsia" w:eastAsiaTheme="minorEastAsia"/>
                <w:color w:val="auto"/>
                <w:sz w:val="24"/>
              </w:rPr>
            </w:pPr>
            <w:r>
              <w:rPr>
                <w:rFonts w:hint="eastAsia" w:hAnsiTheme="minorEastAsia" w:eastAsiaTheme="minorEastAsia"/>
                <w:color w:val="auto"/>
                <w:sz w:val="24"/>
              </w:rPr>
              <w:t>根据《市政府关于印发淮安市“三线一单”生态环境分区管控方案的通知》（淮政发〔2020〕16号）附件2，</w:t>
            </w:r>
            <w:r>
              <w:rPr>
                <w:rFonts w:hint="eastAsia" w:hAnsiTheme="minorEastAsia" w:eastAsiaTheme="minorEastAsia"/>
                <w:color w:val="auto"/>
                <w:sz w:val="24"/>
                <w:lang w:eastAsia="zh-CN"/>
              </w:rPr>
              <w:t>涉及的</w:t>
            </w:r>
            <w:r>
              <w:rPr>
                <w:rFonts w:hint="eastAsia" w:hAnsiTheme="minorEastAsia" w:eastAsiaTheme="minorEastAsia"/>
                <w:color w:val="auto"/>
                <w:sz w:val="24"/>
              </w:rPr>
              <w:t>涟水县环境管控单元名录见表1-</w:t>
            </w:r>
            <w:r>
              <w:rPr>
                <w:rFonts w:hint="eastAsia" w:hAnsiTheme="minorEastAsia" w:eastAsiaTheme="minorEastAsia"/>
                <w:color w:val="auto"/>
                <w:sz w:val="24"/>
                <w:lang w:val="en-US" w:eastAsia="zh-CN"/>
              </w:rPr>
              <w:t>5</w:t>
            </w:r>
            <w:r>
              <w:rPr>
                <w:rFonts w:hint="eastAsia" w:hAnsiTheme="minorEastAsia" w:eastAsiaTheme="minorEastAsia"/>
                <w:color w:val="auto"/>
                <w:sz w:val="24"/>
              </w:rPr>
              <w:t>。</w:t>
            </w:r>
          </w:p>
          <w:p w14:paraId="50B1E0A9">
            <w:pPr>
              <w:keepNext/>
              <w:adjustRightInd w:val="0"/>
              <w:snapToGrid w:val="0"/>
              <w:jc w:val="center"/>
              <w:rPr>
                <w:b/>
                <w:color w:val="auto"/>
                <w:sz w:val="24"/>
                <w:szCs w:val="32"/>
              </w:rPr>
            </w:pPr>
          </w:p>
          <w:p w14:paraId="1B494374">
            <w:pPr>
              <w:keepNext/>
              <w:adjustRightInd w:val="0"/>
              <w:snapToGrid w:val="0"/>
              <w:jc w:val="center"/>
              <w:rPr>
                <w:b/>
                <w:color w:val="auto"/>
                <w:sz w:val="24"/>
                <w:szCs w:val="32"/>
              </w:rPr>
            </w:pPr>
          </w:p>
          <w:p w14:paraId="1137B552">
            <w:pPr>
              <w:keepNext/>
              <w:adjustRightInd w:val="0"/>
              <w:snapToGrid w:val="0"/>
              <w:jc w:val="center"/>
              <w:rPr>
                <w:b/>
                <w:color w:val="auto"/>
                <w:sz w:val="24"/>
                <w:szCs w:val="32"/>
              </w:rPr>
            </w:pPr>
          </w:p>
          <w:p w14:paraId="6C1EACCC">
            <w:pPr>
              <w:keepNext/>
              <w:adjustRightInd w:val="0"/>
              <w:snapToGrid w:val="0"/>
              <w:jc w:val="center"/>
              <w:rPr>
                <w:b/>
                <w:color w:val="auto"/>
                <w:sz w:val="24"/>
                <w:szCs w:val="32"/>
              </w:rPr>
            </w:pPr>
          </w:p>
          <w:p w14:paraId="652226BD">
            <w:pPr>
              <w:keepNext/>
              <w:adjustRightInd w:val="0"/>
              <w:snapToGrid w:val="0"/>
              <w:jc w:val="center"/>
              <w:rPr>
                <w:b/>
                <w:color w:val="auto"/>
                <w:sz w:val="24"/>
                <w:szCs w:val="32"/>
              </w:rPr>
            </w:pPr>
          </w:p>
          <w:p w14:paraId="48D503F6">
            <w:pPr>
              <w:keepNext/>
              <w:adjustRightInd w:val="0"/>
              <w:snapToGrid w:val="0"/>
              <w:jc w:val="center"/>
              <w:rPr>
                <w:b/>
                <w:color w:val="auto"/>
                <w:sz w:val="24"/>
                <w:szCs w:val="32"/>
              </w:rPr>
            </w:pPr>
          </w:p>
          <w:p w14:paraId="1DE9A4B4">
            <w:pPr>
              <w:keepNext/>
              <w:adjustRightInd w:val="0"/>
              <w:snapToGrid w:val="0"/>
              <w:jc w:val="center"/>
              <w:rPr>
                <w:b/>
                <w:color w:val="auto"/>
              </w:rPr>
            </w:pPr>
            <w:r>
              <w:rPr>
                <w:b/>
                <w:color w:val="auto"/>
                <w:sz w:val="24"/>
                <w:szCs w:val="32"/>
              </w:rPr>
              <w:t>表1-</w:t>
            </w:r>
            <w:r>
              <w:rPr>
                <w:rFonts w:hint="eastAsia"/>
                <w:b/>
                <w:color w:val="auto"/>
                <w:sz w:val="24"/>
                <w:szCs w:val="32"/>
                <w:lang w:val="en-US" w:eastAsia="zh-CN"/>
              </w:rPr>
              <w:t>5</w:t>
            </w:r>
            <w:r>
              <w:rPr>
                <w:b/>
                <w:color w:val="auto"/>
                <w:sz w:val="24"/>
                <w:szCs w:val="32"/>
              </w:rPr>
              <w:t xml:space="preserve">  淮安市环境管控单元名录表（涟水县）</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555"/>
              <w:gridCol w:w="577"/>
              <w:gridCol w:w="1515"/>
              <w:gridCol w:w="4206"/>
              <w:gridCol w:w="1485"/>
            </w:tblGrid>
            <w:tr w14:paraId="20686B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3" w:type="pct"/>
                  <w:tcBorders>
                    <w:top w:val="single" w:color="auto" w:sz="12" w:space="0"/>
                    <w:left w:val="nil"/>
                    <w:bottom w:val="single" w:color="auto" w:sz="12" w:space="0"/>
                  </w:tcBorders>
                  <w:vAlign w:val="center"/>
                </w:tcPr>
                <w:p w14:paraId="07B50821">
                  <w:pPr>
                    <w:keepNext/>
                    <w:adjustRightInd w:val="0"/>
                    <w:snapToGrid w:val="0"/>
                    <w:jc w:val="center"/>
                    <w:rPr>
                      <w:b/>
                      <w:color w:val="auto"/>
                    </w:rPr>
                  </w:pPr>
                  <w:r>
                    <w:rPr>
                      <w:b/>
                      <w:color w:val="auto"/>
                    </w:rPr>
                    <w:t>行政区</w:t>
                  </w:r>
                </w:p>
              </w:tc>
              <w:tc>
                <w:tcPr>
                  <w:tcW w:w="346" w:type="pct"/>
                  <w:tcBorders>
                    <w:top w:val="single" w:color="auto" w:sz="12" w:space="0"/>
                    <w:bottom w:val="single" w:color="auto" w:sz="12" w:space="0"/>
                  </w:tcBorders>
                  <w:vAlign w:val="center"/>
                </w:tcPr>
                <w:p w14:paraId="010390A9">
                  <w:pPr>
                    <w:keepNext/>
                    <w:adjustRightInd w:val="0"/>
                    <w:snapToGrid w:val="0"/>
                    <w:jc w:val="center"/>
                    <w:rPr>
                      <w:b/>
                      <w:color w:val="auto"/>
                    </w:rPr>
                  </w:pPr>
                  <w:r>
                    <w:rPr>
                      <w:b/>
                      <w:color w:val="auto"/>
                    </w:rPr>
                    <w:t>单元总数</w:t>
                  </w:r>
                </w:p>
              </w:tc>
              <w:tc>
                <w:tcPr>
                  <w:tcW w:w="908" w:type="pct"/>
                  <w:tcBorders>
                    <w:top w:val="single" w:color="auto" w:sz="12" w:space="0"/>
                    <w:bottom w:val="single" w:color="auto" w:sz="12" w:space="0"/>
                  </w:tcBorders>
                  <w:vAlign w:val="center"/>
                </w:tcPr>
                <w:p w14:paraId="3254AB9A">
                  <w:pPr>
                    <w:keepNext/>
                    <w:adjustRightInd w:val="0"/>
                    <w:snapToGrid w:val="0"/>
                    <w:jc w:val="center"/>
                    <w:rPr>
                      <w:b/>
                      <w:color w:val="auto"/>
                    </w:rPr>
                  </w:pPr>
                  <w:r>
                    <w:rPr>
                      <w:b/>
                      <w:color w:val="auto"/>
                    </w:rPr>
                    <w:t>优先保护单元</w:t>
                  </w:r>
                </w:p>
                <w:p w14:paraId="6FECE601">
                  <w:pPr>
                    <w:keepNext/>
                    <w:adjustRightInd w:val="0"/>
                    <w:snapToGrid w:val="0"/>
                    <w:jc w:val="center"/>
                    <w:rPr>
                      <w:b/>
                      <w:color w:val="auto"/>
                    </w:rPr>
                  </w:pPr>
                  <w:r>
                    <w:rPr>
                      <w:b/>
                      <w:color w:val="auto"/>
                    </w:rPr>
                    <w:t>（生态保护红线、生态空间管控区域）</w:t>
                  </w:r>
                </w:p>
              </w:tc>
              <w:tc>
                <w:tcPr>
                  <w:tcW w:w="2521" w:type="pct"/>
                  <w:tcBorders>
                    <w:top w:val="single" w:color="auto" w:sz="12" w:space="0"/>
                    <w:bottom w:val="single" w:color="auto" w:sz="12" w:space="0"/>
                  </w:tcBorders>
                  <w:vAlign w:val="center"/>
                </w:tcPr>
                <w:p w14:paraId="1DBEF5A3">
                  <w:pPr>
                    <w:keepNext/>
                    <w:adjustRightInd w:val="0"/>
                    <w:snapToGrid w:val="0"/>
                    <w:jc w:val="center"/>
                    <w:rPr>
                      <w:b/>
                      <w:color w:val="auto"/>
                    </w:rPr>
                  </w:pPr>
                  <w:r>
                    <w:rPr>
                      <w:b/>
                      <w:color w:val="auto"/>
                    </w:rPr>
                    <w:t>重点管控单元（产业园区、中心城区）</w:t>
                  </w:r>
                </w:p>
              </w:tc>
              <w:tc>
                <w:tcPr>
                  <w:tcW w:w="890" w:type="pct"/>
                  <w:tcBorders>
                    <w:top w:val="single" w:color="auto" w:sz="12" w:space="0"/>
                    <w:bottom w:val="single" w:color="auto" w:sz="12" w:space="0"/>
                    <w:right w:val="nil"/>
                  </w:tcBorders>
                  <w:vAlign w:val="center"/>
                </w:tcPr>
                <w:p w14:paraId="0994D83B">
                  <w:pPr>
                    <w:keepNext/>
                    <w:adjustRightInd w:val="0"/>
                    <w:snapToGrid w:val="0"/>
                    <w:jc w:val="center"/>
                    <w:rPr>
                      <w:b/>
                      <w:color w:val="auto"/>
                    </w:rPr>
                  </w:pPr>
                  <w:r>
                    <w:rPr>
                      <w:b/>
                      <w:color w:val="auto"/>
                    </w:rPr>
                    <w:t>一般管控</w:t>
                  </w:r>
                </w:p>
                <w:p w14:paraId="1C033BB3">
                  <w:pPr>
                    <w:keepNext/>
                    <w:adjustRightInd w:val="0"/>
                    <w:snapToGrid w:val="0"/>
                    <w:jc w:val="center"/>
                    <w:rPr>
                      <w:b/>
                      <w:color w:val="auto"/>
                    </w:rPr>
                  </w:pPr>
                  <w:r>
                    <w:rPr>
                      <w:b/>
                      <w:color w:val="auto"/>
                    </w:rPr>
                    <w:t>单元*</w:t>
                  </w:r>
                </w:p>
              </w:tc>
            </w:tr>
            <w:tr w14:paraId="6D18A1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3" w:type="pct"/>
                  <w:tcBorders>
                    <w:top w:val="single" w:color="auto" w:sz="12" w:space="0"/>
                    <w:left w:val="nil"/>
                  </w:tcBorders>
                  <w:vAlign w:val="center"/>
                </w:tcPr>
                <w:p w14:paraId="46BEF345">
                  <w:pPr>
                    <w:jc w:val="center"/>
                    <w:rPr>
                      <w:color w:val="auto"/>
                      <w:sz w:val="22"/>
                      <w:szCs w:val="22"/>
                    </w:rPr>
                  </w:pPr>
                  <w:r>
                    <w:rPr>
                      <w:color w:val="auto"/>
                      <w:sz w:val="22"/>
                      <w:szCs w:val="22"/>
                    </w:rPr>
                    <w:t>涟水县</w:t>
                  </w:r>
                </w:p>
              </w:tc>
              <w:tc>
                <w:tcPr>
                  <w:tcW w:w="346" w:type="pct"/>
                  <w:tcBorders>
                    <w:top w:val="single" w:color="auto" w:sz="12" w:space="0"/>
                  </w:tcBorders>
                  <w:vAlign w:val="center"/>
                </w:tcPr>
                <w:p w14:paraId="3B8FE594">
                  <w:pPr>
                    <w:jc w:val="center"/>
                    <w:rPr>
                      <w:color w:val="auto"/>
                      <w:sz w:val="22"/>
                      <w:szCs w:val="22"/>
                    </w:rPr>
                  </w:pPr>
                  <w:r>
                    <w:rPr>
                      <w:color w:val="auto"/>
                      <w:sz w:val="22"/>
                      <w:szCs w:val="22"/>
                    </w:rPr>
                    <w:t>58</w:t>
                  </w:r>
                </w:p>
              </w:tc>
              <w:tc>
                <w:tcPr>
                  <w:tcW w:w="908" w:type="pct"/>
                  <w:tcBorders>
                    <w:top w:val="single" w:color="auto" w:sz="12" w:space="0"/>
                  </w:tcBorders>
                  <w:vAlign w:val="center"/>
                </w:tcPr>
                <w:p w14:paraId="7C4A5AE8">
                  <w:pPr>
                    <w:jc w:val="center"/>
                    <w:rPr>
                      <w:color w:val="auto"/>
                      <w:sz w:val="22"/>
                      <w:szCs w:val="22"/>
                    </w:rPr>
                  </w:pPr>
                  <w:r>
                    <w:rPr>
                      <w:color w:val="auto"/>
                      <w:sz w:val="22"/>
                      <w:szCs w:val="22"/>
                    </w:rPr>
                    <w:t>3个</w:t>
                  </w:r>
                </w:p>
                <w:p w14:paraId="138A821D">
                  <w:pPr>
                    <w:jc w:val="center"/>
                    <w:rPr>
                      <w:color w:val="auto"/>
                      <w:sz w:val="22"/>
                      <w:szCs w:val="22"/>
                    </w:rPr>
                  </w:pPr>
                  <w:r>
                    <w:rPr>
                      <w:color w:val="auto"/>
                      <w:sz w:val="22"/>
                      <w:szCs w:val="22"/>
                    </w:rPr>
                    <w:t>古黄河（涟水）饮用水水源保护区、江苏涟水涟漪湖黄嘴白鹭省级自然保护区、废黄河（涟水县）重要湿地</w:t>
                  </w:r>
                </w:p>
              </w:tc>
              <w:tc>
                <w:tcPr>
                  <w:tcW w:w="2521" w:type="pct"/>
                  <w:tcBorders>
                    <w:top w:val="single" w:color="auto" w:sz="12" w:space="0"/>
                  </w:tcBorders>
                  <w:vAlign w:val="center"/>
                </w:tcPr>
                <w:p w14:paraId="095C94CD">
                  <w:pPr>
                    <w:jc w:val="center"/>
                    <w:rPr>
                      <w:color w:val="auto"/>
                      <w:sz w:val="22"/>
                      <w:szCs w:val="22"/>
                    </w:rPr>
                  </w:pPr>
                  <w:r>
                    <w:rPr>
                      <w:color w:val="auto"/>
                      <w:sz w:val="22"/>
                      <w:szCs w:val="22"/>
                    </w:rPr>
                    <w:t>36个</w:t>
                  </w:r>
                </w:p>
                <w:p w14:paraId="67D97CE0">
                  <w:pPr>
                    <w:jc w:val="center"/>
                    <w:rPr>
                      <w:color w:val="auto"/>
                      <w:sz w:val="22"/>
                      <w:szCs w:val="22"/>
                    </w:rPr>
                  </w:pPr>
                  <w:r>
                    <w:rPr>
                      <w:color w:val="auto"/>
                      <w:sz w:val="22"/>
                      <w:szCs w:val="22"/>
                    </w:rPr>
                    <w:t>江苏涟水经济开发区、淮安</w:t>
                  </w:r>
                  <w:r>
                    <w:rPr>
                      <w:rFonts w:hint="eastAsia"/>
                      <w:color w:val="auto"/>
                      <w:sz w:val="22"/>
                      <w:szCs w:val="22"/>
                      <w:lang w:eastAsia="zh-CN"/>
                    </w:rPr>
                    <w:t>（</w:t>
                  </w:r>
                  <w:r>
                    <w:rPr>
                      <w:color w:val="auto"/>
                      <w:sz w:val="22"/>
                      <w:szCs w:val="22"/>
                    </w:rPr>
                    <w:t>薛行）循环经济产业园、凌庄新型金属材料工业集中区、淮安</w:t>
                  </w:r>
                  <w:r>
                    <w:rPr>
                      <w:rFonts w:hint="eastAsia"/>
                      <w:color w:val="auto"/>
                      <w:sz w:val="22"/>
                      <w:szCs w:val="22"/>
                      <w:lang w:eastAsia="zh-CN"/>
                    </w:rPr>
                    <w:t>（</w:t>
                  </w:r>
                  <w:r>
                    <w:rPr>
                      <w:color w:val="auto"/>
                      <w:sz w:val="22"/>
                      <w:szCs w:val="22"/>
                    </w:rPr>
                    <w:t>涟水</w:t>
                  </w:r>
                  <w:r>
                    <w:rPr>
                      <w:rFonts w:hint="eastAsia"/>
                      <w:color w:val="auto"/>
                      <w:sz w:val="22"/>
                      <w:szCs w:val="22"/>
                      <w:lang w:eastAsia="zh-CN"/>
                    </w:rPr>
                    <w:t>）</w:t>
                  </w:r>
                  <w:r>
                    <w:rPr>
                      <w:color w:val="auto"/>
                      <w:sz w:val="22"/>
                      <w:szCs w:val="22"/>
                    </w:rPr>
                    <w:t>空港产业园、涟城街道工业集中区、红窑镇工业集中区、粱岔镇工业集中区、涟城街道</w:t>
                  </w:r>
                  <w:r>
                    <w:rPr>
                      <w:rFonts w:hint="eastAsia"/>
                      <w:color w:val="auto"/>
                      <w:sz w:val="22"/>
                      <w:szCs w:val="22"/>
                      <w:lang w:eastAsia="zh-CN"/>
                    </w:rPr>
                    <w:t>（</w:t>
                  </w:r>
                  <w:r>
                    <w:rPr>
                      <w:color w:val="auto"/>
                      <w:sz w:val="22"/>
                      <w:szCs w:val="22"/>
                    </w:rPr>
                    <w:t>徐集</w:t>
                  </w:r>
                  <w:r>
                    <w:rPr>
                      <w:rFonts w:hint="eastAsia"/>
                      <w:color w:val="auto"/>
                      <w:sz w:val="22"/>
                      <w:szCs w:val="22"/>
                      <w:lang w:eastAsia="zh-CN"/>
                    </w:rPr>
                    <w:t>）</w:t>
                  </w:r>
                  <w:r>
                    <w:rPr>
                      <w:color w:val="auto"/>
                      <w:sz w:val="22"/>
                      <w:szCs w:val="22"/>
                    </w:rPr>
                    <w:t>工业集中区、东胡集镇扶贫产业园、东胡集镇</w:t>
                  </w:r>
                  <w:r>
                    <w:rPr>
                      <w:rFonts w:hint="eastAsia"/>
                      <w:color w:val="auto"/>
                      <w:sz w:val="22"/>
                      <w:szCs w:val="22"/>
                      <w:lang w:eastAsia="zh-CN"/>
                    </w:rPr>
                    <w:t>（</w:t>
                  </w:r>
                  <w:r>
                    <w:rPr>
                      <w:color w:val="auto"/>
                      <w:sz w:val="22"/>
                      <w:szCs w:val="22"/>
                    </w:rPr>
                    <w:t>嵇码</w:t>
                  </w:r>
                  <w:r>
                    <w:rPr>
                      <w:rFonts w:hint="eastAsia"/>
                      <w:color w:val="auto"/>
                      <w:sz w:val="22"/>
                      <w:szCs w:val="22"/>
                      <w:lang w:eastAsia="zh-CN"/>
                    </w:rPr>
                    <w:t>）</w:t>
                  </w:r>
                  <w:r>
                    <w:rPr>
                      <w:color w:val="auto"/>
                      <w:sz w:val="22"/>
                      <w:szCs w:val="22"/>
                    </w:rPr>
                    <w:t>工业集中区、陈师街道工业集中区、大东镇工业集中区、岔庙镇工业集中区、黄营镇工业集中区、黄营镇</w:t>
                  </w:r>
                  <w:r>
                    <w:rPr>
                      <w:rFonts w:hint="eastAsia"/>
                      <w:color w:val="auto"/>
                      <w:sz w:val="22"/>
                      <w:szCs w:val="22"/>
                      <w:lang w:eastAsia="zh-CN"/>
                    </w:rPr>
                    <w:t>（</w:t>
                  </w:r>
                  <w:r>
                    <w:rPr>
                      <w:color w:val="auto"/>
                      <w:sz w:val="22"/>
                      <w:szCs w:val="22"/>
                    </w:rPr>
                    <w:t>北集</w:t>
                  </w:r>
                  <w:r>
                    <w:rPr>
                      <w:rFonts w:hint="eastAsia"/>
                      <w:color w:val="auto"/>
                      <w:sz w:val="22"/>
                      <w:szCs w:val="22"/>
                      <w:lang w:eastAsia="zh-CN"/>
                    </w:rPr>
                    <w:t>）</w:t>
                  </w:r>
                  <w:r>
                    <w:rPr>
                      <w:color w:val="auto"/>
                      <w:sz w:val="22"/>
                      <w:szCs w:val="22"/>
                    </w:rPr>
                    <w:t>工业集中区、南集镇工业集中区、朱码街道工业集中区、朱码街道民营经济产</w:t>
                  </w:r>
                  <w:r>
                    <w:rPr>
                      <w:rFonts w:hint="eastAsia"/>
                      <w:color w:val="auto"/>
                      <w:sz w:val="22"/>
                      <w:szCs w:val="22"/>
                      <w:lang w:eastAsia="zh-CN"/>
                    </w:rPr>
                    <w:t>业区</w:t>
                  </w:r>
                  <w:r>
                    <w:rPr>
                      <w:color w:val="auto"/>
                      <w:sz w:val="22"/>
                      <w:szCs w:val="22"/>
                    </w:rPr>
                    <w:t>、朱码街道双河工业区、朱码街道河网工业区、成集镇工业集中区、红窑镇</w:t>
                  </w:r>
                  <w:r>
                    <w:rPr>
                      <w:rFonts w:hint="eastAsia"/>
                      <w:color w:val="auto"/>
                      <w:sz w:val="22"/>
                      <w:szCs w:val="22"/>
                      <w:lang w:eastAsia="zh-CN"/>
                    </w:rPr>
                    <w:t>（</w:t>
                  </w:r>
                  <w:r>
                    <w:rPr>
                      <w:color w:val="auto"/>
                      <w:sz w:val="22"/>
                      <w:szCs w:val="22"/>
                    </w:rPr>
                    <w:t>义兴</w:t>
                  </w:r>
                  <w:r>
                    <w:rPr>
                      <w:rFonts w:hint="eastAsia"/>
                      <w:color w:val="auto"/>
                      <w:sz w:val="22"/>
                      <w:szCs w:val="22"/>
                      <w:lang w:eastAsia="zh-CN"/>
                    </w:rPr>
                    <w:t>）</w:t>
                  </w:r>
                  <w:r>
                    <w:rPr>
                      <w:color w:val="auto"/>
                      <w:sz w:val="22"/>
                      <w:szCs w:val="22"/>
                    </w:rPr>
                    <w:t>工业集中区、高沟镇</w:t>
                  </w:r>
                  <w:r>
                    <w:rPr>
                      <w:rFonts w:hint="eastAsia"/>
                      <w:color w:val="auto"/>
                      <w:sz w:val="22"/>
                      <w:szCs w:val="22"/>
                      <w:lang w:eastAsia="zh-CN"/>
                    </w:rPr>
                    <w:t>（</w:t>
                  </w:r>
                  <w:r>
                    <w:rPr>
                      <w:color w:val="auto"/>
                      <w:sz w:val="22"/>
                      <w:szCs w:val="22"/>
                    </w:rPr>
                    <w:t>灰墩</w:t>
                  </w:r>
                  <w:r>
                    <w:rPr>
                      <w:rFonts w:hint="eastAsia"/>
                      <w:color w:val="auto"/>
                      <w:sz w:val="22"/>
                      <w:szCs w:val="22"/>
                      <w:lang w:eastAsia="zh-CN"/>
                    </w:rPr>
                    <w:t>）</w:t>
                  </w:r>
                  <w:r>
                    <w:rPr>
                      <w:color w:val="auto"/>
                      <w:sz w:val="22"/>
                      <w:szCs w:val="22"/>
                    </w:rPr>
                    <w:t>工业集中区、高沟镇（前进</w:t>
                  </w:r>
                  <w:r>
                    <w:rPr>
                      <w:rFonts w:hint="eastAsia"/>
                      <w:color w:val="auto"/>
                      <w:sz w:val="22"/>
                      <w:szCs w:val="22"/>
                      <w:lang w:eastAsia="zh-CN"/>
                    </w:rPr>
                    <w:t>）</w:t>
                  </w:r>
                  <w:r>
                    <w:rPr>
                      <w:color w:val="auto"/>
                      <w:sz w:val="22"/>
                      <w:szCs w:val="22"/>
                    </w:rPr>
                    <w:t>工业集中区、唐集镇工业集中区、高沟镇工业集中区、高沟镇</w:t>
                  </w:r>
                  <w:r>
                    <w:rPr>
                      <w:rFonts w:hint="eastAsia"/>
                      <w:color w:val="auto"/>
                      <w:sz w:val="22"/>
                      <w:szCs w:val="22"/>
                      <w:lang w:eastAsia="zh-CN"/>
                    </w:rPr>
                    <w:t>（</w:t>
                  </w:r>
                  <w:r>
                    <w:rPr>
                      <w:color w:val="auto"/>
                      <w:sz w:val="22"/>
                      <w:szCs w:val="22"/>
                    </w:rPr>
                    <w:t>高杨</w:t>
                  </w:r>
                  <w:r>
                    <w:rPr>
                      <w:rFonts w:hint="eastAsia"/>
                      <w:color w:val="auto"/>
                      <w:sz w:val="22"/>
                      <w:szCs w:val="22"/>
                      <w:lang w:eastAsia="zh-CN"/>
                    </w:rPr>
                    <w:t>）</w:t>
                  </w:r>
                  <w:r>
                    <w:rPr>
                      <w:color w:val="auto"/>
                      <w:sz w:val="22"/>
                      <w:szCs w:val="22"/>
                    </w:rPr>
                    <w:t>集中区、食品产业园、五港镇工业集中区、五港</w:t>
                  </w:r>
                  <w:r>
                    <w:rPr>
                      <w:rFonts w:hint="eastAsia"/>
                      <w:color w:val="auto"/>
                      <w:sz w:val="22"/>
                      <w:szCs w:val="22"/>
                    </w:rPr>
                    <w:t>镇</w:t>
                  </w:r>
                  <w:r>
                    <w:rPr>
                      <w:color w:val="auto"/>
                      <w:sz w:val="22"/>
                      <w:szCs w:val="22"/>
                    </w:rPr>
                    <w:t>工业集中区拓展区</w:t>
                  </w:r>
                  <w:r>
                    <w:rPr>
                      <w:rFonts w:hint="eastAsia"/>
                      <w:color w:val="auto"/>
                      <w:sz w:val="22"/>
                      <w:szCs w:val="22"/>
                      <w:lang w:eastAsia="zh-CN"/>
                    </w:rPr>
                    <w:t>（</w:t>
                  </w:r>
                  <w:r>
                    <w:rPr>
                      <w:color w:val="auto"/>
                      <w:sz w:val="22"/>
                      <w:szCs w:val="22"/>
                    </w:rPr>
                    <w:t>再生纸产业</w:t>
                  </w:r>
                  <w:r>
                    <w:rPr>
                      <w:rFonts w:hint="eastAsia"/>
                      <w:color w:val="auto"/>
                      <w:sz w:val="22"/>
                      <w:szCs w:val="22"/>
                    </w:rPr>
                    <w:t>园</w:t>
                  </w:r>
                  <w:r>
                    <w:rPr>
                      <w:rFonts w:hint="eastAsia"/>
                      <w:color w:val="auto"/>
                      <w:sz w:val="22"/>
                      <w:szCs w:val="22"/>
                      <w:lang w:eastAsia="zh-CN"/>
                    </w:rPr>
                    <w:t>）</w:t>
                  </w:r>
                  <w:r>
                    <w:rPr>
                      <w:color w:val="auto"/>
                      <w:sz w:val="22"/>
                      <w:szCs w:val="22"/>
                    </w:rPr>
                    <w:t>、石湖镇瓦房工业集中区、石湖镇外口工业集中区、石湖镇东兴</w:t>
                  </w:r>
                  <w:r>
                    <w:rPr>
                      <w:rFonts w:hint="eastAsia"/>
                      <w:color w:val="auto"/>
                      <w:sz w:val="22"/>
                      <w:szCs w:val="22"/>
                      <w:lang w:eastAsia="zh-CN"/>
                    </w:rPr>
                    <w:t>工业</w:t>
                  </w:r>
                  <w:r>
                    <w:rPr>
                      <w:color w:val="auto"/>
                      <w:sz w:val="22"/>
                      <w:szCs w:val="22"/>
                    </w:rPr>
                    <w:t>集中区、保滩街道（周集</w:t>
                  </w:r>
                  <w:r>
                    <w:rPr>
                      <w:rFonts w:hint="eastAsia"/>
                      <w:color w:val="auto"/>
                      <w:sz w:val="22"/>
                      <w:szCs w:val="22"/>
                      <w:lang w:eastAsia="zh-CN"/>
                    </w:rPr>
                    <w:t>）</w:t>
                  </w:r>
                  <w:r>
                    <w:rPr>
                      <w:color w:val="auto"/>
                      <w:sz w:val="22"/>
                      <w:szCs w:val="22"/>
                    </w:rPr>
                    <w:t>工业集中区、保滩街道（十堡</w:t>
                  </w:r>
                  <w:r>
                    <w:rPr>
                      <w:rFonts w:hint="eastAsia"/>
                      <w:color w:val="auto"/>
                      <w:sz w:val="22"/>
                      <w:szCs w:val="22"/>
                      <w:lang w:eastAsia="zh-CN"/>
                    </w:rPr>
                    <w:t>）</w:t>
                  </w:r>
                  <w:r>
                    <w:rPr>
                      <w:color w:val="auto"/>
                      <w:sz w:val="22"/>
                      <w:szCs w:val="22"/>
                    </w:rPr>
                    <w:t>工业集中区、淮安（薛行）循环经济产业园西区</w:t>
                  </w:r>
                </w:p>
              </w:tc>
              <w:tc>
                <w:tcPr>
                  <w:tcW w:w="890" w:type="pct"/>
                  <w:tcBorders>
                    <w:top w:val="single" w:color="auto" w:sz="12" w:space="0"/>
                    <w:bottom w:val="single" w:color="auto" w:sz="12" w:space="0"/>
                    <w:right w:val="nil"/>
                  </w:tcBorders>
                  <w:vAlign w:val="center"/>
                </w:tcPr>
                <w:p w14:paraId="2AAF3787">
                  <w:pPr>
                    <w:jc w:val="center"/>
                    <w:rPr>
                      <w:color w:val="auto"/>
                      <w:sz w:val="22"/>
                      <w:szCs w:val="22"/>
                    </w:rPr>
                  </w:pPr>
                  <w:r>
                    <w:rPr>
                      <w:color w:val="auto"/>
                      <w:sz w:val="22"/>
                      <w:szCs w:val="22"/>
                    </w:rPr>
                    <w:t>19个</w:t>
                  </w:r>
                </w:p>
                <w:p w14:paraId="6C3F2E0B">
                  <w:pPr>
                    <w:jc w:val="center"/>
                    <w:rPr>
                      <w:color w:val="auto"/>
                      <w:sz w:val="22"/>
                      <w:szCs w:val="22"/>
                    </w:rPr>
                  </w:pPr>
                  <w:r>
                    <w:rPr>
                      <w:color w:val="auto"/>
                      <w:sz w:val="22"/>
                      <w:szCs w:val="22"/>
                    </w:rPr>
                    <w:t>保滩街道、徐集乡</w:t>
                  </w:r>
                  <w:r>
                    <w:rPr>
                      <w:rFonts w:hint="eastAsia"/>
                      <w:color w:val="auto"/>
                      <w:sz w:val="22"/>
                      <w:szCs w:val="22"/>
                      <w:lang w:eastAsia="zh-CN"/>
                    </w:rPr>
                    <w:t>（</w:t>
                  </w:r>
                  <w:r>
                    <w:rPr>
                      <w:color w:val="auto"/>
                      <w:sz w:val="22"/>
                      <w:szCs w:val="22"/>
                    </w:rPr>
                    <w:t>涟城街道</w:t>
                  </w:r>
                  <w:r>
                    <w:rPr>
                      <w:rFonts w:hint="eastAsia"/>
                      <w:color w:val="auto"/>
                      <w:sz w:val="22"/>
                      <w:szCs w:val="22"/>
                      <w:lang w:eastAsia="zh-CN"/>
                    </w:rPr>
                    <w:t>）</w:t>
                  </w:r>
                  <w:r>
                    <w:rPr>
                      <w:color w:val="auto"/>
                      <w:sz w:val="22"/>
                      <w:szCs w:val="22"/>
                    </w:rPr>
                    <w:t>、黄营镇、涟城街道、高沟镇、唐集镇、大东镇、五港镇、梁岔镇、朱码街道、岔庙镇、东胡集镇、南集镇、义兴镇</w:t>
                  </w:r>
                  <w:r>
                    <w:rPr>
                      <w:rFonts w:hint="eastAsia"/>
                      <w:color w:val="auto"/>
                      <w:sz w:val="22"/>
                      <w:szCs w:val="22"/>
                      <w:lang w:eastAsia="zh-CN"/>
                    </w:rPr>
                    <w:t>（</w:t>
                  </w:r>
                  <w:r>
                    <w:rPr>
                      <w:color w:val="auto"/>
                      <w:sz w:val="22"/>
                      <w:szCs w:val="22"/>
                    </w:rPr>
                    <w:t>红窑镇</w:t>
                  </w:r>
                  <w:r>
                    <w:rPr>
                      <w:rFonts w:hint="eastAsia"/>
                      <w:color w:val="auto"/>
                      <w:sz w:val="22"/>
                      <w:szCs w:val="22"/>
                      <w:lang w:eastAsia="zh-CN"/>
                    </w:rPr>
                    <w:t>）</w:t>
                  </w:r>
                  <w:r>
                    <w:rPr>
                      <w:color w:val="auto"/>
                      <w:sz w:val="22"/>
                      <w:szCs w:val="22"/>
                    </w:rPr>
                    <w:t>、成集镇、红窑镇、陈师街道、前进镇</w:t>
                  </w:r>
                  <w:r>
                    <w:rPr>
                      <w:rFonts w:hint="eastAsia"/>
                      <w:color w:val="auto"/>
                      <w:sz w:val="22"/>
                      <w:szCs w:val="22"/>
                      <w:lang w:eastAsia="zh-CN"/>
                    </w:rPr>
                    <w:t>（</w:t>
                  </w:r>
                  <w:r>
                    <w:rPr>
                      <w:color w:val="auto"/>
                      <w:sz w:val="22"/>
                      <w:szCs w:val="22"/>
                    </w:rPr>
                    <w:t>高沟镇</w:t>
                  </w:r>
                  <w:r>
                    <w:rPr>
                      <w:rFonts w:hint="eastAsia"/>
                      <w:color w:val="auto"/>
                      <w:sz w:val="22"/>
                      <w:szCs w:val="22"/>
                      <w:lang w:eastAsia="zh-CN"/>
                    </w:rPr>
                    <w:t>）</w:t>
                  </w:r>
                  <w:r>
                    <w:rPr>
                      <w:color w:val="auto"/>
                      <w:sz w:val="22"/>
                      <w:szCs w:val="22"/>
                    </w:rPr>
                    <w:t>、石湖镇</w:t>
                  </w:r>
                </w:p>
              </w:tc>
            </w:tr>
          </w:tbl>
          <w:p w14:paraId="168790B8">
            <w:pPr>
              <w:autoSpaceDE w:val="0"/>
              <w:autoSpaceDN w:val="0"/>
              <w:adjustRightInd w:val="0"/>
              <w:snapToGrid w:val="0"/>
              <w:spacing w:line="500" w:lineRule="exact"/>
              <w:ind w:firstLine="480" w:firstLineChars="200"/>
              <w:outlineLvl w:val="3"/>
              <w:rPr>
                <w:rFonts w:ascii="宋体" w:eastAsia="仿宋_GB2312" w:cs="宋体"/>
                <w:b/>
                <w:color w:val="auto"/>
                <w:sz w:val="24"/>
              </w:rPr>
            </w:pPr>
            <w:r>
              <w:rPr>
                <w:bCs/>
                <w:color w:val="auto"/>
                <w:sz w:val="24"/>
              </w:rPr>
              <w:t>本项目位于</w:t>
            </w:r>
            <w:r>
              <w:rPr>
                <w:rFonts w:hint="eastAsia"/>
                <w:color w:val="auto"/>
                <w:kern w:val="0"/>
                <w:sz w:val="24"/>
                <w:lang w:val="en-US" w:eastAsia="zh-CN"/>
              </w:rPr>
              <w:t>江苏涟水经济开发区涟水路3号</w:t>
            </w:r>
            <w:r>
              <w:rPr>
                <w:bCs/>
                <w:color w:val="auto"/>
                <w:sz w:val="24"/>
              </w:rPr>
              <w:t>，属于淮安市环境管控单元名录中的重点管控单元。</w:t>
            </w:r>
            <w:r>
              <w:rPr>
                <w:rFonts w:hint="eastAsia"/>
                <w:bCs/>
                <w:color w:val="auto"/>
                <w:sz w:val="24"/>
              </w:rPr>
              <w:t>对照</w:t>
            </w:r>
            <w:r>
              <w:rPr>
                <w:bCs/>
                <w:color w:val="auto"/>
                <w:sz w:val="24"/>
              </w:rPr>
              <w:t>《市政府关于印发淮安市</w:t>
            </w:r>
            <w:r>
              <w:rPr>
                <w:rFonts w:hint="eastAsia"/>
                <w:bCs/>
                <w:color w:val="auto"/>
                <w:sz w:val="24"/>
              </w:rPr>
              <w:t>“</w:t>
            </w:r>
            <w:r>
              <w:rPr>
                <w:bCs/>
                <w:color w:val="auto"/>
                <w:sz w:val="24"/>
              </w:rPr>
              <w:t>三线一单</w:t>
            </w:r>
            <w:r>
              <w:rPr>
                <w:rFonts w:hint="eastAsia"/>
                <w:bCs/>
                <w:color w:val="auto"/>
                <w:sz w:val="24"/>
              </w:rPr>
              <w:t>”</w:t>
            </w:r>
            <w:r>
              <w:rPr>
                <w:bCs/>
                <w:color w:val="auto"/>
                <w:sz w:val="24"/>
              </w:rPr>
              <w:t>生态环境分区管控方案的通知》（淮政发〔2020〕16号）</w:t>
            </w:r>
            <w:r>
              <w:rPr>
                <w:rFonts w:hint="eastAsia"/>
                <w:bCs/>
                <w:color w:val="auto"/>
                <w:sz w:val="24"/>
              </w:rPr>
              <w:t>、</w:t>
            </w:r>
            <w:r>
              <w:rPr>
                <w:bCs/>
                <w:color w:val="auto"/>
                <w:sz w:val="24"/>
              </w:rPr>
              <w:t>《市政府办公室关于对淮安市“三线一单”生态环境分区管控方案内容修改的通知》（淮政办函〔2022〕5号）和《淮安市生态环境分区管控动态更新成果》（</w:t>
            </w:r>
            <w:r>
              <w:rPr>
                <w:rFonts w:hint="eastAsia"/>
                <w:bCs/>
                <w:color w:val="auto"/>
                <w:sz w:val="24"/>
              </w:rPr>
              <w:t>2023版</w:t>
            </w:r>
            <w:r>
              <w:rPr>
                <w:bCs/>
                <w:color w:val="auto"/>
                <w:sz w:val="24"/>
              </w:rPr>
              <w:t>）相符性分析见表1-</w:t>
            </w:r>
            <w:r>
              <w:rPr>
                <w:rFonts w:hint="eastAsia"/>
                <w:bCs/>
                <w:color w:val="auto"/>
                <w:sz w:val="24"/>
                <w:lang w:val="en-US" w:eastAsia="zh-CN"/>
              </w:rPr>
              <w:t>5</w:t>
            </w:r>
            <w:r>
              <w:rPr>
                <w:bCs/>
                <w:color w:val="auto"/>
                <w:sz w:val="24"/>
              </w:rPr>
              <w:t>。</w:t>
            </w:r>
            <w:r>
              <w:rPr>
                <w:rFonts w:hint="eastAsia" w:ascii="宋体" w:hAnsi="宋体" w:cs="宋体"/>
                <w:bCs/>
                <w:color w:val="auto"/>
                <w:sz w:val="24"/>
              </w:rPr>
              <w:t>本项目与《淮安市“三线一单”生态环境分区管控方案》中“淮安市环境管控单元图”位置关系见附图</w:t>
            </w:r>
            <w:r>
              <w:rPr>
                <w:rFonts w:hint="eastAsia"/>
                <w:bCs/>
                <w:color w:val="auto"/>
                <w:sz w:val="24"/>
                <w:lang w:val="en-US" w:eastAsia="zh-CN"/>
              </w:rPr>
              <w:t>4</w:t>
            </w:r>
            <w:r>
              <w:rPr>
                <w:rFonts w:hint="eastAsia" w:ascii="宋体" w:hAnsi="宋体" w:cs="宋体"/>
                <w:bCs/>
                <w:color w:val="auto"/>
                <w:sz w:val="24"/>
              </w:rPr>
              <w:t>。</w:t>
            </w:r>
          </w:p>
          <w:p w14:paraId="6FF18D7C">
            <w:pPr>
              <w:adjustRightInd w:val="0"/>
              <w:snapToGrid w:val="0"/>
              <w:spacing w:before="120" w:beforeLines="50"/>
              <w:jc w:val="center"/>
              <w:rPr>
                <w:rFonts w:hAnsiTheme="minorEastAsia" w:eastAsiaTheme="minorEastAsia"/>
                <w:b/>
                <w:bCs/>
                <w:color w:val="auto"/>
                <w:sz w:val="22"/>
              </w:rPr>
            </w:pPr>
          </w:p>
          <w:p w14:paraId="1293079E">
            <w:pPr>
              <w:adjustRightInd w:val="0"/>
              <w:snapToGrid w:val="0"/>
              <w:spacing w:before="120" w:beforeLines="50"/>
              <w:jc w:val="center"/>
              <w:rPr>
                <w:rFonts w:hAnsiTheme="minorEastAsia" w:eastAsiaTheme="minorEastAsia"/>
                <w:b/>
                <w:bCs/>
                <w:color w:val="auto"/>
                <w:sz w:val="22"/>
              </w:rPr>
            </w:pPr>
          </w:p>
          <w:p w14:paraId="3AE86279">
            <w:pPr>
              <w:adjustRightInd w:val="0"/>
              <w:snapToGrid w:val="0"/>
              <w:spacing w:before="120" w:beforeLines="50"/>
              <w:jc w:val="center"/>
              <w:rPr>
                <w:rFonts w:hAnsiTheme="minorEastAsia" w:eastAsiaTheme="minorEastAsia"/>
                <w:b/>
                <w:bCs/>
                <w:color w:val="auto"/>
                <w:sz w:val="22"/>
              </w:rPr>
            </w:pPr>
          </w:p>
          <w:p w14:paraId="70463562">
            <w:pPr>
              <w:adjustRightInd w:val="0"/>
              <w:snapToGrid w:val="0"/>
              <w:spacing w:before="120" w:beforeLines="50"/>
              <w:jc w:val="center"/>
              <w:rPr>
                <w:rFonts w:hAnsiTheme="minorEastAsia" w:eastAsiaTheme="minorEastAsia"/>
                <w:b/>
                <w:bCs/>
                <w:color w:val="auto"/>
                <w:sz w:val="22"/>
              </w:rPr>
            </w:pPr>
          </w:p>
          <w:p w14:paraId="52ED1AC3">
            <w:pPr>
              <w:adjustRightInd w:val="0"/>
              <w:snapToGrid w:val="0"/>
              <w:spacing w:before="120" w:beforeLines="50"/>
              <w:jc w:val="center"/>
              <w:rPr>
                <w:rFonts w:eastAsiaTheme="minorEastAsia"/>
                <w:b/>
                <w:bCs/>
                <w:color w:val="auto"/>
                <w:sz w:val="22"/>
              </w:rPr>
            </w:pPr>
            <w:r>
              <w:rPr>
                <w:rFonts w:hAnsiTheme="minorEastAsia" w:eastAsiaTheme="minorEastAsia"/>
                <w:b/>
                <w:bCs/>
                <w:color w:val="auto"/>
                <w:sz w:val="22"/>
              </w:rPr>
              <w:t>表</w:t>
            </w:r>
            <w:r>
              <w:rPr>
                <w:rFonts w:eastAsiaTheme="minorEastAsia"/>
                <w:b/>
                <w:bCs/>
                <w:color w:val="auto"/>
                <w:sz w:val="22"/>
              </w:rPr>
              <w:t>1-</w:t>
            </w:r>
            <w:r>
              <w:rPr>
                <w:rFonts w:hint="eastAsia" w:eastAsiaTheme="minorEastAsia"/>
                <w:b/>
                <w:bCs/>
                <w:color w:val="auto"/>
                <w:sz w:val="22"/>
                <w:lang w:val="en-US" w:eastAsia="zh-CN"/>
              </w:rPr>
              <w:t>6</w:t>
            </w:r>
            <w:r>
              <w:rPr>
                <w:rFonts w:hint="eastAsia" w:eastAsiaTheme="minorEastAsia"/>
                <w:b/>
                <w:bCs/>
                <w:color w:val="auto"/>
                <w:sz w:val="22"/>
              </w:rPr>
              <w:t xml:space="preserve"> </w:t>
            </w:r>
            <w:r>
              <w:rPr>
                <w:rFonts w:eastAsiaTheme="minorEastAsia"/>
                <w:b/>
                <w:bCs/>
                <w:color w:val="auto"/>
                <w:sz w:val="22"/>
              </w:rPr>
              <w:t xml:space="preserve"> </w:t>
            </w:r>
            <w:r>
              <w:rPr>
                <w:rFonts w:hint="eastAsia" w:hAnsiTheme="minorEastAsia" w:eastAsiaTheme="minorEastAsia"/>
                <w:b/>
                <w:color w:val="auto"/>
                <w:sz w:val="22"/>
                <w:lang w:eastAsia="zh-CN"/>
              </w:rPr>
              <w:t>扩建</w:t>
            </w:r>
            <w:r>
              <w:rPr>
                <w:rFonts w:hAnsiTheme="minorEastAsia" w:eastAsiaTheme="minorEastAsia"/>
                <w:b/>
                <w:bCs/>
                <w:snapToGrid w:val="0"/>
                <w:color w:val="auto"/>
                <w:kern w:val="0"/>
                <w:sz w:val="22"/>
              </w:rPr>
              <w:t>与《</w:t>
            </w:r>
            <w:r>
              <w:rPr>
                <w:rFonts w:hAnsiTheme="minorEastAsia" w:eastAsiaTheme="minorEastAsia"/>
                <w:b/>
                <w:bCs/>
                <w:color w:val="auto"/>
                <w:sz w:val="22"/>
              </w:rPr>
              <w:t>淮安市</w:t>
            </w:r>
            <w:r>
              <w:rPr>
                <w:rFonts w:eastAsiaTheme="minorEastAsia"/>
                <w:b/>
                <w:bCs/>
                <w:color w:val="auto"/>
                <w:sz w:val="22"/>
              </w:rPr>
              <w:t>“</w:t>
            </w:r>
            <w:r>
              <w:rPr>
                <w:rFonts w:hAnsiTheme="minorEastAsia" w:eastAsiaTheme="minorEastAsia"/>
                <w:b/>
                <w:bCs/>
                <w:color w:val="auto"/>
                <w:sz w:val="22"/>
              </w:rPr>
              <w:t>三线一单</w:t>
            </w:r>
            <w:r>
              <w:rPr>
                <w:rFonts w:eastAsiaTheme="minorEastAsia"/>
                <w:b/>
                <w:bCs/>
                <w:color w:val="auto"/>
                <w:sz w:val="22"/>
              </w:rPr>
              <w:t>”</w:t>
            </w:r>
            <w:r>
              <w:rPr>
                <w:rFonts w:hAnsiTheme="minorEastAsia" w:eastAsiaTheme="minorEastAsia"/>
                <w:b/>
                <w:bCs/>
                <w:color w:val="auto"/>
                <w:sz w:val="22"/>
              </w:rPr>
              <w:t>生态环境分区管控方案》相符性分析</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659"/>
              <w:gridCol w:w="4665"/>
              <w:gridCol w:w="2263"/>
              <w:gridCol w:w="751"/>
            </w:tblGrid>
            <w:tr w14:paraId="3CB034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95" w:type="pct"/>
                  <w:tcBorders>
                    <w:top w:val="single" w:color="auto" w:sz="12" w:space="0"/>
                    <w:left w:val="nil"/>
                    <w:bottom w:val="single" w:color="auto" w:sz="4" w:space="0"/>
                    <w:right w:val="single" w:color="auto" w:sz="4" w:space="0"/>
                  </w:tcBorders>
                  <w:vAlign w:val="center"/>
                </w:tcPr>
                <w:p w14:paraId="7AFDF959">
                  <w:pPr>
                    <w:adjustRightInd w:val="0"/>
                    <w:snapToGrid w:val="0"/>
                    <w:jc w:val="center"/>
                    <w:rPr>
                      <w:rFonts w:eastAsiaTheme="minorEastAsia"/>
                      <w:b/>
                      <w:bCs/>
                      <w:color w:val="auto"/>
                      <w:sz w:val="22"/>
                      <w:szCs w:val="22"/>
                    </w:rPr>
                  </w:pPr>
                  <w:r>
                    <w:rPr>
                      <w:rFonts w:hAnsiTheme="minorEastAsia" w:eastAsiaTheme="minorEastAsia"/>
                      <w:b/>
                      <w:bCs/>
                      <w:color w:val="auto"/>
                      <w:sz w:val="22"/>
                      <w:szCs w:val="22"/>
                    </w:rPr>
                    <w:t>类型</w:t>
                  </w:r>
                </w:p>
              </w:tc>
              <w:tc>
                <w:tcPr>
                  <w:tcW w:w="2797" w:type="pct"/>
                  <w:tcBorders>
                    <w:top w:val="single" w:color="auto" w:sz="12" w:space="0"/>
                    <w:left w:val="single" w:color="auto" w:sz="4" w:space="0"/>
                    <w:bottom w:val="single" w:color="auto" w:sz="4" w:space="0"/>
                    <w:right w:val="single" w:color="auto" w:sz="4" w:space="0"/>
                  </w:tcBorders>
                  <w:vAlign w:val="center"/>
                </w:tcPr>
                <w:p w14:paraId="5494E0D0">
                  <w:pPr>
                    <w:adjustRightInd w:val="0"/>
                    <w:snapToGrid w:val="0"/>
                    <w:jc w:val="center"/>
                    <w:rPr>
                      <w:rFonts w:eastAsiaTheme="minorEastAsia"/>
                      <w:b/>
                      <w:bCs/>
                      <w:color w:val="auto"/>
                      <w:sz w:val="22"/>
                      <w:szCs w:val="22"/>
                    </w:rPr>
                  </w:pPr>
                  <w:r>
                    <w:rPr>
                      <w:rFonts w:hAnsiTheme="minorEastAsia" w:eastAsiaTheme="minorEastAsia"/>
                      <w:b/>
                      <w:bCs/>
                      <w:color w:val="auto"/>
                      <w:sz w:val="22"/>
                      <w:szCs w:val="22"/>
                    </w:rPr>
                    <w:t>重点管控要求</w:t>
                  </w:r>
                </w:p>
              </w:tc>
              <w:tc>
                <w:tcPr>
                  <w:tcW w:w="1357" w:type="pct"/>
                  <w:tcBorders>
                    <w:top w:val="single" w:color="auto" w:sz="12" w:space="0"/>
                    <w:left w:val="single" w:color="auto" w:sz="4" w:space="0"/>
                    <w:bottom w:val="single" w:color="auto" w:sz="4" w:space="0"/>
                    <w:right w:val="single" w:color="auto" w:sz="4" w:space="0"/>
                  </w:tcBorders>
                  <w:vAlign w:val="center"/>
                </w:tcPr>
                <w:p w14:paraId="1E3AD046">
                  <w:pPr>
                    <w:adjustRightInd w:val="0"/>
                    <w:snapToGrid w:val="0"/>
                    <w:jc w:val="center"/>
                    <w:rPr>
                      <w:rFonts w:eastAsiaTheme="minorEastAsia"/>
                      <w:b/>
                      <w:bCs/>
                      <w:color w:val="auto"/>
                      <w:sz w:val="22"/>
                      <w:szCs w:val="22"/>
                    </w:rPr>
                  </w:pPr>
                  <w:r>
                    <w:rPr>
                      <w:rFonts w:hint="eastAsia" w:hAnsiTheme="minorEastAsia" w:eastAsiaTheme="minorEastAsia"/>
                      <w:b/>
                      <w:color w:val="auto"/>
                      <w:sz w:val="22"/>
                      <w:szCs w:val="22"/>
                      <w:lang w:eastAsia="zh-CN"/>
                    </w:rPr>
                    <w:t>扩建项目</w:t>
                  </w:r>
                  <w:r>
                    <w:rPr>
                      <w:rFonts w:hAnsiTheme="minorEastAsia" w:eastAsiaTheme="minorEastAsia"/>
                      <w:b/>
                      <w:bCs/>
                      <w:color w:val="auto"/>
                      <w:sz w:val="22"/>
                      <w:szCs w:val="22"/>
                    </w:rPr>
                    <w:t>情况</w:t>
                  </w:r>
                </w:p>
              </w:tc>
              <w:tc>
                <w:tcPr>
                  <w:tcW w:w="450" w:type="pct"/>
                  <w:tcBorders>
                    <w:top w:val="single" w:color="auto" w:sz="12" w:space="0"/>
                    <w:left w:val="single" w:color="auto" w:sz="4" w:space="0"/>
                    <w:bottom w:val="single" w:color="auto" w:sz="4" w:space="0"/>
                    <w:right w:val="nil"/>
                  </w:tcBorders>
                  <w:vAlign w:val="center"/>
                </w:tcPr>
                <w:p w14:paraId="3C318A22">
                  <w:pPr>
                    <w:adjustRightInd w:val="0"/>
                    <w:snapToGrid w:val="0"/>
                    <w:jc w:val="center"/>
                    <w:rPr>
                      <w:rFonts w:eastAsiaTheme="minorEastAsia"/>
                      <w:b/>
                      <w:bCs/>
                      <w:color w:val="auto"/>
                      <w:sz w:val="22"/>
                      <w:szCs w:val="22"/>
                    </w:rPr>
                  </w:pPr>
                  <w:r>
                    <w:rPr>
                      <w:rFonts w:hAnsiTheme="minorEastAsia" w:eastAsiaTheme="minorEastAsia"/>
                      <w:b/>
                      <w:bCs/>
                      <w:color w:val="auto"/>
                      <w:sz w:val="22"/>
                      <w:szCs w:val="22"/>
                    </w:rPr>
                    <w:t>相符性分析</w:t>
                  </w:r>
                </w:p>
              </w:tc>
            </w:tr>
            <w:tr w14:paraId="5D3802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95" w:type="pct"/>
                  <w:tcBorders>
                    <w:top w:val="single" w:color="auto" w:sz="4" w:space="0"/>
                    <w:left w:val="nil"/>
                    <w:bottom w:val="single" w:color="auto" w:sz="4" w:space="0"/>
                    <w:right w:val="single" w:color="auto" w:sz="4" w:space="0"/>
                  </w:tcBorders>
                  <w:vAlign w:val="center"/>
                </w:tcPr>
                <w:p w14:paraId="1F5A791C">
                  <w:pPr>
                    <w:adjustRightInd w:val="0"/>
                    <w:snapToGrid w:val="0"/>
                    <w:jc w:val="center"/>
                    <w:rPr>
                      <w:rFonts w:eastAsiaTheme="minorEastAsia"/>
                      <w:color w:val="auto"/>
                      <w:sz w:val="22"/>
                      <w:szCs w:val="22"/>
                    </w:rPr>
                  </w:pPr>
                  <w:r>
                    <w:rPr>
                      <w:rFonts w:hAnsiTheme="minorEastAsia" w:eastAsiaTheme="minorEastAsia"/>
                      <w:color w:val="auto"/>
                      <w:sz w:val="22"/>
                      <w:szCs w:val="22"/>
                    </w:rPr>
                    <w:t>空间布局约束</w:t>
                  </w:r>
                </w:p>
              </w:tc>
              <w:tc>
                <w:tcPr>
                  <w:tcW w:w="2797" w:type="pct"/>
                  <w:tcBorders>
                    <w:top w:val="single" w:color="auto" w:sz="4" w:space="0"/>
                    <w:left w:val="single" w:color="auto" w:sz="4" w:space="0"/>
                    <w:bottom w:val="single" w:color="auto" w:sz="4" w:space="0"/>
                    <w:right w:val="single" w:color="auto" w:sz="4" w:space="0"/>
                  </w:tcBorders>
                  <w:vAlign w:val="center"/>
                </w:tcPr>
                <w:p w14:paraId="4CE304EA">
                  <w:pPr>
                    <w:adjustRightInd w:val="0"/>
                    <w:snapToGrid w:val="0"/>
                    <w:jc w:val="left"/>
                    <w:rPr>
                      <w:rFonts w:eastAsiaTheme="minorEastAsia"/>
                      <w:color w:val="auto"/>
                      <w:sz w:val="22"/>
                      <w:szCs w:val="22"/>
                    </w:rPr>
                  </w:pPr>
                  <w:r>
                    <w:rPr>
                      <w:color w:val="auto"/>
                      <w:sz w:val="22"/>
                      <w:szCs w:val="22"/>
                    </w:rPr>
                    <w:t>1.严格执行《中共淮安市委淮安市人民政府关于全面加强生态环境保护坚决打好污染防治攻坚战的实施意见》（淮发〔2018〕33号）、《淮安市打赢蓝天保卫战三年行动计划实施方案》（淮政发〔2018〕113号）、《淮安市“两减六治三提升”专项行动方案》（淮发〔2017〕26号）、《淮安市土壤污染防治工作方案》（淮政发〔2017〕86号）、《淮安市水污染防治工作方案》（淮政发〔2016〕95号）等文件要求。2.严格执行《中共淮安市委淮安市人民政府关于优化全市空间功能定位和产业布局的意见》（淮发〔2016〕37号）、《淮安市产业结构调整指导目录（2018</w:t>
                  </w:r>
                  <w:r>
                    <w:rPr>
                      <w:rFonts w:hint="eastAsia"/>
                      <w:color w:val="auto"/>
                      <w:sz w:val="22"/>
                      <w:szCs w:val="22"/>
                      <w:lang w:eastAsia="zh-CN"/>
                    </w:rPr>
                    <w:t>—</w:t>
                  </w:r>
                  <w:r>
                    <w:rPr>
                      <w:color w:val="auto"/>
                      <w:sz w:val="22"/>
                      <w:szCs w:val="22"/>
                    </w:rPr>
                    <w:t>2020年版）》（淮政办发〔2018〕6号）等文件要求，重点鼓励休闲农业、电子信息、高端装备制造、新能源汽车及零部件、金融、旅游、健康养生等资源节约型、环境友好型产业。对钢铁、电解铝、水泥、平板玻璃、船舶等产能严重过剩行业，以及酒精、造纸、皮革、农药、橡胶、水泥、金属冶炼等高耗能、高污染、技术落后的产业进行限制和禁止。同时，对属于限制类的现有生产能力，允许企业开展</w:t>
                  </w:r>
                  <w:r>
                    <w:rPr>
                      <w:rFonts w:hint="eastAsia"/>
                      <w:color w:val="auto"/>
                      <w:sz w:val="22"/>
                      <w:szCs w:val="22"/>
                      <w:lang w:eastAsia="zh-CN"/>
                    </w:rPr>
                    <w:t>改建</w:t>
                  </w:r>
                  <w:r>
                    <w:rPr>
                      <w:color w:val="auto"/>
                      <w:sz w:val="22"/>
                      <w:szCs w:val="22"/>
                    </w:rPr>
                    <w:t>，推动产业转型升级。3.根据《淮安市“两减六治三提升”专项行动方案》（淮发〔2017〕26号），推动化工企业入园进区，禁止园区外（除重点监测点化工企业外）一切新建、扩建化工项目。一律不批化工园区内环境基础设施不完善或长期不能稳定运行企业的新改扩建化工项目。新建（含搬迁）化工项目必须进入已经依法完成规划环评审查的化工园区。园区外化工企业（除重点监测点化工企业外）只允许在原有生产产品种类不变、产能规模不变、排放总量不增加的前提下，进行安全隐患改造和节能环保设施改造。禁止限制类项目产能（搬迁改造升级项目除外）入园进区。4.根据《中共淮安市委淮安市人民政府关于全面加强生态环境保护坚决打好污染防治攻坚战的实施意见》（淮发〔2018〕33号），从严控制京杭大运河（南水北调东线）沿岸两侧危化品码头新建项目的审批。严禁在京杭运河沿线1公里范围内新建布局化工园区和化工企业。5.根据《省政府关于加强全省化工园区化工集中区规范化管理的通知》（苏政发〔2020〕94号），淮安市具备化工定位的化工集中区为江苏淮安工业园区，化工集中区内已建成的企业要通过改进工艺、更新装备、加大信息化智能化改造等措施提升本质安全水平。取消化工定位的园区（集中区）要大幅压减化工生产企业数量，不得新增化工生产企业、新建扩建化工生产项目，现有化工生产企业符合条件的可以定位为化工重点监测点，重点监测点在不新增</w:t>
                  </w:r>
                  <w:r>
                    <w:rPr>
                      <w:rFonts w:hint="eastAsia"/>
                      <w:color w:val="auto"/>
                      <w:sz w:val="22"/>
                      <w:szCs w:val="22"/>
                      <w:lang w:eastAsia="zh-CN"/>
                    </w:rPr>
                    <w:t>工地</w:t>
                  </w:r>
                  <w:r>
                    <w:rPr>
                      <w:color w:val="auto"/>
                      <w:sz w:val="22"/>
                      <w:szCs w:val="22"/>
                    </w:rPr>
                    <w:t>和污染物排放总量的情况下可以实施产业政策鼓励类、允许类的</w:t>
                  </w:r>
                  <w:r>
                    <w:rPr>
                      <w:rFonts w:hint="eastAsia"/>
                      <w:color w:val="auto"/>
                      <w:sz w:val="22"/>
                      <w:szCs w:val="22"/>
                      <w:lang w:eastAsia="zh-CN"/>
                    </w:rPr>
                    <w:t>改建</w:t>
                  </w:r>
                  <w:r>
                    <w:rPr>
                      <w:color w:val="auto"/>
                      <w:sz w:val="22"/>
                      <w:szCs w:val="22"/>
                    </w:rPr>
                    <w:t>项目。</w:t>
                  </w:r>
                </w:p>
              </w:tc>
              <w:tc>
                <w:tcPr>
                  <w:tcW w:w="1357" w:type="pct"/>
                  <w:tcBorders>
                    <w:top w:val="single" w:color="auto" w:sz="4" w:space="0"/>
                    <w:left w:val="single" w:color="auto" w:sz="4" w:space="0"/>
                    <w:bottom w:val="single" w:color="auto" w:sz="4" w:space="0"/>
                    <w:right w:val="single" w:color="auto" w:sz="4" w:space="0"/>
                  </w:tcBorders>
                  <w:vAlign w:val="center"/>
                </w:tcPr>
                <w:p w14:paraId="785FC638">
                  <w:pPr>
                    <w:adjustRightInd w:val="0"/>
                    <w:snapToGrid w:val="0"/>
                    <w:jc w:val="left"/>
                    <w:rPr>
                      <w:rFonts w:eastAsiaTheme="minorEastAsia"/>
                      <w:color w:val="auto"/>
                      <w:sz w:val="22"/>
                      <w:szCs w:val="22"/>
                    </w:rPr>
                  </w:pPr>
                  <w:r>
                    <w:rPr>
                      <w:rFonts w:hint="eastAsia"/>
                      <w:color w:val="auto"/>
                      <w:sz w:val="22"/>
                      <w:szCs w:val="22"/>
                      <w:lang w:eastAsia="zh-CN"/>
                    </w:rPr>
                    <w:t>本</w:t>
                  </w:r>
                  <w:r>
                    <w:rPr>
                      <w:color w:val="auto"/>
                      <w:sz w:val="22"/>
                      <w:szCs w:val="22"/>
                    </w:rPr>
                    <w:t>项目属于</w:t>
                  </w:r>
                  <w:r>
                    <w:rPr>
                      <w:rFonts w:hint="eastAsia"/>
                      <w:color w:val="auto"/>
                      <w:sz w:val="22"/>
                      <w:szCs w:val="22"/>
                      <w:lang w:eastAsia="zh-CN"/>
                    </w:rPr>
                    <w:t>食品制造业</w:t>
                  </w:r>
                  <w:r>
                    <w:rPr>
                      <w:color w:val="auto"/>
                      <w:sz w:val="22"/>
                      <w:szCs w:val="22"/>
                    </w:rPr>
                    <w:t>，位于</w:t>
                  </w:r>
                  <w:r>
                    <w:rPr>
                      <w:rFonts w:hint="eastAsia"/>
                      <w:color w:val="auto"/>
                      <w:sz w:val="22"/>
                      <w:szCs w:val="22"/>
                      <w:lang w:val="en-US" w:eastAsia="zh-CN"/>
                    </w:rPr>
                    <w:t>江苏涟水经济开发区涟水路3号</w:t>
                  </w:r>
                  <w:r>
                    <w:rPr>
                      <w:color w:val="auto"/>
                      <w:sz w:val="22"/>
                      <w:szCs w:val="22"/>
                    </w:rPr>
                    <w:t>，不属于高耗能、高污染、技术落后的产业，不属于新建、扩建化工项目。不属于限制类和禁止类行业，属于允许入园项目，满足空间布局管控要求。</w:t>
                  </w:r>
                  <w:r>
                    <w:rPr>
                      <w:rFonts w:hint="eastAsia"/>
                      <w:color w:val="auto"/>
                      <w:sz w:val="22"/>
                      <w:szCs w:val="22"/>
                    </w:rPr>
                    <w:t xml:space="preserve"> </w:t>
                  </w:r>
                </w:p>
              </w:tc>
              <w:tc>
                <w:tcPr>
                  <w:tcW w:w="450" w:type="pct"/>
                  <w:tcBorders>
                    <w:top w:val="single" w:color="auto" w:sz="4" w:space="0"/>
                    <w:left w:val="single" w:color="auto" w:sz="4" w:space="0"/>
                    <w:bottom w:val="single" w:color="auto" w:sz="4" w:space="0"/>
                    <w:right w:val="nil"/>
                  </w:tcBorders>
                  <w:vAlign w:val="center"/>
                </w:tcPr>
                <w:p w14:paraId="2DC1E103">
                  <w:pPr>
                    <w:adjustRightInd w:val="0"/>
                    <w:snapToGrid w:val="0"/>
                    <w:jc w:val="center"/>
                    <w:rPr>
                      <w:rFonts w:eastAsiaTheme="minorEastAsia"/>
                      <w:color w:val="auto"/>
                      <w:sz w:val="22"/>
                      <w:szCs w:val="22"/>
                    </w:rPr>
                  </w:pPr>
                  <w:r>
                    <w:rPr>
                      <w:rFonts w:hAnsiTheme="minorEastAsia" w:eastAsiaTheme="minorEastAsia"/>
                      <w:color w:val="auto"/>
                      <w:sz w:val="22"/>
                      <w:szCs w:val="22"/>
                    </w:rPr>
                    <w:t>相符</w:t>
                  </w:r>
                </w:p>
              </w:tc>
            </w:tr>
            <w:tr w14:paraId="0B6922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95" w:type="pct"/>
                  <w:tcBorders>
                    <w:top w:val="single" w:color="auto" w:sz="4" w:space="0"/>
                    <w:left w:val="nil"/>
                    <w:bottom w:val="single" w:color="auto" w:sz="4" w:space="0"/>
                    <w:right w:val="single" w:color="auto" w:sz="4" w:space="0"/>
                  </w:tcBorders>
                  <w:vAlign w:val="center"/>
                </w:tcPr>
                <w:p w14:paraId="35FE8B59">
                  <w:pPr>
                    <w:adjustRightInd w:val="0"/>
                    <w:snapToGrid w:val="0"/>
                    <w:jc w:val="center"/>
                    <w:rPr>
                      <w:rFonts w:eastAsiaTheme="minorEastAsia"/>
                      <w:color w:val="auto"/>
                      <w:sz w:val="22"/>
                      <w:szCs w:val="22"/>
                    </w:rPr>
                  </w:pPr>
                  <w:r>
                    <w:rPr>
                      <w:color w:val="auto"/>
                      <w:sz w:val="22"/>
                      <w:szCs w:val="22"/>
                    </w:rPr>
                    <w:t>污染物排放管控</w:t>
                  </w:r>
                </w:p>
              </w:tc>
              <w:tc>
                <w:tcPr>
                  <w:tcW w:w="2797" w:type="pct"/>
                  <w:tcBorders>
                    <w:top w:val="single" w:color="auto" w:sz="4" w:space="0"/>
                    <w:left w:val="single" w:color="auto" w:sz="4" w:space="0"/>
                    <w:bottom w:val="single" w:color="auto" w:sz="4" w:space="0"/>
                    <w:right w:val="single" w:color="auto" w:sz="4" w:space="0"/>
                  </w:tcBorders>
                  <w:vAlign w:val="center"/>
                </w:tcPr>
                <w:p w14:paraId="24A58994">
                  <w:pPr>
                    <w:adjustRightInd w:val="0"/>
                    <w:snapToGrid w:val="0"/>
                    <w:jc w:val="left"/>
                    <w:rPr>
                      <w:rFonts w:eastAsiaTheme="minorEastAsia"/>
                      <w:color w:val="auto"/>
                      <w:sz w:val="22"/>
                      <w:szCs w:val="22"/>
                    </w:rPr>
                  </w:pPr>
                  <w:r>
                    <w:rPr>
                      <w:color w:val="auto"/>
                      <w:sz w:val="22"/>
                      <w:szCs w:val="22"/>
                    </w:rPr>
                    <w:t>1.允许排放量要求：根据《淮安市“十三五”节能减排综合实施方案》（淮政发〔2017〕119号），到2020年，淮安市化学需氧量、氨氮、总氮、总磷、二氧化硫、氮氧化物、VOCS排放量不得超过5.91万吨/年、0.77万吨/年、1.50万吨/年、0.155万吨/年、3.57万吨/年、4.72万吨/年、7.92万吨/年。2.新增源排放标准限制：根据《淮安市打赢蓝天保卫战三年行动计划实施方案》（淮政发〔2018〕113号），全市范围内二氧化硫、氮氧化物、颗粒物、VOCS全面执行大气污染物特别排放限值。</w:t>
                  </w:r>
                </w:p>
              </w:tc>
              <w:tc>
                <w:tcPr>
                  <w:tcW w:w="1357" w:type="pct"/>
                  <w:tcBorders>
                    <w:top w:val="single" w:color="auto" w:sz="4" w:space="0"/>
                    <w:left w:val="single" w:color="auto" w:sz="4" w:space="0"/>
                    <w:bottom w:val="single" w:color="auto" w:sz="4" w:space="0"/>
                    <w:right w:val="single" w:color="auto" w:sz="4" w:space="0"/>
                  </w:tcBorders>
                  <w:vAlign w:val="center"/>
                </w:tcPr>
                <w:p w14:paraId="3214D504">
                  <w:pPr>
                    <w:autoSpaceDE w:val="0"/>
                    <w:autoSpaceDN w:val="0"/>
                    <w:adjustRightInd w:val="0"/>
                    <w:jc w:val="left"/>
                    <w:rPr>
                      <w:rFonts w:eastAsiaTheme="minorEastAsia"/>
                      <w:color w:val="auto"/>
                      <w:sz w:val="22"/>
                      <w:szCs w:val="22"/>
                    </w:rPr>
                  </w:pPr>
                  <w:r>
                    <w:rPr>
                      <w:rFonts w:hint="eastAsia"/>
                      <w:color w:val="auto"/>
                      <w:sz w:val="22"/>
                      <w:szCs w:val="22"/>
                      <w:lang w:eastAsia="zh-CN"/>
                    </w:rPr>
                    <w:t>扩建</w:t>
                  </w:r>
                  <w:r>
                    <w:rPr>
                      <w:color w:val="auto"/>
                      <w:sz w:val="22"/>
                      <w:szCs w:val="22"/>
                    </w:rPr>
                    <w:t>项目排放的污染物总量可在涟水县范围内平衡</w:t>
                  </w:r>
                </w:p>
              </w:tc>
              <w:tc>
                <w:tcPr>
                  <w:tcW w:w="450" w:type="pct"/>
                  <w:tcBorders>
                    <w:top w:val="single" w:color="auto" w:sz="4" w:space="0"/>
                    <w:left w:val="single" w:color="auto" w:sz="4" w:space="0"/>
                    <w:bottom w:val="single" w:color="auto" w:sz="4" w:space="0"/>
                    <w:right w:val="nil"/>
                  </w:tcBorders>
                  <w:vAlign w:val="center"/>
                </w:tcPr>
                <w:p w14:paraId="0B0D1E9D">
                  <w:pPr>
                    <w:adjustRightInd w:val="0"/>
                    <w:snapToGrid w:val="0"/>
                    <w:jc w:val="center"/>
                    <w:rPr>
                      <w:rFonts w:eastAsiaTheme="minorEastAsia"/>
                      <w:color w:val="auto"/>
                      <w:sz w:val="22"/>
                      <w:szCs w:val="22"/>
                    </w:rPr>
                  </w:pPr>
                  <w:r>
                    <w:rPr>
                      <w:rFonts w:hAnsiTheme="minorEastAsia" w:eastAsiaTheme="minorEastAsia"/>
                      <w:color w:val="auto"/>
                      <w:sz w:val="22"/>
                      <w:szCs w:val="22"/>
                    </w:rPr>
                    <w:t>相符</w:t>
                  </w:r>
                </w:p>
              </w:tc>
            </w:tr>
            <w:tr w14:paraId="1A88BE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95" w:type="pct"/>
                  <w:tcBorders>
                    <w:top w:val="single" w:color="auto" w:sz="4" w:space="0"/>
                    <w:left w:val="nil"/>
                    <w:bottom w:val="single" w:color="auto" w:sz="4" w:space="0"/>
                    <w:right w:val="single" w:color="auto" w:sz="4" w:space="0"/>
                  </w:tcBorders>
                  <w:vAlign w:val="center"/>
                </w:tcPr>
                <w:p w14:paraId="4D773F56">
                  <w:pPr>
                    <w:adjustRightInd w:val="0"/>
                    <w:snapToGrid w:val="0"/>
                    <w:jc w:val="center"/>
                    <w:rPr>
                      <w:rFonts w:eastAsiaTheme="minorEastAsia"/>
                      <w:color w:val="auto"/>
                      <w:sz w:val="22"/>
                      <w:szCs w:val="22"/>
                    </w:rPr>
                  </w:pPr>
                  <w:r>
                    <w:rPr>
                      <w:color w:val="auto"/>
                      <w:sz w:val="22"/>
                      <w:szCs w:val="22"/>
                    </w:rPr>
                    <w:t>环境风险防控</w:t>
                  </w:r>
                </w:p>
              </w:tc>
              <w:tc>
                <w:tcPr>
                  <w:tcW w:w="2797" w:type="pct"/>
                  <w:tcBorders>
                    <w:top w:val="single" w:color="auto" w:sz="4" w:space="0"/>
                    <w:left w:val="single" w:color="auto" w:sz="4" w:space="0"/>
                    <w:bottom w:val="single" w:color="auto" w:sz="4" w:space="0"/>
                    <w:right w:val="single" w:color="auto" w:sz="4" w:space="0"/>
                  </w:tcBorders>
                  <w:vAlign w:val="center"/>
                </w:tcPr>
                <w:p w14:paraId="3994B85A">
                  <w:pPr>
                    <w:adjustRightInd w:val="0"/>
                    <w:snapToGrid w:val="0"/>
                    <w:jc w:val="left"/>
                    <w:rPr>
                      <w:rFonts w:eastAsiaTheme="minorEastAsia"/>
                      <w:color w:val="auto"/>
                      <w:sz w:val="22"/>
                      <w:szCs w:val="22"/>
                    </w:rPr>
                  </w:pPr>
                  <w:r>
                    <w:rPr>
                      <w:color w:val="auto"/>
                      <w:sz w:val="22"/>
                      <w:szCs w:val="22"/>
                    </w:rPr>
                    <w:t>1.严格执行《淮安市突发环境事件应急预案》（淮政办发〔2017〕93号）、《淮安市集中式饮用水源突发污染事件应急预案》（淮政办发〔2010〕173号）、《淮安市核与辐射突发环境事件应急预案》《淮安市重污染天气应急预案》（淮政办发〔2016〕159号）等文件要求，建立区域监测预警系统，建立省市县上下联动、区域之间左右联动等联动应急响应体系，实行联防联控。2.根据《淮安市“两减六治三提升”专项行动方案》（淮发〔2017〕26号），加强县以上城市应急备用水源建设和管理，强化应急体系建设，建立饮用水源地实时监测监控系统，落实水源地日常巡查制度。3.根据《中共淮安市委淮安市人民政府关于全面加强生态环境保护坚决打好污染防治攻坚战的实施意见》（淮发〔2018〕33号），严格控制环境风险项目，整合和提升现有工业集聚区，加快城市建成区内石化、化工、水泥、钢铁重污染企业和危险化学品企业搬迁改造。深化跨部门、跨县区环境应急协调联动，建立环境应急预案电子备案系统。分区域建立环境应急物资储备库，市、县（区）两级政府建立应急物资储备库，各级工业园区和企业环境应急装备和储备物资应纳入储备体系。完善市、县、乡三级突发环境事件应急响应体系，定期组织演练，提高应急处置能力。</w:t>
                  </w:r>
                </w:p>
              </w:tc>
              <w:tc>
                <w:tcPr>
                  <w:tcW w:w="1357" w:type="pct"/>
                  <w:tcBorders>
                    <w:top w:val="single" w:color="auto" w:sz="4" w:space="0"/>
                    <w:left w:val="single" w:color="auto" w:sz="4" w:space="0"/>
                    <w:bottom w:val="single" w:color="auto" w:sz="4" w:space="0"/>
                    <w:right w:val="single" w:color="auto" w:sz="4" w:space="0"/>
                  </w:tcBorders>
                  <w:vAlign w:val="center"/>
                </w:tcPr>
                <w:p w14:paraId="3FEAD5CA">
                  <w:pPr>
                    <w:adjustRightInd w:val="0"/>
                    <w:snapToGrid w:val="0"/>
                    <w:jc w:val="left"/>
                    <w:rPr>
                      <w:rFonts w:eastAsiaTheme="minorEastAsia"/>
                      <w:color w:val="auto"/>
                      <w:sz w:val="22"/>
                      <w:szCs w:val="22"/>
                    </w:rPr>
                  </w:pPr>
                  <w:r>
                    <w:rPr>
                      <w:color w:val="auto"/>
                      <w:sz w:val="22"/>
                      <w:szCs w:val="22"/>
                    </w:rPr>
                    <w:t>项目建成后将积极主动加入区域联动系统，响应联防联控，减小环境事件的影响。</w:t>
                  </w:r>
                  <w:r>
                    <w:rPr>
                      <w:rFonts w:hint="eastAsia"/>
                      <w:color w:val="auto"/>
                      <w:sz w:val="22"/>
                      <w:szCs w:val="22"/>
                    </w:rPr>
                    <w:t>企业</w:t>
                  </w:r>
                  <w:r>
                    <w:rPr>
                      <w:color w:val="auto"/>
                      <w:sz w:val="22"/>
                      <w:szCs w:val="22"/>
                    </w:rPr>
                    <w:t>将建立完善的环境应急措施，并将应急装备和储备物资纳入储备体系，积极响应市、县、乡突发环境</w:t>
                  </w:r>
                  <w:r>
                    <w:rPr>
                      <w:rFonts w:hint="eastAsia"/>
                      <w:color w:val="auto"/>
                      <w:sz w:val="22"/>
                      <w:szCs w:val="22"/>
                    </w:rPr>
                    <w:t>事件</w:t>
                  </w:r>
                  <w:r>
                    <w:rPr>
                      <w:color w:val="auto"/>
                      <w:sz w:val="22"/>
                      <w:szCs w:val="22"/>
                    </w:rPr>
                    <w:t>应急响应体系，并积极参加定期组织的演练，从而提高应急处置能力。</w:t>
                  </w:r>
                </w:p>
              </w:tc>
              <w:tc>
                <w:tcPr>
                  <w:tcW w:w="450" w:type="pct"/>
                  <w:tcBorders>
                    <w:top w:val="single" w:color="auto" w:sz="4" w:space="0"/>
                    <w:left w:val="single" w:color="auto" w:sz="4" w:space="0"/>
                    <w:bottom w:val="single" w:color="auto" w:sz="4" w:space="0"/>
                    <w:right w:val="nil"/>
                  </w:tcBorders>
                  <w:vAlign w:val="center"/>
                </w:tcPr>
                <w:p w14:paraId="5BC2E401">
                  <w:pPr>
                    <w:adjustRightInd w:val="0"/>
                    <w:snapToGrid w:val="0"/>
                    <w:jc w:val="center"/>
                    <w:rPr>
                      <w:rFonts w:eastAsiaTheme="minorEastAsia"/>
                      <w:color w:val="auto"/>
                      <w:sz w:val="22"/>
                      <w:szCs w:val="22"/>
                    </w:rPr>
                  </w:pPr>
                  <w:r>
                    <w:rPr>
                      <w:rFonts w:hAnsiTheme="minorEastAsia" w:eastAsiaTheme="minorEastAsia"/>
                      <w:color w:val="auto"/>
                      <w:sz w:val="22"/>
                      <w:szCs w:val="22"/>
                    </w:rPr>
                    <w:t>相符</w:t>
                  </w:r>
                </w:p>
              </w:tc>
            </w:tr>
            <w:tr w14:paraId="6266DF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95" w:type="pct"/>
                  <w:tcBorders>
                    <w:top w:val="single" w:color="auto" w:sz="4" w:space="0"/>
                    <w:left w:val="nil"/>
                    <w:bottom w:val="single" w:color="auto" w:sz="12" w:space="0"/>
                    <w:right w:val="single" w:color="auto" w:sz="4" w:space="0"/>
                  </w:tcBorders>
                  <w:vAlign w:val="center"/>
                </w:tcPr>
                <w:p w14:paraId="6FDEA46B">
                  <w:pPr>
                    <w:adjustRightInd w:val="0"/>
                    <w:snapToGrid w:val="0"/>
                    <w:jc w:val="center"/>
                    <w:rPr>
                      <w:rFonts w:eastAsiaTheme="minorEastAsia"/>
                      <w:color w:val="auto"/>
                      <w:sz w:val="22"/>
                      <w:szCs w:val="22"/>
                    </w:rPr>
                  </w:pPr>
                  <w:r>
                    <w:rPr>
                      <w:color w:val="auto"/>
                      <w:sz w:val="22"/>
                      <w:szCs w:val="22"/>
                    </w:rPr>
                    <w:t>资源利用效率要求</w:t>
                  </w:r>
                </w:p>
              </w:tc>
              <w:tc>
                <w:tcPr>
                  <w:tcW w:w="2797" w:type="pct"/>
                  <w:tcBorders>
                    <w:top w:val="single" w:color="auto" w:sz="4" w:space="0"/>
                    <w:left w:val="single" w:color="auto" w:sz="4" w:space="0"/>
                    <w:bottom w:val="single" w:color="auto" w:sz="12" w:space="0"/>
                    <w:right w:val="single" w:color="auto" w:sz="4" w:space="0"/>
                  </w:tcBorders>
                  <w:vAlign w:val="center"/>
                </w:tcPr>
                <w:p w14:paraId="3DAA3253">
                  <w:pPr>
                    <w:adjustRightInd w:val="0"/>
                    <w:snapToGrid w:val="0"/>
                    <w:jc w:val="left"/>
                    <w:rPr>
                      <w:rFonts w:eastAsiaTheme="minorEastAsia"/>
                      <w:color w:val="auto"/>
                      <w:sz w:val="22"/>
                      <w:szCs w:val="22"/>
                    </w:rPr>
                  </w:pPr>
                  <w:r>
                    <w:rPr>
                      <w:color w:val="auto"/>
                      <w:sz w:val="22"/>
                      <w:szCs w:val="22"/>
                    </w:rPr>
                    <w:t>1.水资源利用总量及效率要求：根据《省最严格水资源管理考核联席会议关于下达2020年和2030年全省实行最严格水资源管理制度控制指标的通知》（苏水资联〔2016〕5号），到2020年，淮安市用水总量不得超过33.33亿立方米，万元地区生产总值用水量降至79立方米以下，万元工业增加值用水量降至10.3立方米以下，农田灌溉水有效利用系数达到0.610以上。2.地下水开采要求：根据《淮安市“两减六治三提升”专项行动方案》（淮发〔2017〕26号），到2020年，淮安市地下水超采区全面达到用水总量控制和水位红线控制要求，累计压缩地下水开采量3952.3万立方米。3.土地资源利用总量及效率要求：根据《淮安市土地利用总体规划（2006</w:t>
                  </w:r>
                  <w:r>
                    <w:rPr>
                      <w:rFonts w:hint="eastAsia"/>
                      <w:color w:val="auto"/>
                      <w:sz w:val="22"/>
                      <w:szCs w:val="22"/>
                      <w:lang w:eastAsia="zh-CN"/>
                    </w:rPr>
                    <w:t>—</w:t>
                  </w:r>
                  <w:r>
                    <w:rPr>
                      <w:color w:val="auto"/>
                      <w:sz w:val="22"/>
                      <w:szCs w:val="22"/>
                    </w:rPr>
                    <w:t>2020年）调整方案》，到2020年，淮安市耕地保有量不得低于47.6027万公顷，永久基本农田保护面积不低于39.4699万公顷，开发强度不得高于18%。4.能源利用总量及效率要求：根据《淮安市“两减六治三提升”专项行动方案》（淮发〔2017〕26号），到2020年，淮安市煤炭消费总量比2016年减少55万吨，电子行业煤炭消费占煤炭消费总量的比重提高到65%以上，非化石能源占一次能源比重达到10%。5.禁燃区要求：根据《江苏省大气污染防治条例》，禁燃区禁止新建、扩建燃用高污染燃料的项目和设施，已建成的应逐步或依法限期改用天然气、</w:t>
                  </w:r>
                  <w:r>
                    <w:rPr>
                      <w:rFonts w:hint="eastAsia"/>
                      <w:color w:val="auto"/>
                      <w:sz w:val="22"/>
                      <w:szCs w:val="22"/>
                      <w:lang w:eastAsia="zh-CN"/>
                    </w:rPr>
                    <w:t>电力</w:t>
                  </w:r>
                  <w:r>
                    <w:rPr>
                      <w:color w:val="auto"/>
                      <w:sz w:val="22"/>
                      <w:szCs w:val="22"/>
                    </w:rPr>
                    <w:t>或者其他清洁能源。6.能耗要求：根据《淮安市打赢蓝天保卫战三年行动计划实施方案》（淮政发〔2018〕113号），新建高耗能项目单位产品（产值）能耗要达到国际先进水平。</w:t>
                  </w:r>
                </w:p>
              </w:tc>
              <w:tc>
                <w:tcPr>
                  <w:tcW w:w="1357" w:type="pct"/>
                  <w:tcBorders>
                    <w:top w:val="single" w:color="auto" w:sz="4" w:space="0"/>
                    <w:left w:val="single" w:color="auto" w:sz="4" w:space="0"/>
                    <w:bottom w:val="single" w:color="auto" w:sz="12" w:space="0"/>
                    <w:right w:val="single" w:color="auto" w:sz="4" w:space="0"/>
                  </w:tcBorders>
                  <w:vAlign w:val="center"/>
                </w:tcPr>
                <w:p w14:paraId="6E0758C1">
                  <w:pPr>
                    <w:adjustRightInd w:val="0"/>
                    <w:snapToGrid w:val="0"/>
                    <w:jc w:val="left"/>
                    <w:rPr>
                      <w:rFonts w:eastAsiaTheme="minorEastAsia"/>
                      <w:color w:val="auto"/>
                      <w:sz w:val="22"/>
                      <w:szCs w:val="22"/>
                    </w:rPr>
                  </w:pPr>
                  <w:r>
                    <w:rPr>
                      <w:rFonts w:hint="eastAsia"/>
                      <w:color w:val="auto"/>
                      <w:sz w:val="22"/>
                      <w:szCs w:val="22"/>
                      <w:lang w:eastAsia="zh-CN"/>
                    </w:rPr>
                    <w:t>扩建</w:t>
                  </w:r>
                  <w:r>
                    <w:rPr>
                      <w:color w:val="auto"/>
                      <w:sz w:val="22"/>
                      <w:szCs w:val="22"/>
                    </w:rPr>
                    <w:t>项目不属于高耗水行业；项目占地为工业用地，不占用基本农田；项目不使用高污染燃料；项目不属于高耗能项目。</w:t>
                  </w:r>
                </w:p>
              </w:tc>
              <w:tc>
                <w:tcPr>
                  <w:tcW w:w="450" w:type="pct"/>
                  <w:tcBorders>
                    <w:top w:val="single" w:color="auto" w:sz="4" w:space="0"/>
                    <w:left w:val="single" w:color="auto" w:sz="4" w:space="0"/>
                    <w:bottom w:val="single" w:color="auto" w:sz="12" w:space="0"/>
                    <w:right w:val="nil"/>
                  </w:tcBorders>
                  <w:vAlign w:val="center"/>
                </w:tcPr>
                <w:p w14:paraId="50A0845C">
                  <w:pPr>
                    <w:adjustRightInd w:val="0"/>
                    <w:snapToGrid w:val="0"/>
                    <w:jc w:val="center"/>
                    <w:rPr>
                      <w:rFonts w:eastAsiaTheme="minorEastAsia"/>
                      <w:color w:val="auto"/>
                      <w:sz w:val="22"/>
                      <w:szCs w:val="22"/>
                    </w:rPr>
                  </w:pPr>
                  <w:r>
                    <w:rPr>
                      <w:rFonts w:hAnsiTheme="minorEastAsia" w:eastAsiaTheme="minorEastAsia"/>
                      <w:color w:val="auto"/>
                      <w:sz w:val="22"/>
                      <w:szCs w:val="22"/>
                    </w:rPr>
                    <w:t>相符</w:t>
                  </w:r>
                </w:p>
              </w:tc>
            </w:tr>
          </w:tbl>
          <w:p w14:paraId="4D362BE9">
            <w:pPr>
              <w:adjustRightInd w:val="0"/>
              <w:snapToGrid w:val="0"/>
              <w:spacing w:before="240" w:beforeLines="100" w:line="360" w:lineRule="auto"/>
              <w:ind w:firstLine="480" w:firstLineChars="200"/>
              <w:rPr>
                <w:rFonts w:hAnsiTheme="minorEastAsia" w:eastAsiaTheme="minorEastAsia"/>
                <w:color w:val="auto"/>
                <w:sz w:val="24"/>
              </w:rPr>
            </w:pPr>
            <w:r>
              <w:rPr>
                <w:rFonts w:hAnsiTheme="minorEastAsia" w:eastAsiaTheme="minorEastAsia"/>
                <w:color w:val="auto"/>
                <w:sz w:val="24"/>
              </w:rPr>
              <w:t>根据上表分析可知，</w:t>
            </w:r>
            <w:r>
              <w:rPr>
                <w:rFonts w:hint="eastAsia" w:hAnsiTheme="minorEastAsia" w:eastAsiaTheme="minorEastAsia"/>
                <w:color w:val="auto"/>
                <w:sz w:val="24"/>
                <w:lang w:eastAsia="zh-CN"/>
              </w:rPr>
              <w:t>扩建</w:t>
            </w:r>
            <w:r>
              <w:rPr>
                <w:rFonts w:hAnsiTheme="minorEastAsia" w:eastAsiaTheme="minorEastAsia"/>
                <w:color w:val="auto"/>
                <w:sz w:val="24"/>
              </w:rPr>
              <w:t>项目与《淮安市</w:t>
            </w:r>
            <w:r>
              <w:rPr>
                <w:rFonts w:eastAsiaTheme="minorEastAsia"/>
                <w:color w:val="auto"/>
                <w:sz w:val="24"/>
              </w:rPr>
              <w:t>“</w:t>
            </w:r>
            <w:r>
              <w:rPr>
                <w:rFonts w:hAnsiTheme="minorEastAsia" w:eastAsiaTheme="minorEastAsia"/>
                <w:color w:val="auto"/>
                <w:sz w:val="24"/>
              </w:rPr>
              <w:t>三线一单</w:t>
            </w:r>
            <w:r>
              <w:rPr>
                <w:rFonts w:eastAsiaTheme="minorEastAsia"/>
                <w:color w:val="auto"/>
                <w:sz w:val="24"/>
              </w:rPr>
              <w:t>”</w:t>
            </w:r>
            <w:r>
              <w:rPr>
                <w:rFonts w:hAnsiTheme="minorEastAsia" w:eastAsiaTheme="minorEastAsia"/>
                <w:color w:val="auto"/>
                <w:sz w:val="24"/>
              </w:rPr>
              <w:t>生态环境分区管控方案》</w:t>
            </w:r>
            <w:r>
              <w:rPr>
                <w:rFonts w:hAnsiTheme="minorEastAsia" w:eastAsiaTheme="minorEastAsia"/>
                <w:bCs/>
                <w:color w:val="auto"/>
                <w:sz w:val="24"/>
              </w:rPr>
              <w:t>（淮政发〔</w:t>
            </w:r>
            <w:r>
              <w:rPr>
                <w:rFonts w:eastAsiaTheme="minorEastAsia"/>
                <w:bCs/>
                <w:color w:val="auto"/>
                <w:sz w:val="24"/>
              </w:rPr>
              <w:t>2020</w:t>
            </w:r>
            <w:r>
              <w:rPr>
                <w:rFonts w:hAnsiTheme="minorEastAsia" w:eastAsiaTheme="minorEastAsia"/>
                <w:bCs/>
                <w:color w:val="auto"/>
                <w:sz w:val="24"/>
              </w:rPr>
              <w:t>〕</w:t>
            </w:r>
            <w:r>
              <w:rPr>
                <w:rFonts w:eastAsiaTheme="minorEastAsia"/>
                <w:bCs/>
                <w:color w:val="auto"/>
                <w:sz w:val="24"/>
              </w:rPr>
              <w:t>16</w:t>
            </w:r>
            <w:r>
              <w:rPr>
                <w:rFonts w:hAnsiTheme="minorEastAsia" w:eastAsiaTheme="minorEastAsia"/>
                <w:bCs/>
                <w:color w:val="auto"/>
                <w:sz w:val="24"/>
              </w:rPr>
              <w:t>号）</w:t>
            </w:r>
            <w:r>
              <w:rPr>
                <w:rFonts w:hint="eastAsia" w:hAnsiTheme="minorEastAsia" w:eastAsiaTheme="minorEastAsia"/>
                <w:bCs/>
                <w:color w:val="auto"/>
                <w:sz w:val="24"/>
              </w:rPr>
              <w:t>及</w:t>
            </w:r>
            <w:r>
              <w:rPr>
                <w:rFonts w:hint="eastAsia" w:hAnsiTheme="minorEastAsia" w:eastAsiaTheme="minorEastAsia"/>
                <w:color w:val="auto"/>
                <w:sz w:val="24"/>
              </w:rPr>
              <w:t>《市政府办公室关于对淮安市“三线一单”生态环境分区管控方案内容修改的通知》（淮政办函</w:t>
            </w:r>
            <w:r>
              <w:rPr>
                <w:rFonts w:hAnsiTheme="minorEastAsia" w:eastAsiaTheme="minorEastAsia"/>
                <w:color w:val="auto"/>
                <w:sz w:val="24"/>
              </w:rPr>
              <w:t>〔</w:t>
            </w:r>
            <w:r>
              <w:rPr>
                <w:rFonts w:eastAsiaTheme="minorEastAsia"/>
                <w:color w:val="auto"/>
                <w:sz w:val="24"/>
              </w:rPr>
              <w:t>2022</w:t>
            </w:r>
            <w:r>
              <w:rPr>
                <w:rFonts w:hAnsiTheme="minorEastAsia" w:eastAsiaTheme="minorEastAsia"/>
                <w:color w:val="auto"/>
                <w:sz w:val="24"/>
              </w:rPr>
              <w:t>〕</w:t>
            </w:r>
            <w:r>
              <w:rPr>
                <w:rFonts w:eastAsiaTheme="minorEastAsia"/>
                <w:color w:val="auto"/>
                <w:sz w:val="24"/>
              </w:rPr>
              <w:t>5</w:t>
            </w:r>
            <w:r>
              <w:rPr>
                <w:rFonts w:hAnsiTheme="minorEastAsia" w:eastAsiaTheme="minorEastAsia"/>
                <w:color w:val="auto"/>
                <w:sz w:val="24"/>
              </w:rPr>
              <w:t>号</w:t>
            </w:r>
            <w:r>
              <w:rPr>
                <w:rFonts w:hint="eastAsia" w:hAnsiTheme="minorEastAsia" w:eastAsiaTheme="minorEastAsia"/>
                <w:color w:val="auto"/>
                <w:sz w:val="24"/>
              </w:rPr>
              <w:t>）</w:t>
            </w:r>
            <w:r>
              <w:rPr>
                <w:rFonts w:hAnsiTheme="minorEastAsia" w:eastAsiaTheme="minorEastAsia"/>
                <w:color w:val="auto"/>
                <w:sz w:val="24"/>
              </w:rPr>
              <w:t>是相符的。</w:t>
            </w:r>
          </w:p>
          <w:p w14:paraId="1AE830F8">
            <w:pPr>
              <w:adjustRightInd w:val="0"/>
              <w:snapToGrid w:val="0"/>
              <w:spacing w:before="120" w:beforeLines="50" w:line="360" w:lineRule="auto"/>
              <w:ind w:firstLine="482" w:firstLineChars="200"/>
              <w:rPr>
                <w:rFonts w:hAnsiTheme="minorEastAsia" w:eastAsiaTheme="minorEastAsia"/>
                <w:b/>
                <w:color w:val="auto"/>
                <w:sz w:val="24"/>
              </w:rPr>
            </w:pPr>
            <w:r>
              <w:rPr>
                <w:rFonts w:hAnsiTheme="minorEastAsia" w:eastAsiaTheme="minorEastAsia"/>
                <w:b/>
                <w:color w:val="auto"/>
                <w:sz w:val="24"/>
              </w:rPr>
              <w:t>（2）</w:t>
            </w:r>
            <w:r>
              <w:rPr>
                <w:rFonts w:hint="eastAsia" w:hAnsiTheme="minorEastAsia" w:eastAsiaTheme="minorEastAsia"/>
                <w:b/>
                <w:color w:val="auto"/>
                <w:sz w:val="24"/>
              </w:rPr>
              <w:t>与</w:t>
            </w:r>
            <w:r>
              <w:rPr>
                <w:rFonts w:hAnsiTheme="minorEastAsia" w:eastAsiaTheme="minorEastAsia"/>
                <w:b/>
                <w:color w:val="auto"/>
                <w:sz w:val="24"/>
              </w:rPr>
              <w:t>环境质量底线</w:t>
            </w:r>
            <w:r>
              <w:rPr>
                <w:rFonts w:hint="eastAsia" w:hAnsiTheme="minorEastAsia" w:eastAsiaTheme="minorEastAsia"/>
                <w:b/>
                <w:color w:val="auto"/>
                <w:sz w:val="24"/>
              </w:rPr>
              <w:t>相符性</w:t>
            </w:r>
          </w:p>
          <w:p w14:paraId="497A16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eastAsia="zh-CN"/>
              </w:rPr>
            </w:pPr>
            <w:r>
              <w:rPr>
                <w:rFonts w:hAnsiTheme="minorEastAsia" w:eastAsiaTheme="minorEastAsia"/>
                <w:color w:val="auto"/>
                <w:sz w:val="24"/>
              </w:rPr>
              <w:t>①环境空气：</w:t>
            </w:r>
            <w:r>
              <w:rPr>
                <w:rFonts w:hint="default" w:ascii="Times New Roman" w:hAnsi="Times New Roman" w:eastAsia="宋体" w:cs="Times New Roman"/>
                <w:color w:val="auto"/>
                <w:kern w:val="0"/>
                <w:sz w:val="24"/>
              </w:rPr>
              <w:t>根据淮安市生态环境局202</w:t>
            </w:r>
            <w:r>
              <w:rPr>
                <w:rFonts w:hint="eastAsia" w:ascii="Times New Roman" w:hAnsi="Times New Roman" w:eastAsia="宋体" w:cs="Times New Roman"/>
                <w:color w:val="auto"/>
                <w:kern w:val="0"/>
                <w:sz w:val="24"/>
                <w:lang w:val="en-US" w:eastAsia="zh-CN"/>
              </w:rPr>
              <w:t>5</w:t>
            </w:r>
            <w:r>
              <w:rPr>
                <w:rFonts w:hint="default" w:ascii="Times New Roman" w:hAnsi="Times New Roman" w:eastAsia="宋体" w:cs="Times New Roman"/>
                <w:color w:val="auto"/>
                <w:kern w:val="0"/>
                <w:sz w:val="24"/>
              </w:rPr>
              <w:t>年6月5日发布的《202</w:t>
            </w:r>
            <w:r>
              <w:rPr>
                <w:rFonts w:hint="eastAsia" w:ascii="Times New Roman" w:hAnsi="Times New Roman" w:eastAsia="宋体" w:cs="Times New Roman"/>
                <w:color w:val="auto"/>
                <w:kern w:val="0"/>
                <w:sz w:val="24"/>
                <w:lang w:val="en-US" w:eastAsia="zh-CN"/>
              </w:rPr>
              <w:t>4</w:t>
            </w:r>
            <w:r>
              <w:rPr>
                <w:rFonts w:hint="default" w:ascii="Times New Roman" w:hAnsi="Times New Roman" w:eastAsia="宋体" w:cs="Times New Roman"/>
                <w:color w:val="auto"/>
                <w:kern w:val="0"/>
                <w:sz w:val="24"/>
              </w:rPr>
              <w:t>年淮安市生态环境状况公报》，202</w:t>
            </w:r>
            <w:r>
              <w:rPr>
                <w:rFonts w:hint="eastAsia" w:ascii="Times New Roman" w:hAnsi="Times New Roman" w:eastAsia="宋体" w:cs="Times New Roman"/>
                <w:color w:val="auto"/>
                <w:kern w:val="0"/>
                <w:sz w:val="24"/>
                <w:lang w:val="en-US" w:eastAsia="zh-CN"/>
              </w:rPr>
              <w:t>4</w:t>
            </w:r>
            <w:r>
              <w:rPr>
                <w:rFonts w:hint="default" w:ascii="Times New Roman" w:hAnsi="Times New Roman" w:eastAsia="宋体" w:cs="Times New Roman"/>
                <w:color w:val="auto"/>
                <w:kern w:val="0"/>
                <w:sz w:val="24"/>
              </w:rPr>
              <w:t>年，全市细颗粒物（PM</w:t>
            </w:r>
            <w:r>
              <w:rPr>
                <w:rFonts w:hint="default" w:ascii="Times New Roman" w:hAnsi="Times New Roman" w:eastAsia="宋体" w:cs="Times New Roman"/>
                <w:color w:val="auto"/>
                <w:kern w:val="0"/>
                <w:sz w:val="24"/>
                <w:vertAlign w:val="subscript"/>
                <w:lang w:val="en-US" w:eastAsia="zh-CN"/>
              </w:rPr>
              <w:t>2.</w:t>
            </w:r>
            <w:r>
              <w:rPr>
                <w:rFonts w:hint="default" w:ascii="Times New Roman" w:hAnsi="Times New Roman" w:eastAsia="宋体" w:cs="Times New Roman"/>
                <w:color w:val="auto"/>
                <w:kern w:val="0"/>
                <w:sz w:val="24"/>
                <w:vertAlign w:val="subscript"/>
              </w:rPr>
              <w:t>5</w:t>
            </w:r>
            <w:r>
              <w:rPr>
                <w:rFonts w:hint="default" w:ascii="Times New Roman" w:hAnsi="Times New Roman" w:eastAsia="宋体" w:cs="Times New Roman"/>
                <w:color w:val="auto"/>
                <w:kern w:val="0"/>
                <w:sz w:val="24"/>
              </w:rPr>
              <w:t>）、可吸入颗粒物（PM</w:t>
            </w:r>
            <w:r>
              <w:rPr>
                <w:rFonts w:hint="default" w:ascii="Times New Roman" w:hAnsi="Times New Roman" w:eastAsia="宋体" w:cs="Times New Roman"/>
                <w:color w:val="auto"/>
                <w:kern w:val="0"/>
                <w:sz w:val="24"/>
                <w:vertAlign w:val="subscript"/>
              </w:rPr>
              <w:t>10</w:t>
            </w:r>
            <w:r>
              <w:rPr>
                <w:rFonts w:hint="default" w:ascii="Times New Roman" w:hAnsi="Times New Roman" w:eastAsia="宋体" w:cs="Times New Roman"/>
                <w:color w:val="auto"/>
                <w:kern w:val="0"/>
                <w:sz w:val="24"/>
              </w:rPr>
              <w:t>）、二氧化硫（SO</w:t>
            </w:r>
            <w:r>
              <w:rPr>
                <w:rFonts w:hint="default" w:ascii="Times New Roman" w:hAnsi="Times New Roman" w:eastAsia="宋体" w:cs="Times New Roman"/>
                <w:color w:val="auto"/>
                <w:kern w:val="0"/>
                <w:sz w:val="24"/>
                <w:vertAlign w:val="subscript"/>
              </w:rPr>
              <w:t>2</w:t>
            </w:r>
            <w:r>
              <w:rPr>
                <w:rFonts w:hint="default" w:ascii="Times New Roman" w:hAnsi="Times New Roman" w:eastAsia="宋体" w:cs="Times New Roman"/>
                <w:color w:val="auto"/>
                <w:kern w:val="0"/>
                <w:sz w:val="24"/>
              </w:rPr>
              <w:t>）、二氧化氮（NO</w:t>
            </w:r>
            <w:r>
              <w:rPr>
                <w:rFonts w:hint="default" w:ascii="Times New Roman" w:hAnsi="Times New Roman" w:eastAsia="宋体" w:cs="Times New Roman"/>
                <w:color w:val="auto"/>
                <w:kern w:val="0"/>
                <w:sz w:val="24"/>
                <w:vertAlign w:val="subscript"/>
              </w:rPr>
              <w:t>2</w:t>
            </w:r>
            <w:r>
              <w:rPr>
                <w:rFonts w:hint="default" w:ascii="Times New Roman" w:hAnsi="Times New Roman" w:eastAsia="宋体" w:cs="Times New Roman"/>
                <w:color w:val="auto"/>
                <w:kern w:val="0"/>
                <w:sz w:val="24"/>
              </w:rPr>
              <w:t>）、一氧化碳（CO）和臭氧（O</w:t>
            </w:r>
            <w:r>
              <w:rPr>
                <w:rFonts w:hint="default" w:ascii="Times New Roman" w:hAnsi="Times New Roman" w:eastAsia="宋体" w:cs="Times New Roman"/>
                <w:color w:val="auto"/>
                <w:kern w:val="0"/>
                <w:sz w:val="24"/>
                <w:vertAlign w:val="subscript"/>
              </w:rPr>
              <w:t>3</w:t>
            </w:r>
            <w:r>
              <w:rPr>
                <w:rFonts w:hint="default" w:ascii="Times New Roman" w:hAnsi="Times New Roman" w:eastAsia="宋体" w:cs="Times New Roman"/>
                <w:color w:val="auto"/>
                <w:kern w:val="0"/>
                <w:sz w:val="24"/>
              </w:rPr>
              <w:t>）浓度年均浓度分别为3</w:t>
            </w:r>
            <w:r>
              <w:rPr>
                <w:rFonts w:hint="eastAsia" w:ascii="Times New Roman" w:hAnsi="Times New Roman" w:eastAsia="宋体" w:cs="Times New Roman"/>
                <w:color w:val="auto"/>
                <w:kern w:val="0"/>
                <w:sz w:val="24"/>
                <w:lang w:val="en-US" w:eastAsia="zh-CN"/>
              </w:rPr>
              <w:t>7</w:t>
            </w:r>
            <w:r>
              <w:rPr>
                <w:rFonts w:hint="default" w:ascii="Times New Roman" w:hAnsi="Times New Roman" w:eastAsia="宋体" w:cs="Times New Roman"/>
                <w:color w:val="auto"/>
                <w:kern w:val="0"/>
                <w:sz w:val="24"/>
              </w:rPr>
              <w:t>微克/立方米、5</w:t>
            </w:r>
            <w:r>
              <w:rPr>
                <w:rFonts w:hint="eastAsia" w:ascii="Times New Roman" w:hAnsi="Times New Roman" w:eastAsia="宋体" w:cs="Times New Roman"/>
                <w:color w:val="auto"/>
                <w:kern w:val="0"/>
                <w:sz w:val="24"/>
                <w:lang w:val="en-US" w:eastAsia="zh-CN"/>
              </w:rPr>
              <w:t>4</w:t>
            </w:r>
            <w:r>
              <w:rPr>
                <w:rFonts w:hint="default" w:ascii="Times New Roman" w:hAnsi="Times New Roman" w:eastAsia="宋体" w:cs="Times New Roman"/>
                <w:color w:val="auto"/>
                <w:kern w:val="0"/>
                <w:sz w:val="24"/>
              </w:rPr>
              <w:t>微克/立方米、</w:t>
            </w:r>
            <w:r>
              <w:rPr>
                <w:rFonts w:hint="eastAsia" w:ascii="Times New Roman" w:hAnsi="Times New Roman" w:eastAsia="宋体" w:cs="Times New Roman"/>
                <w:color w:val="auto"/>
                <w:kern w:val="0"/>
                <w:sz w:val="24"/>
                <w:lang w:val="en-US" w:eastAsia="zh-CN"/>
              </w:rPr>
              <w:t>7</w:t>
            </w:r>
            <w:r>
              <w:rPr>
                <w:rFonts w:hint="default" w:ascii="Times New Roman" w:hAnsi="Times New Roman" w:eastAsia="宋体" w:cs="Times New Roman"/>
                <w:color w:val="auto"/>
                <w:kern w:val="0"/>
                <w:sz w:val="24"/>
              </w:rPr>
              <w:t>微克/立方米、25微克/立方米、</w:t>
            </w:r>
            <w:r>
              <w:rPr>
                <w:rFonts w:hint="eastAsia" w:ascii="Times New Roman" w:hAnsi="Times New Roman" w:eastAsia="宋体" w:cs="Times New Roman"/>
                <w:color w:val="auto"/>
                <w:kern w:val="0"/>
                <w:sz w:val="24"/>
                <w:lang w:val="en-US" w:eastAsia="zh-CN"/>
              </w:rPr>
              <w:t>0.9</w:t>
            </w:r>
            <w:r>
              <w:rPr>
                <w:rFonts w:hint="default" w:ascii="Times New Roman" w:hAnsi="Times New Roman" w:eastAsia="宋体" w:cs="Times New Roman"/>
                <w:color w:val="auto"/>
                <w:kern w:val="0"/>
                <w:sz w:val="24"/>
              </w:rPr>
              <w:t>毫克立方米、15</w:t>
            </w:r>
            <w:r>
              <w:rPr>
                <w:rFonts w:hint="eastAsia" w:ascii="Times New Roman" w:hAnsi="Times New Roman" w:eastAsia="宋体" w:cs="Times New Roman"/>
                <w:color w:val="auto"/>
                <w:kern w:val="0"/>
                <w:sz w:val="24"/>
                <w:lang w:val="en-US" w:eastAsia="zh-CN"/>
              </w:rPr>
              <w:t>2</w:t>
            </w:r>
            <w:r>
              <w:rPr>
                <w:rFonts w:hint="default" w:ascii="Times New Roman" w:hAnsi="Times New Roman" w:eastAsia="宋体" w:cs="Times New Roman"/>
                <w:color w:val="auto"/>
                <w:kern w:val="0"/>
                <w:sz w:val="24"/>
              </w:rPr>
              <w:t>微克/立方米。与202</w:t>
            </w:r>
            <w:r>
              <w:rPr>
                <w:rFonts w:hint="eastAsia" w:ascii="Times New Roman" w:hAnsi="Times New Roman" w:eastAsia="宋体" w:cs="Times New Roman"/>
                <w:color w:val="auto"/>
                <w:kern w:val="0"/>
                <w:sz w:val="24"/>
                <w:lang w:val="en-US" w:eastAsia="zh-CN"/>
              </w:rPr>
              <w:t>3</w:t>
            </w:r>
            <w:r>
              <w:rPr>
                <w:rFonts w:hint="default" w:ascii="Times New Roman" w:hAnsi="Times New Roman" w:eastAsia="宋体" w:cs="Times New Roman"/>
                <w:color w:val="auto"/>
                <w:kern w:val="0"/>
                <w:sz w:val="24"/>
              </w:rPr>
              <w:t>年相比，PM</w:t>
            </w:r>
            <w:r>
              <w:rPr>
                <w:rFonts w:hint="default" w:ascii="Times New Roman" w:hAnsi="Times New Roman" w:eastAsia="宋体" w:cs="Times New Roman"/>
                <w:color w:val="auto"/>
                <w:kern w:val="0"/>
                <w:sz w:val="24"/>
                <w:vertAlign w:val="subscript"/>
              </w:rPr>
              <w:t>10</w:t>
            </w:r>
            <w:r>
              <w:rPr>
                <w:rFonts w:hint="eastAsia"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SO</w:t>
            </w:r>
            <w:r>
              <w:rPr>
                <w:rFonts w:hint="default" w:ascii="Times New Roman" w:hAnsi="Times New Roman" w:eastAsia="宋体" w:cs="Times New Roman"/>
                <w:color w:val="auto"/>
                <w:kern w:val="0"/>
                <w:sz w:val="24"/>
                <w:vertAlign w:val="subscript"/>
              </w:rPr>
              <w:t>2</w:t>
            </w:r>
            <w:r>
              <w:rPr>
                <w:rFonts w:hint="eastAsia"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CO</w:t>
            </w:r>
            <w:r>
              <w:rPr>
                <w:rFonts w:hint="eastAsia"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O</w:t>
            </w:r>
            <w:r>
              <w:rPr>
                <w:rFonts w:hint="default" w:ascii="Times New Roman" w:hAnsi="Times New Roman" w:eastAsia="宋体" w:cs="Times New Roman"/>
                <w:color w:val="auto"/>
                <w:kern w:val="0"/>
                <w:sz w:val="24"/>
                <w:vertAlign w:val="subscript"/>
              </w:rPr>
              <w:t>3</w:t>
            </w:r>
            <w:r>
              <w:rPr>
                <w:rFonts w:hint="default" w:ascii="Times New Roman" w:hAnsi="Times New Roman" w:eastAsia="宋体" w:cs="Times New Roman"/>
                <w:color w:val="auto"/>
                <w:kern w:val="0"/>
                <w:sz w:val="24"/>
              </w:rPr>
              <w:t>污染</w:t>
            </w:r>
            <w:r>
              <w:rPr>
                <w:rFonts w:hint="eastAsia" w:ascii="Times New Roman" w:hAnsi="Times New Roman" w:eastAsia="宋体" w:cs="Times New Roman"/>
                <w:color w:val="auto"/>
                <w:kern w:val="0"/>
                <w:sz w:val="24"/>
                <w:lang w:val="en-US" w:eastAsia="zh-CN"/>
              </w:rPr>
              <w:t>均</w:t>
            </w:r>
            <w:r>
              <w:rPr>
                <w:rFonts w:hint="default" w:ascii="Times New Roman" w:hAnsi="Times New Roman" w:eastAsia="宋体" w:cs="Times New Roman"/>
                <w:color w:val="auto"/>
                <w:kern w:val="0"/>
                <w:sz w:val="24"/>
              </w:rPr>
              <w:t>有所改善，</w:t>
            </w:r>
            <w:r>
              <w:rPr>
                <w:rFonts w:hint="eastAsia" w:ascii="Times New Roman" w:hAnsi="Times New Roman" w:eastAsia="宋体" w:cs="Times New Roman"/>
                <w:color w:val="auto"/>
                <w:kern w:val="0"/>
                <w:sz w:val="24"/>
                <w:lang w:val="en-US" w:eastAsia="zh-CN"/>
              </w:rPr>
              <w:t>降幅分别为6.9%、12.5%、10%、3.8%</w:t>
            </w:r>
            <w:r>
              <w:rPr>
                <w:rFonts w:hint="eastAsia"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PM</w:t>
            </w:r>
            <w:r>
              <w:rPr>
                <w:rFonts w:hint="default" w:ascii="Times New Roman" w:hAnsi="Times New Roman" w:eastAsia="宋体" w:cs="Times New Roman"/>
                <w:color w:val="auto"/>
                <w:kern w:val="0"/>
                <w:sz w:val="24"/>
                <w:vertAlign w:val="subscript"/>
                <w:lang w:val="en-US" w:eastAsia="zh-CN"/>
              </w:rPr>
              <w:t>2.</w:t>
            </w:r>
            <w:r>
              <w:rPr>
                <w:rFonts w:hint="default" w:ascii="Times New Roman" w:hAnsi="Times New Roman" w:eastAsia="宋体" w:cs="Times New Roman"/>
                <w:color w:val="auto"/>
                <w:kern w:val="0"/>
                <w:sz w:val="24"/>
                <w:vertAlign w:val="subscript"/>
              </w:rPr>
              <w:t>5</w:t>
            </w:r>
            <w:r>
              <w:rPr>
                <w:rFonts w:hint="eastAsia" w:ascii="Times New Roman" w:hAnsi="Times New Roman" w:eastAsia="宋体" w:cs="Times New Roman"/>
                <w:color w:val="auto"/>
                <w:kern w:val="0"/>
                <w:sz w:val="24"/>
                <w:lang w:val="en-US" w:eastAsia="zh-CN"/>
              </w:rPr>
              <w:t>、</w:t>
            </w:r>
            <w:r>
              <w:rPr>
                <w:rFonts w:hint="default" w:ascii="Times New Roman" w:hAnsi="Times New Roman" w:eastAsia="宋体" w:cs="Times New Roman"/>
                <w:color w:val="auto"/>
                <w:kern w:val="0"/>
                <w:sz w:val="24"/>
              </w:rPr>
              <w:t>O</w:t>
            </w:r>
            <w:r>
              <w:rPr>
                <w:rFonts w:hint="default" w:ascii="Times New Roman" w:hAnsi="Times New Roman" w:eastAsia="宋体" w:cs="Times New Roman"/>
                <w:color w:val="auto"/>
                <w:kern w:val="0"/>
                <w:sz w:val="24"/>
                <w:vertAlign w:val="subscript"/>
              </w:rPr>
              <w:t>3</w:t>
            </w:r>
            <w:r>
              <w:rPr>
                <w:rFonts w:hint="eastAsia" w:ascii="Times New Roman" w:hAnsi="Times New Roman" w:eastAsia="宋体" w:cs="Times New Roman"/>
                <w:color w:val="auto"/>
                <w:kern w:val="0"/>
                <w:sz w:val="24"/>
                <w:lang w:val="en-US" w:eastAsia="zh-CN"/>
              </w:rPr>
              <w:t>、</w:t>
            </w:r>
            <w:r>
              <w:rPr>
                <w:rFonts w:hint="default" w:ascii="Times New Roman" w:hAnsi="Times New Roman" w:eastAsia="宋体" w:cs="Times New Roman"/>
                <w:color w:val="auto"/>
                <w:kern w:val="0"/>
                <w:sz w:val="24"/>
              </w:rPr>
              <w:t>PM</w:t>
            </w:r>
            <w:r>
              <w:rPr>
                <w:rFonts w:hint="default" w:ascii="Times New Roman" w:hAnsi="Times New Roman" w:eastAsia="宋体" w:cs="Times New Roman"/>
                <w:color w:val="auto"/>
                <w:kern w:val="0"/>
                <w:sz w:val="24"/>
                <w:vertAlign w:val="subscript"/>
              </w:rPr>
              <w:t>10</w:t>
            </w:r>
            <w:r>
              <w:rPr>
                <w:rFonts w:hint="default" w:ascii="Times New Roman" w:hAnsi="Times New Roman" w:eastAsia="宋体" w:cs="Times New Roman"/>
                <w:color w:val="auto"/>
                <w:kern w:val="0"/>
                <w:sz w:val="24"/>
              </w:rPr>
              <w:t>为首要污染物的超标天</w:t>
            </w:r>
            <w:r>
              <w:rPr>
                <w:rFonts w:hint="eastAsia" w:ascii="Times New Roman" w:hAnsi="Times New Roman" w:eastAsia="宋体" w:cs="Times New Roman"/>
                <w:color w:val="auto"/>
                <w:kern w:val="0"/>
                <w:sz w:val="24"/>
                <w:lang w:val="en-US" w:eastAsia="zh-CN"/>
              </w:rPr>
              <w:t>分别</w:t>
            </w:r>
            <w:r>
              <w:rPr>
                <w:rFonts w:hint="default" w:ascii="Times New Roman" w:hAnsi="Times New Roman" w:eastAsia="宋体" w:cs="Times New Roman"/>
                <w:color w:val="auto"/>
                <w:kern w:val="0"/>
                <w:sz w:val="24"/>
              </w:rPr>
              <w:t>减少3天</w:t>
            </w:r>
            <w:r>
              <w:rPr>
                <w:rFonts w:hint="eastAsia" w:ascii="Times New Roman" w:hAnsi="Times New Roman" w:eastAsia="宋体" w:cs="Times New Roman"/>
                <w:color w:val="auto"/>
                <w:kern w:val="0"/>
                <w:sz w:val="24"/>
                <w:lang w:eastAsia="zh-CN"/>
              </w:rPr>
              <w:t>、</w:t>
            </w:r>
            <w:r>
              <w:rPr>
                <w:rFonts w:hint="eastAsia" w:ascii="Times New Roman" w:hAnsi="Times New Roman" w:eastAsia="宋体" w:cs="Times New Roman"/>
                <w:color w:val="auto"/>
                <w:kern w:val="0"/>
                <w:sz w:val="24"/>
                <w:lang w:val="en-US" w:eastAsia="zh-CN"/>
              </w:rPr>
              <w:t>7天、7天，</w:t>
            </w:r>
            <w:r>
              <w:rPr>
                <w:rFonts w:hint="default" w:ascii="Times New Roman" w:hAnsi="Times New Roman" w:eastAsia="宋体" w:cs="Times New Roman"/>
                <w:color w:val="auto"/>
                <w:kern w:val="0"/>
                <w:sz w:val="24"/>
              </w:rPr>
              <w:t>PM</w:t>
            </w:r>
            <w:r>
              <w:rPr>
                <w:rFonts w:hint="default" w:ascii="Times New Roman" w:hAnsi="Times New Roman" w:eastAsia="宋体" w:cs="Times New Roman"/>
                <w:color w:val="auto"/>
                <w:kern w:val="0"/>
                <w:sz w:val="24"/>
                <w:vertAlign w:val="subscript"/>
              </w:rPr>
              <w:t>10</w:t>
            </w:r>
            <w:r>
              <w:rPr>
                <w:rFonts w:hint="default" w:ascii="Times New Roman" w:hAnsi="Times New Roman" w:eastAsia="宋体" w:cs="Times New Roman"/>
                <w:color w:val="auto"/>
                <w:kern w:val="0"/>
                <w:sz w:val="24"/>
              </w:rPr>
              <w:t>作为首要污染物的超标天数及占比明显减少</w:t>
            </w:r>
            <w:r>
              <w:rPr>
                <w:rFonts w:hint="default" w:ascii="Times New Roman" w:hAnsi="Times New Roman" w:eastAsia="宋体" w:cs="Times New Roman"/>
                <w:color w:val="auto"/>
                <w:kern w:val="0"/>
                <w:sz w:val="24"/>
                <w:highlight w:val="none"/>
              </w:rPr>
              <w:t>。可吸入颗粒物（PM</w:t>
            </w:r>
            <w:r>
              <w:rPr>
                <w:rFonts w:hint="default" w:ascii="Times New Roman" w:hAnsi="Times New Roman" w:eastAsia="宋体" w:cs="Times New Roman"/>
                <w:color w:val="auto"/>
                <w:kern w:val="0"/>
                <w:sz w:val="24"/>
                <w:highlight w:val="none"/>
                <w:vertAlign w:val="subscript"/>
              </w:rPr>
              <w:t>10</w:t>
            </w:r>
            <w:r>
              <w:rPr>
                <w:rFonts w:hint="default" w:ascii="Times New Roman" w:hAnsi="Times New Roman" w:eastAsia="宋体" w:cs="Times New Roman"/>
                <w:color w:val="auto"/>
                <w:kern w:val="0"/>
                <w:sz w:val="24"/>
                <w:highlight w:val="none"/>
              </w:rPr>
              <w:t>）、二氧化硫（SO</w:t>
            </w:r>
            <w:r>
              <w:rPr>
                <w:rFonts w:hint="default" w:ascii="Times New Roman" w:hAnsi="Times New Roman" w:eastAsia="宋体" w:cs="Times New Roman"/>
                <w:color w:val="auto"/>
                <w:kern w:val="0"/>
                <w:sz w:val="24"/>
                <w:highlight w:val="none"/>
                <w:vertAlign w:val="subscript"/>
              </w:rPr>
              <w:t>2</w:t>
            </w:r>
            <w:r>
              <w:rPr>
                <w:rFonts w:hint="default" w:ascii="Times New Roman" w:hAnsi="Times New Roman" w:eastAsia="宋体" w:cs="Times New Roman"/>
                <w:color w:val="auto"/>
                <w:kern w:val="0"/>
                <w:sz w:val="24"/>
                <w:highlight w:val="none"/>
              </w:rPr>
              <w:t>）、二氧化氮（NO</w:t>
            </w:r>
            <w:r>
              <w:rPr>
                <w:rFonts w:hint="default" w:ascii="Times New Roman" w:hAnsi="Times New Roman" w:eastAsia="宋体" w:cs="Times New Roman"/>
                <w:color w:val="auto"/>
                <w:kern w:val="0"/>
                <w:sz w:val="24"/>
                <w:highlight w:val="none"/>
                <w:vertAlign w:val="subscript"/>
              </w:rPr>
              <w:t>2</w:t>
            </w:r>
            <w:r>
              <w:rPr>
                <w:rFonts w:hint="default" w:ascii="Times New Roman" w:hAnsi="Times New Roman" w:eastAsia="宋体" w:cs="Times New Roman"/>
                <w:color w:val="auto"/>
                <w:kern w:val="0"/>
                <w:sz w:val="24"/>
                <w:highlight w:val="none"/>
              </w:rPr>
              <w:t>）、一氧化碳（CO）和臭氧（O</w:t>
            </w:r>
            <w:r>
              <w:rPr>
                <w:rFonts w:hint="default" w:ascii="Times New Roman" w:hAnsi="Times New Roman" w:eastAsia="宋体" w:cs="Times New Roman"/>
                <w:color w:val="auto"/>
                <w:kern w:val="0"/>
                <w:sz w:val="24"/>
                <w:highlight w:val="none"/>
                <w:vertAlign w:val="subscript"/>
              </w:rPr>
              <w:t>3</w:t>
            </w:r>
            <w:r>
              <w:rPr>
                <w:rFonts w:hint="default" w:ascii="Times New Roman" w:hAnsi="Times New Roman" w:eastAsia="宋体" w:cs="Times New Roman"/>
                <w:color w:val="auto"/>
                <w:kern w:val="0"/>
                <w:sz w:val="24"/>
                <w:highlight w:val="none"/>
              </w:rPr>
              <w:t>）污染物浓度达到国家二级标准</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PM</w:t>
            </w:r>
            <w:r>
              <w:rPr>
                <w:rFonts w:hint="default" w:ascii="Times New Roman" w:hAnsi="Times New Roman" w:eastAsia="宋体" w:cs="Times New Roman"/>
                <w:color w:val="auto"/>
                <w:kern w:val="0"/>
                <w:sz w:val="24"/>
                <w:highlight w:val="none"/>
                <w:vertAlign w:val="subscript"/>
              </w:rPr>
              <w:t>2.5</w:t>
            </w:r>
            <w:r>
              <w:rPr>
                <w:rFonts w:hint="default" w:ascii="Times New Roman" w:hAnsi="Times New Roman" w:eastAsia="宋体" w:cs="Times New Roman"/>
                <w:color w:val="auto"/>
                <w:kern w:val="0"/>
                <w:sz w:val="24"/>
                <w:highlight w:val="none"/>
              </w:rPr>
              <w:t>浓度</w:t>
            </w:r>
            <w:r>
              <w:rPr>
                <w:rFonts w:hint="default" w:ascii="Times New Roman" w:hAnsi="Times New Roman" w:eastAsia="宋体" w:cs="Times New Roman"/>
                <w:color w:val="auto"/>
                <w:kern w:val="0"/>
                <w:sz w:val="24"/>
                <w:highlight w:val="none"/>
                <w:lang w:val="en-US" w:eastAsia="zh-CN"/>
              </w:rPr>
              <w:t>为</w:t>
            </w:r>
            <w:r>
              <w:rPr>
                <w:rFonts w:hint="default" w:ascii="Times New Roman" w:hAnsi="Times New Roman" w:eastAsia="宋体" w:cs="Times New Roman"/>
                <w:color w:val="auto"/>
                <w:kern w:val="0"/>
                <w:sz w:val="24"/>
                <w:highlight w:val="none"/>
              </w:rPr>
              <w:t>3</w:t>
            </w:r>
            <w:r>
              <w:rPr>
                <w:rFonts w:hint="eastAsia" w:ascii="Times New Roman" w:hAnsi="Times New Roman" w:eastAsia="宋体" w:cs="Times New Roman"/>
                <w:color w:val="auto"/>
                <w:kern w:val="0"/>
                <w:sz w:val="24"/>
                <w:highlight w:val="none"/>
                <w:lang w:val="en-US" w:eastAsia="zh-CN"/>
              </w:rPr>
              <w:t>7</w:t>
            </w:r>
            <w:r>
              <w:rPr>
                <w:rFonts w:hint="default" w:ascii="Times New Roman" w:hAnsi="Times New Roman" w:eastAsia="宋体" w:cs="Times New Roman"/>
                <w:color w:val="auto"/>
                <w:kern w:val="0"/>
                <w:sz w:val="24"/>
                <w:highlight w:val="none"/>
              </w:rPr>
              <w:t>微克/立方米，未达到国家二级标准，</w:t>
            </w:r>
            <w:r>
              <w:rPr>
                <w:rFonts w:hint="default" w:ascii="Times New Roman" w:hAnsi="Times New Roman" w:eastAsia="宋体" w:cs="Times New Roman"/>
                <w:color w:val="auto"/>
                <w:kern w:val="0"/>
                <w:sz w:val="24"/>
                <w:highlight w:val="none"/>
                <w:lang w:val="en-US" w:eastAsia="zh-CN"/>
              </w:rPr>
              <w:t>不达标因子为</w:t>
            </w:r>
            <w:r>
              <w:rPr>
                <w:rFonts w:hint="default" w:ascii="Times New Roman" w:hAnsi="Times New Roman" w:eastAsia="宋体" w:cs="Times New Roman"/>
                <w:color w:val="auto"/>
                <w:kern w:val="0"/>
                <w:sz w:val="24"/>
                <w:highlight w:val="none"/>
              </w:rPr>
              <w:t>PM</w:t>
            </w:r>
            <w:r>
              <w:rPr>
                <w:rFonts w:hint="default" w:ascii="Times New Roman" w:hAnsi="Times New Roman" w:eastAsia="宋体" w:cs="Times New Roman"/>
                <w:color w:val="auto"/>
                <w:kern w:val="0"/>
                <w:sz w:val="24"/>
                <w:highlight w:val="none"/>
                <w:vertAlign w:val="subscript"/>
              </w:rPr>
              <w:t>2.5</w:t>
            </w:r>
            <w:r>
              <w:rPr>
                <w:rFonts w:hint="default" w:ascii="Times New Roman" w:hAnsi="Times New Roman" w:eastAsia="宋体"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rPr>
              <w:t>故建设项目所在地为不达标区</w:t>
            </w:r>
            <w:r>
              <w:rPr>
                <w:rFonts w:hint="default" w:ascii="Times New Roman" w:hAnsi="Times New Roman" w:eastAsia="宋体" w:cs="Times New Roman"/>
                <w:color w:val="auto"/>
                <w:kern w:val="0"/>
                <w:sz w:val="24"/>
                <w:szCs w:val="24"/>
                <w:highlight w:val="none"/>
                <w:lang w:eastAsia="zh-CN"/>
              </w:rPr>
              <w:t>。</w:t>
            </w:r>
          </w:p>
          <w:p w14:paraId="3D57876A">
            <w:pPr>
              <w:adjustRightInd w:val="0"/>
              <w:snapToGrid w:val="0"/>
              <w:spacing w:before="120" w:beforeLines="50" w:line="360" w:lineRule="auto"/>
              <w:ind w:firstLine="480" w:firstLineChars="200"/>
              <w:rPr>
                <w:rFonts w:hint="default" w:ascii="Times New Roman" w:cs="Times New Roman" w:hAnsiTheme="minorEastAsia" w:eastAsiaTheme="minorEastAsia"/>
                <w:color w:val="auto"/>
                <w:sz w:val="24"/>
              </w:rPr>
            </w:pPr>
            <w:r>
              <w:rPr>
                <w:rFonts w:hint="default" w:ascii="Times New Roman" w:cs="Times New Roman" w:hAnsiTheme="minorEastAsia" w:eastAsiaTheme="minorEastAsia"/>
                <w:color w:val="auto"/>
                <w:sz w:val="24"/>
              </w:rPr>
              <w:t>随着《关于印发&lt;淮安市2024年大气污染防治工作计划&gt;&lt;淮安市2024年水生态环境保护工作计划&gt;的通知》（淮污防攻坚指办</w:t>
            </w:r>
            <w:r>
              <w:rPr>
                <w:rFonts w:hint="eastAsia" w:cs="Times New Roman" w:hAnsiTheme="minorEastAsia" w:eastAsiaTheme="minorEastAsia"/>
                <w:color w:val="auto"/>
                <w:sz w:val="24"/>
                <w:lang w:eastAsia="zh-CN"/>
              </w:rPr>
              <w:t>〔2024〕50号</w:t>
            </w:r>
            <w:r>
              <w:rPr>
                <w:rFonts w:hint="default" w:ascii="Times New Roman" w:cs="Times New Roman" w:hAnsiTheme="minorEastAsia" w:eastAsiaTheme="minorEastAsia"/>
                <w:color w:val="auto"/>
                <w:sz w:val="24"/>
              </w:rPr>
              <w:t>）等防治计划的落实，淮安市持续开展空气质量改善行动以及“开展三源整治、留住蓝天白云”扬尘管控集中整治行动，深入推进“48小时+12天”大气环境质量改善专项攻坚，预期淮安市环境空气质量状况会进一步改善。</w:t>
            </w:r>
          </w:p>
          <w:p w14:paraId="4FA5124A">
            <w:pPr>
              <w:adjustRightInd w:val="0"/>
              <w:snapToGrid w:val="0"/>
              <w:spacing w:before="120" w:beforeLines="50" w:line="360" w:lineRule="auto"/>
              <w:ind w:firstLine="480" w:firstLineChars="200"/>
              <w:rPr>
                <w:rFonts w:hint="default" w:ascii="Times New Roman" w:cs="Times New Roman" w:hAnsiTheme="minorEastAsia" w:eastAsiaTheme="minorEastAsia"/>
                <w:color w:val="auto"/>
                <w:sz w:val="24"/>
              </w:rPr>
            </w:pPr>
            <w:r>
              <w:rPr>
                <w:rFonts w:hint="eastAsia" w:ascii="Times New Roman" w:cs="Times New Roman" w:hAnsiTheme="minorEastAsia" w:eastAsiaTheme="minorEastAsia"/>
                <w:color w:val="auto"/>
                <w:sz w:val="24"/>
              </w:rPr>
              <w:t>②地表水环境：</w:t>
            </w:r>
            <w:r>
              <w:rPr>
                <w:rFonts w:hint="default" w:ascii="Times New Roman" w:cs="Times New Roman" w:hAnsiTheme="minorEastAsia" w:eastAsiaTheme="minorEastAsia"/>
                <w:color w:val="auto"/>
                <w:sz w:val="24"/>
              </w:rPr>
              <w:t>根据《202</w:t>
            </w:r>
            <w:r>
              <w:rPr>
                <w:rFonts w:hint="eastAsia" w:ascii="Times New Roman" w:cs="Times New Roman" w:hAnsiTheme="minorEastAsia" w:eastAsiaTheme="minorEastAsia"/>
                <w:color w:val="auto"/>
                <w:sz w:val="24"/>
                <w:lang w:val="en-US" w:eastAsia="zh-CN"/>
              </w:rPr>
              <w:t>4</w:t>
            </w:r>
            <w:r>
              <w:rPr>
                <w:rFonts w:hint="default" w:ascii="Times New Roman" w:cs="Times New Roman" w:hAnsiTheme="minorEastAsia" w:eastAsiaTheme="minorEastAsia"/>
                <w:color w:val="auto"/>
                <w:sz w:val="24"/>
              </w:rPr>
              <w:t>年淮安市生态环境状况公报》“纳入“十四五”国家地表水环境质量考核的11个国考断面中，年均水质达到或好于Ⅲ类标准的断面9个（Ⅱ类断面4个），优Ⅲ比例81.8%，达标率100%，无V类和劣V类断面。纳入江苏省“十四五”水环境质量目标考核的57个断面中水质达到或好于</w:t>
            </w:r>
            <w:r>
              <w:rPr>
                <w:rFonts w:hint="eastAsia" w:cs="Times New Roman" w:hAnsiTheme="minorEastAsia" w:eastAsiaTheme="minorEastAsia"/>
                <w:color w:val="auto"/>
                <w:sz w:val="24"/>
                <w:lang w:eastAsia="zh-CN"/>
              </w:rPr>
              <w:t>Ⅲ类</w:t>
            </w:r>
            <w:r>
              <w:rPr>
                <w:rFonts w:hint="default" w:ascii="Times New Roman" w:cs="Times New Roman" w:hAnsiTheme="minorEastAsia" w:eastAsiaTheme="minorEastAsia"/>
                <w:color w:val="auto"/>
                <w:sz w:val="24"/>
              </w:rPr>
              <w:t>标准的断面有53个，优Ⅲ比例93%，达标率100%，无V类和劣V类断面”。则</w:t>
            </w:r>
            <w:r>
              <w:rPr>
                <w:rFonts w:hint="eastAsia" w:ascii="Times New Roman" w:cs="Times New Roman" w:hAnsiTheme="minorEastAsia" w:eastAsiaTheme="minorEastAsia"/>
                <w:color w:val="auto"/>
                <w:sz w:val="24"/>
                <w:lang w:eastAsia="zh-CN"/>
              </w:rPr>
              <w:t>盐河</w:t>
            </w:r>
            <w:r>
              <w:rPr>
                <w:rFonts w:hint="default" w:ascii="Times New Roman" w:cs="Times New Roman" w:hAnsiTheme="minorEastAsia" w:eastAsiaTheme="minorEastAsia"/>
                <w:color w:val="auto"/>
                <w:sz w:val="24"/>
              </w:rPr>
              <w:t>水质能够满足《地表水环境质量标准》（GB3838-2002）Ⅲ类水质标准，水质状况良好。</w:t>
            </w:r>
          </w:p>
          <w:p w14:paraId="1BD902B7">
            <w:pPr>
              <w:adjustRightInd w:val="0"/>
              <w:snapToGrid w:val="0"/>
              <w:spacing w:before="120" w:beforeLines="50" w:line="360" w:lineRule="auto"/>
              <w:ind w:firstLine="480" w:firstLineChars="200"/>
              <w:rPr>
                <w:rFonts w:hAnsiTheme="minorEastAsia" w:eastAsiaTheme="minorEastAsia"/>
                <w:color w:val="auto"/>
                <w:sz w:val="24"/>
              </w:rPr>
            </w:pPr>
            <w:r>
              <w:rPr>
                <w:rFonts w:hint="eastAsia" w:hAnsiTheme="minorEastAsia" w:eastAsiaTheme="minorEastAsia"/>
                <w:color w:val="auto"/>
                <w:sz w:val="24"/>
              </w:rPr>
              <w:t>③声环境：</w:t>
            </w:r>
            <w:r>
              <w:rPr>
                <w:rFonts w:hint="default" w:ascii="Times New Roman" w:hAnsi="Times New Roman" w:eastAsia="宋体" w:cs="Times New Roman"/>
                <w:color w:val="auto"/>
                <w:sz w:val="24"/>
              </w:rPr>
              <w:t>根据《202</w:t>
            </w:r>
            <w:r>
              <w:rPr>
                <w:rFonts w:hint="eastAsia" w:ascii="Times New Roman" w:hAnsi="Times New Roman" w:eastAsia="宋体" w:cs="Times New Roman"/>
                <w:color w:val="auto"/>
                <w:sz w:val="24"/>
                <w:lang w:val="en-US" w:eastAsia="zh-CN"/>
              </w:rPr>
              <w:t>4</w:t>
            </w:r>
            <w:r>
              <w:rPr>
                <w:rFonts w:hint="default" w:ascii="Times New Roman" w:hAnsi="Times New Roman" w:eastAsia="宋体" w:cs="Times New Roman"/>
                <w:color w:val="auto"/>
                <w:sz w:val="24"/>
              </w:rPr>
              <w:t>年淮安市生态环境状况公报》显示，202</w:t>
            </w:r>
            <w:r>
              <w:rPr>
                <w:rFonts w:hint="eastAsia" w:ascii="Times New Roman" w:hAnsi="Times New Roman" w:eastAsia="宋体" w:cs="Times New Roman"/>
                <w:color w:val="auto"/>
                <w:sz w:val="24"/>
                <w:lang w:val="en-US" w:eastAsia="zh-CN"/>
              </w:rPr>
              <w:t>4</w:t>
            </w:r>
            <w:r>
              <w:rPr>
                <w:rFonts w:hint="default" w:ascii="Times New Roman" w:hAnsi="Times New Roman" w:eastAsia="宋体" w:cs="Times New Roman"/>
                <w:color w:val="auto"/>
                <w:sz w:val="24"/>
              </w:rPr>
              <w:t>年，淮安市声环境总体较好，全市各功能区昼夜</w:t>
            </w:r>
            <w:r>
              <w:rPr>
                <w:rFonts w:hint="eastAsia" w:ascii="Times New Roman" w:hAnsi="Times New Roman" w:eastAsia="宋体" w:cs="Times New Roman"/>
                <w:color w:val="auto"/>
                <w:sz w:val="24"/>
                <w:lang w:val="en-US" w:eastAsia="zh-CN"/>
              </w:rPr>
              <w:t>平均等效声级</w:t>
            </w:r>
            <w:r>
              <w:rPr>
                <w:rFonts w:hint="default" w:ascii="Times New Roman" w:hAnsi="Times New Roman" w:eastAsia="宋体" w:cs="Times New Roman"/>
                <w:color w:val="auto"/>
                <w:sz w:val="24"/>
              </w:rPr>
              <w:t>均达标。全市区域环境昼间噪声均值为55.</w:t>
            </w:r>
            <w:r>
              <w:rPr>
                <w:rFonts w:hint="eastAsia"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rPr>
              <w:t>dB</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A</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保持稳定</w:t>
            </w:r>
            <w:r>
              <w:rPr>
                <w:rFonts w:hint="default" w:ascii="Times New Roman" w:hAnsi="Times New Roman" w:eastAsia="宋体" w:cs="Times New Roman"/>
                <w:color w:val="auto"/>
                <w:sz w:val="24"/>
              </w:rPr>
              <w:t>；全市昼间交通噪声均值为65.</w:t>
            </w:r>
            <w:r>
              <w:rPr>
                <w:rFonts w:hint="eastAsia"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rPr>
              <w:t>dB</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A</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同比下降0</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rPr>
              <w:t>dB</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A</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rPr>
              <w:t>均保持稳定，处于“好”水平</w:t>
            </w:r>
            <w:r>
              <w:rPr>
                <w:rFonts w:hint="default" w:ascii="Times New Roman" w:hAnsi="Times New Roman" w:eastAsia="宋体" w:cs="Times New Roman"/>
                <w:color w:val="auto"/>
              </w:rPr>
              <w:t>。</w:t>
            </w:r>
          </w:p>
          <w:p w14:paraId="01FBC0F1">
            <w:pPr>
              <w:adjustRightInd w:val="0"/>
              <w:snapToGrid w:val="0"/>
              <w:spacing w:before="120" w:beforeLines="50" w:line="360" w:lineRule="auto"/>
              <w:ind w:firstLine="480" w:firstLineChars="200"/>
              <w:rPr>
                <w:rFonts w:hAnsiTheme="minorEastAsia" w:eastAsiaTheme="minorEastAsia"/>
                <w:color w:val="auto"/>
                <w:sz w:val="24"/>
              </w:rPr>
            </w:pPr>
            <w:r>
              <w:rPr>
                <w:rFonts w:hint="eastAsia" w:hAnsiTheme="minorEastAsia" w:eastAsiaTheme="minorEastAsia"/>
                <w:color w:val="auto"/>
                <w:sz w:val="24"/>
                <w:lang w:eastAsia="zh-CN"/>
              </w:rPr>
              <w:t>扩建</w:t>
            </w:r>
            <w:r>
              <w:rPr>
                <w:rFonts w:hint="eastAsia" w:hAnsiTheme="minorEastAsia" w:eastAsiaTheme="minorEastAsia"/>
                <w:color w:val="auto"/>
                <w:sz w:val="24"/>
              </w:rPr>
              <w:t>项目废气、废水、噪声、固体废物等经有效处理及处置后，根据环境影响分析，对环境影响较小，预计不会改变环境质量现状。</w:t>
            </w:r>
          </w:p>
          <w:p w14:paraId="14D0A1A0">
            <w:pPr>
              <w:adjustRightInd w:val="0"/>
              <w:snapToGrid w:val="0"/>
              <w:spacing w:before="120" w:beforeLines="50" w:line="360" w:lineRule="auto"/>
              <w:ind w:firstLine="480" w:firstLineChars="200"/>
              <w:rPr>
                <w:rFonts w:hAnsiTheme="minorEastAsia" w:eastAsiaTheme="minorEastAsia"/>
                <w:color w:val="auto"/>
                <w:sz w:val="24"/>
              </w:rPr>
            </w:pPr>
            <w:r>
              <w:rPr>
                <w:rFonts w:hint="eastAsia" w:hAnsiTheme="minorEastAsia" w:eastAsiaTheme="minorEastAsia"/>
                <w:color w:val="auto"/>
                <w:sz w:val="24"/>
              </w:rPr>
              <w:t>因此</w:t>
            </w:r>
            <w:r>
              <w:rPr>
                <w:rFonts w:hint="eastAsia" w:hAnsiTheme="minorEastAsia" w:eastAsiaTheme="minorEastAsia"/>
                <w:color w:val="auto"/>
                <w:sz w:val="24"/>
                <w:lang w:eastAsia="zh-CN"/>
              </w:rPr>
              <w:t>扩建</w:t>
            </w:r>
            <w:r>
              <w:rPr>
                <w:rFonts w:hint="eastAsia" w:hAnsiTheme="minorEastAsia" w:eastAsiaTheme="minorEastAsia"/>
                <w:color w:val="auto"/>
                <w:sz w:val="24"/>
              </w:rPr>
              <w:t>项目的建设符合环境质量底线要求。</w:t>
            </w:r>
          </w:p>
          <w:p w14:paraId="3D4108AD">
            <w:pPr>
              <w:adjustRightInd w:val="0"/>
              <w:snapToGrid w:val="0"/>
              <w:spacing w:before="120" w:beforeLines="50" w:line="360" w:lineRule="auto"/>
              <w:ind w:firstLine="482" w:firstLineChars="200"/>
              <w:rPr>
                <w:rFonts w:eastAsiaTheme="minorEastAsia"/>
                <w:b/>
                <w:color w:val="auto"/>
                <w:sz w:val="24"/>
              </w:rPr>
            </w:pPr>
            <w:r>
              <w:rPr>
                <w:rFonts w:eastAsiaTheme="minorEastAsia"/>
                <w:b/>
                <w:color w:val="auto"/>
                <w:sz w:val="24"/>
              </w:rPr>
              <w:t>（3）</w:t>
            </w:r>
            <w:r>
              <w:rPr>
                <w:rFonts w:hint="eastAsia" w:eastAsiaTheme="minorEastAsia"/>
                <w:b/>
                <w:color w:val="auto"/>
                <w:sz w:val="24"/>
              </w:rPr>
              <w:t>与</w:t>
            </w:r>
            <w:r>
              <w:rPr>
                <w:rFonts w:eastAsiaTheme="minorEastAsia"/>
                <w:b/>
                <w:color w:val="auto"/>
                <w:sz w:val="24"/>
              </w:rPr>
              <w:t>资源利用上线</w:t>
            </w:r>
            <w:r>
              <w:rPr>
                <w:rFonts w:hint="eastAsia" w:eastAsiaTheme="minorEastAsia"/>
                <w:b/>
                <w:color w:val="auto"/>
                <w:sz w:val="24"/>
              </w:rPr>
              <w:t>相符性</w:t>
            </w:r>
          </w:p>
          <w:p w14:paraId="63585893">
            <w:pPr>
              <w:adjustRightInd w:val="0"/>
              <w:snapToGrid w:val="0"/>
              <w:spacing w:line="360" w:lineRule="auto"/>
              <w:ind w:firstLine="480" w:firstLineChars="200"/>
              <w:rPr>
                <w:color w:val="auto"/>
                <w:sz w:val="24"/>
              </w:rPr>
            </w:pPr>
            <w:r>
              <w:rPr>
                <w:color w:val="auto"/>
                <w:sz w:val="24"/>
              </w:rPr>
              <w:t>根据《关于加强资源环境生态红线管控的指导意见》（发改环资</w:t>
            </w:r>
            <w:r>
              <w:rPr>
                <w:rFonts w:hint="eastAsia"/>
                <w:color w:val="auto"/>
                <w:sz w:val="24"/>
                <w:lang w:eastAsia="zh-CN"/>
              </w:rPr>
              <w:t>〔2016〕1162号</w:t>
            </w:r>
            <w:r>
              <w:rPr>
                <w:color w:val="auto"/>
                <w:sz w:val="24"/>
              </w:rPr>
              <w:t>），建设项目与资源利用上线的相符性分析见表1-</w:t>
            </w:r>
            <w:r>
              <w:rPr>
                <w:rFonts w:hint="eastAsia"/>
                <w:color w:val="auto"/>
                <w:sz w:val="24"/>
                <w:lang w:val="en-US" w:eastAsia="zh-CN"/>
              </w:rPr>
              <w:t>7</w:t>
            </w:r>
            <w:r>
              <w:rPr>
                <w:color w:val="auto"/>
                <w:sz w:val="24"/>
              </w:rPr>
              <w:t>。</w:t>
            </w:r>
          </w:p>
          <w:p w14:paraId="7AE08273">
            <w:pPr>
              <w:keepNext/>
              <w:adjustRightInd w:val="0"/>
              <w:snapToGrid w:val="0"/>
              <w:jc w:val="center"/>
              <w:rPr>
                <w:b/>
                <w:color w:val="auto"/>
                <w:szCs w:val="21"/>
              </w:rPr>
            </w:pPr>
          </w:p>
          <w:p w14:paraId="37D2E16B">
            <w:pPr>
              <w:keepNext/>
              <w:adjustRightInd w:val="0"/>
              <w:snapToGrid w:val="0"/>
              <w:jc w:val="center"/>
              <w:rPr>
                <w:b/>
                <w:color w:val="auto"/>
                <w:szCs w:val="21"/>
              </w:rPr>
            </w:pPr>
          </w:p>
          <w:p w14:paraId="0E5083C7">
            <w:pPr>
              <w:adjustRightInd w:val="0"/>
              <w:snapToGrid w:val="0"/>
              <w:jc w:val="center"/>
              <w:rPr>
                <w:rFonts w:hint="eastAsia" w:eastAsiaTheme="minorEastAsia"/>
                <w:b/>
                <w:bCs/>
                <w:color w:val="auto"/>
                <w:sz w:val="24"/>
                <w:lang w:val="en-US" w:eastAsia="zh-CN"/>
              </w:rPr>
            </w:pPr>
            <w:r>
              <w:rPr>
                <w:rFonts w:hint="eastAsia" w:eastAsiaTheme="minorEastAsia"/>
                <w:b/>
                <w:bCs/>
                <w:color w:val="auto"/>
                <w:sz w:val="24"/>
                <w:lang w:val="en-US" w:eastAsia="zh-CN"/>
              </w:rPr>
              <w:t>表1-7  扩建项目所涉及生态空间管控区域</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768"/>
              <w:gridCol w:w="1269"/>
              <w:gridCol w:w="5065"/>
              <w:gridCol w:w="1236"/>
            </w:tblGrid>
            <w:tr w14:paraId="4645E5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61" w:type="pct"/>
                  <w:tcBorders>
                    <w:top w:val="single" w:color="auto" w:sz="12" w:space="0"/>
                    <w:bottom w:val="single" w:color="auto" w:sz="12" w:space="0"/>
                  </w:tcBorders>
                  <w:vAlign w:val="center"/>
                </w:tcPr>
                <w:p w14:paraId="4552ECDB">
                  <w:pPr>
                    <w:jc w:val="center"/>
                    <w:rPr>
                      <w:b/>
                      <w:color w:val="auto"/>
                      <w:szCs w:val="21"/>
                    </w:rPr>
                  </w:pPr>
                  <w:r>
                    <w:rPr>
                      <w:b/>
                      <w:color w:val="auto"/>
                      <w:szCs w:val="21"/>
                    </w:rPr>
                    <w:t>序号</w:t>
                  </w:r>
                </w:p>
              </w:tc>
              <w:tc>
                <w:tcPr>
                  <w:tcW w:w="761" w:type="pct"/>
                  <w:tcBorders>
                    <w:top w:val="single" w:color="auto" w:sz="12" w:space="0"/>
                    <w:bottom w:val="single" w:color="auto" w:sz="12" w:space="0"/>
                  </w:tcBorders>
                  <w:vAlign w:val="center"/>
                </w:tcPr>
                <w:p w14:paraId="0BF488BA">
                  <w:pPr>
                    <w:jc w:val="center"/>
                    <w:rPr>
                      <w:b/>
                      <w:color w:val="auto"/>
                      <w:szCs w:val="21"/>
                    </w:rPr>
                  </w:pPr>
                  <w:r>
                    <w:rPr>
                      <w:b/>
                      <w:color w:val="auto"/>
                      <w:szCs w:val="21"/>
                    </w:rPr>
                    <w:t>内容</w:t>
                  </w:r>
                </w:p>
              </w:tc>
              <w:tc>
                <w:tcPr>
                  <w:tcW w:w="3037" w:type="pct"/>
                  <w:tcBorders>
                    <w:top w:val="single" w:color="auto" w:sz="12" w:space="0"/>
                    <w:bottom w:val="single" w:color="auto" w:sz="12" w:space="0"/>
                  </w:tcBorders>
                  <w:vAlign w:val="center"/>
                </w:tcPr>
                <w:p w14:paraId="28E666AD">
                  <w:pPr>
                    <w:jc w:val="center"/>
                    <w:rPr>
                      <w:b/>
                      <w:color w:val="auto"/>
                      <w:szCs w:val="21"/>
                    </w:rPr>
                  </w:pPr>
                  <w:r>
                    <w:rPr>
                      <w:b/>
                      <w:color w:val="auto"/>
                      <w:szCs w:val="21"/>
                    </w:rPr>
                    <w:t>与资源利用上线的相符性</w:t>
                  </w:r>
                </w:p>
              </w:tc>
              <w:tc>
                <w:tcPr>
                  <w:tcW w:w="741" w:type="pct"/>
                  <w:tcBorders>
                    <w:top w:val="single" w:color="auto" w:sz="12" w:space="0"/>
                    <w:bottom w:val="single" w:color="auto" w:sz="12" w:space="0"/>
                  </w:tcBorders>
                  <w:vAlign w:val="center"/>
                </w:tcPr>
                <w:p w14:paraId="3B8030DA">
                  <w:pPr>
                    <w:jc w:val="center"/>
                    <w:rPr>
                      <w:b/>
                      <w:color w:val="auto"/>
                      <w:szCs w:val="21"/>
                    </w:rPr>
                  </w:pPr>
                  <w:r>
                    <w:rPr>
                      <w:b/>
                      <w:color w:val="auto"/>
                      <w:szCs w:val="21"/>
                    </w:rPr>
                    <w:t>是否符合</w:t>
                  </w:r>
                </w:p>
              </w:tc>
            </w:tr>
            <w:tr w14:paraId="288618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61" w:type="pct"/>
                  <w:tcBorders>
                    <w:top w:val="single" w:color="auto" w:sz="12" w:space="0"/>
                  </w:tcBorders>
                  <w:vAlign w:val="center"/>
                </w:tcPr>
                <w:p w14:paraId="2F5EC436">
                  <w:pPr>
                    <w:jc w:val="center"/>
                    <w:rPr>
                      <w:color w:val="auto"/>
                      <w:szCs w:val="21"/>
                    </w:rPr>
                  </w:pPr>
                  <w:r>
                    <w:rPr>
                      <w:color w:val="auto"/>
                      <w:szCs w:val="21"/>
                    </w:rPr>
                    <w:t>1</w:t>
                  </w:r>
                </w:p>
              </w:tc>
              <w:tc>
                <w:tcPr>
                  <w:tcW w:w="761" w:type="pct"/>
                  <w:tcBorders>
                    <w:top w:val="single" w:color="auto" w:sz="12" w:space="0"/>
                  </w:tcBorders>
                  <w:vAlign w:val="center"/>
                </w:tcPr>
                <w:p w14:paraId="7D61949B">
                  <w:pPr>
                    <w:jc w:val="center"/>
                    <w:rPr>
                      <w:color w:val="auto"/>
                      <w:szCs w:val="21"/>
                    </w:rPr>
                  </w:pPr>
                  <w:r>
                    <w:rPr>
                      <w:color w:val="auto"/>
                      <w:szCs w:val="21"/>
                    </w:rPr>
                    <w:t>能源消耗</w:t>
                  </w:r>
                </w:p>
              </w:tc>
              <w:tc>
                <w:tcPr>
                  <w:tcW w:w="3037" w:type="pct"/>
                  <w:tcBorders>
                    <w:top w:val="single" w:color="auto" w:sz="12" w:space="0"/>
                  </w:tcBorders>
                  <w:vAlign w:val="center"/>
                </w:tcPr>
                <w:p w14:paraId="67BA1FAA">
                  <w:pPr>
                    <w:jc w:val="center"/>
                    <w:rPr>
                      <w:color w:val="auto"/>
                      <w:szCs w:val="21"/>
                    </w:rPr>
                  </w:pPr>
                  <w:r>
                    <w:rPr>
                      <w:color w:val="auto"/>
                      <w:szCs w:val="21"/>
                    </w:rPr>
                    <w:t>本项目不使用煤炭；不属于压缩产能、过剩产能，“两高”行业；用电所在地便可满足</w:t>
                  </w:r>
                </w:p>
              </w:tc>
              <w:tc>
                <w:tcPr>
                  <w:tcW w:w="741" w:type="pct"/>
                  <w:tcBorders>
                    <w:top w:val="single" w:color="auto" w:sz="12" w:space="0"/>
                  </w:tcBorders>
                  <w:vAlign w:val="center"/>
                </w:tcPr>
                <w:p w14:paraId="1CBEFEFA">
                  <w:pPr>
                    <w:jc w:val="center"/>
                    <w:rPr>
                      <w:color w:val="auto"/>
                      <w:szCs w:val="21"/>
                    </w:rPr>
                  </w:pPr>
                  <w:r>
                    <w:rPr>
                      <w:color w:val="auto"/>
                      <w:szCs w:val="21"/>
                    </w:rPr>
                    <w:t>符合</w:t>
                  </w:r>
                </w:p>
              </w:tc>
            </w:tr>
            <w:tr w14:paraId="0FB7BD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61" w:type="pct"/>
                  <w:vAlign w:val="center"/>
                </w:tcPr>
                <w:p w14:paraId="267822EC">
                  <w:pPr>
                    <w:jc w:val="center"/>
                    <w:rPr>
                      <w:color w:val="auto"/>
                      <w:szCs w:val="21"/>
                    </w:rPr>
                  </w:pPr>
                  <w:r>
                    <w:rPr>
                      <w:color w:val="auto"/>
                      <w:szCs w:val="21"/>
                    </w:rPr>
                    <w:t>2</w:t>
                  </w:r>
                </w:p>
              </w:tc>
              <w:tc>
                <w:tcPr>
                  <w:tcW w:w="761" w:type="pct"/>
                  <w:vAlign w:val="center"/>
                </w:tcPr>
                <w:p w14:paraId="26A6B3C3">
                  <w:pPr>
                    <w:jc w:val="center"/>
                    <w:rPr>
                      <w:color w:val="auto"/>
                      <w:szCs w:val="21"/>
                    </w:rPr>
                  </w:pPr>
                  <w:r>
                    <w:rPr>
                      <w:color w:val="auto"/>
                      <w:szCs w:val="21"/>
                    </w:rPr>
                    <w:t>水资源消耗</w:t>
                  </w:r>
                </w:p>
              </w:tc>
              <w:tc>
                <w:tcPr>
                  <w:tcW w:w="3037" w:type="pct"/>
                  <w:vAlign w:val="center"/>
                </w:tcPr>
                <w:p w14:paraId="0F1CB399">
                  <w:pPr>
                    <w:jc w:val="center"/>
                    <w:rPr>
                      <w:color w:val="auto"/>
                      <w:szCs w:val="21"/>
                    </w:rPr>
                  </w:pPr>
                  <w:r>
                    <w:rPr>
                      <w:color w:val="auto"/>
                      <w:szCs w:val="21"/>
                    </w:rPr>
                    <w:t>本项目所在地不属于严重缺水地区；区域供水管网可以满足项目用水；本项目不涉及地下水开采。</w:t>
                  </w:r>
                </w:p>
              </w:tc>
              <w:tc>
                <w:tcPr>
                  <w:tcW w:w="741" w:type="pct"/>
                  <w:vAlign w:val="center"/>
                </w:tcPr>
                <w:p w14:paraId="2D344714">
                  <w:pPr>
                    <w:jc w:val="center"/>
                    <w:rPr>
                      <w:color w:val="auto"/>
                      <w:szCs w:val="21"/>
                    </w:rPr>
                  </w:pPr>
                  <w:r>
                    <w:rPr>
                      <w:color w:val="auto"/>
                      <w:szCs w:val="21"/>
                    </w:rPr>
                    <w:t>符合</w:t>
                  </w:r>
                </w:p>
              </w:tc>
            </w:tr>
            <w:tr w14:paraId="1984A6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61" w:type="pct"/>
                  <w:vAlign w:val="center"/>
                </w:tcPr>
                <w:p w14:paraId="1055ACDA">
                  <w:pPr>
                    <w:jc w:val="center"/>
                    <w:rPr>
                      <w:color w:val="auto"/>
                      <w:szCs w:val="21"/>
                    </w:rPr>
                  </w:pPr>
                  <w:r>
                    <w:rPr>
                      <w:color w:val="auto"/>
                      <w:szCs w:val="21"/>
                    </w:rPr>
                    <w:t>3</w:t>
                  </w:r>
                </w:p>
              </w:tc>
              <w:tc>
                <w:tcPr>
                  <w:tcW w:w="761" w:type="pct"/>
                  <w:vAlign w:val="center"/>
                </w:tcPr>
                <w:p w14:paraId="0A74D0D7">
                  <w:pPr>
                    <w:jc w:val="center"/>
                    <w:rPr>
                      <w:color w:val="auto"/>
                      <w:szCs w:val="21"/>
                    </w:rPr>
                  </w:pPr>
                  <w:r>
                    <w:rPr>
                      <w:color w:val="auto"/>
                      <w:szCs w:val="21"/>
                    </w:rPr>
                    <w:t>土地资源</w:t>
                  </w:r>
                </w:p>
              </w:tc>
              <w:tc>
                <w:tcPr>
                  <w:tcW w:w="3037" w:type="pct"/>
                  <w:vAlign w:val="center"/>
                </w:tcPr>
                <w:p w14:paraId="01305C5A">
                  <w:pPr>
                    <w:jc w:val="center"/>
                    <w:rPr>
                      <w:color w:val="auto"/>
                      <w:szCs w:val="21"/>
                    </w:rPr>
                  </w:pPr>
                  <w:r>
                    <w:rPr>
                      <w:color w:val="auto"/>
                      <w:szCs w:val="21"/>
                    </w:rPr>
                    <w:t>本项目选址位于</w:t>
                  </w:r>
                  <w:r>
                    <w:rPr>
                      <w:rFonts w:hint="eastAsia"/>
                      <w:color w:val="auto"/>
                      <w:szCs w:val="21"/>
                      <w:lang w:val="en-US" w:eastAsia="zh-CN"/>
                    </w:rPr>
                    <w:t>江苏涟水经济开发区涟水路3号</w:t>
                  </w:r>
                  <w:r>
                    <w:rPr>
                      <w:color w:val="auto"/>
                      <w:szCs w:val="21"/>
                    </w:rPr>
                    <w:t>，在涟水开发区范围内，用地类型为工业用地。</w:t>
                  </w:r>
                </w:p>
              </w:tc>
              <w:tc>
                <w:tcPr>
                  <w:tcW w:w="741" w:type="pct"/>
                  <w:vAlign w:val="center"/>
                </w:tcPr>
                <w:p w14:paraId="465C9F32">
                  <w:pPr>
                    <w:jc w:val="center"/>
                    <w:rPr>
                      <w:color w:val="auto"/>
                      <w:szCs w:val="21"/>
                    </w:rPr>
                  </w:pPr>
                  <w:r>
                    <w:rPr>
                      <w:color w:val="auto"/>
                      <w:szCs w:val="21"/>
                    </w:rPr>
                    <w:t>符合</w:t>
                  </w:r>
                </w:p>
              </w:tc>
            </w:tr>
          </w:tbl>
          <w:p w14:paraId="300C6CE8">
            <w:pPr>
              <w:adjustRightInd w:val="0"/>
              <w:snapToGrid w:val="0"/>
              <w:spacing w:line="360" w:lineRule="auto"/>
              <w:ind w:firstLine="480" w:firstLineChars="200"/>
              <w:rPr>
                <w:color w:val="auto"/>
                <w:sz w:val="24"/>
              </w:rPr>
            </w:pPr>
            <w:r>
              <w:rPr>
                <w:color w:val="auto"/>
                <w:sz w:val="24"/>
              </w:rPr>
              <w:t>由上表可见，</w:t>
            </w:r>
            <w:r>
              <w:rPr>
                <w:rFonts w:hint="eastAsia"/>
                <w:color w:val="auto"/>
                <w:sz w:val="24"/>
                <w:lang w:eastAsia="zh-CN"/>
              </w:rPr>
              <w:t>扩建</w:t>
            </w:r>
            <w:r>
              <w:rPr>
                <w:color w:val="auto"/>
                <w:sz w:val="24"/>
              </w:rPr>
              <w:t>项目与资源利用上线相容。</w:t>
            </w:r>
          </w:p>
          <w:p w14:paraId="22C83194">
            <w:pPr>
              <w:adjustRightInd w:val="0"/>
              <w:snapToGrid w:val="0"/>
              <w:spacing w:before="120" w:beforeLines="50" w:line="360" w:lineRule="auto"/>
              <w:ind w:firstLine="482" w:firstLineChars="200"/>
              <w:rPr>
                <w:rFonts w:eastAsiaTheme="minorEastAsia"/>
                <w:b/>
                <w:color w:val="auto"/>
                <w:sz w:val="24"/>
              </w:rPr>
            </w:pPr>
            <w:r>
              <w:rPr>
                <w:rFonts w:eastAsiaTheme="minorEastAsia"/>
                <w:b/>
                <w:color w:val="auto"/>
                <w:sz w:val="24"/>
              </w:rPr>
              <w:t>（4）环境准入负面清单</w:t>
            </w:r>
          </w:p>
          <w:p w14:paraId="2AA3EF4C">
            <w:pPr>
              <w:adjustRightInd w:val="0"/>
              <w:snapToGrid w:val="0"/>
              <w:spacing w:line="360" w:lineRule="auto"/>
              <w:ind w:firstLine="480" w:firstLineChars="200"/>
              <w:rPr>
                <w:rFonts w:eastAsiaTheme="minorEastAsia"/>
                <w:color w:val="auto"/>
                <w:sz w:val="24"/>
              </w:rPr>
            </w:pPr>
            <w:r>
              <w:rPr>
                <w:rFonts w:hAnsiTheme="minorEastAsia" w:eastAsiaTheme="minorEastAsia"/>
                <w:color w:val="auto"/>
                <w:sz w:val="24"/>
              </w:rPr>
              <w:t>对照《关于印发</w:t>
            </w:r>
            <w:r>
              <w:rPr>
                <w:rFonts w:hint="eastAsia" w:hAnsiTheme="minorEastAsia" w:eastAsiaTheme="minorEastAsia"/>
                <w:color w:val="auto"/>
                <w:sz w:val="24"/>
                <w:lang w:eastAsia="zh-CN"/>
              </w:rPr>
              <w:t>〈</w:t>
            </w:r>
            <w:r>
              <w:rPr>
                <w:rFonts w:hAnsiTheme="minorEastAsia" w:eastAsiaTheme="minorEastAsia"/>
                <w:color w:val="auto"/>
                <w:sz w:val="24"/>
              </w:rPr>
              <w:t>淮安市环境管控单元生态环境准入清单</w:t>
            </w:r>
            <w:r>
              <w:rPr>
                <w:rFonts w:hint="eastAsia" w:hAnsiTheme="minorEastAsia" w:eastAsiaTheme="minorEastAsia"/>
                <w:color w:val="auto"/>
                <w:sz w:val="24"/>
                <w:lang w:eastAsia="zh-CN"/>
              </w:rPr>
              <w:t>〉</w:t>
            </w:r>
            <w:r>
              <w:rPr>
                <w:rFonts w:hAnsiTheme="minorEastAsia" w:eastAsiaTheme="minorEastAsia"/>
                <w:color w:val="auto"/>
                <w:sz w:val="24"/>
              </w:rPr>
              <w:t>的通知》（淮环发〔</w:t>
            </w:r>
            <w:r>
              <w:rPr>
                <w:rFonts w:eastAsiaTheme="minorEastAsia"/>
                <w:color w:val="auto"/>
                <w:sz w:val="24"/>
              </w:rPr>
              <w:t>2020</w:t>
            </w:r>
            <w:r>
              <w:rPr>
                <w:rFonts w:hAnsiTheme="minorEastAsia" w:eastAsiaTheme="minorEastAsia"/>
                <w:color w:val="auto"/>
                <w:sz w:val="24"/>
              </w:rPr>
              <w:t>〕</w:t>
            </w:r>
            <w:r>
              <w:rPr>
                <w:rFonts w:eastAsiaTheme="minorEastAsia"/>
                <w:color w:val="auto"/>
                <w:sz w:val="24"/>
              </w:rPr>
              <w:t>264</w:t>
            </w:r>
            <w:r>
              <w:rPr>
                <w:rFonts w:hAnsiTheme="minorEastAsia" w:eastAsiaTheme="minorEastAsia"/>
                <w:color w:val="auto"/>
                <w:sz w:val="24"/>
              </w:rPr>
              <w:t>号），</w:t>
            </w:r>
            <w:r>
              <w:rPr>
                <w:rFonts w:hint="eastAsia" w:hAnsiTheme="minorEastAsia" w:eastAsiaTheme="minorEastAsia"/>
                <w:color w:val="auto"/>
                <w:sz w:val="24"/>
                <w:lang w:eastAsia="zh-CN"/>
              </w:rPr>
              <w:t>扩建</w:t>
            </w:r>
            <w:r>
              <w:rPr>
                <w:rFonts w:hAnsiTheme="minorEastAsia" w:eastAsiaTheme="minorEastAsia"/>
                <w:color w:val="auto"/>
                <w:sz w:val="24"/>
              </w:rPr>
              <w:t>项目位于</w:t>
            </w:r>
            <w:r>
              <w:rPr>
                <w:rFonts w:hint="eastAsia"/>
                <w:color w:val="auto"/>
                <w:kern w:val="0"/>
                <w:sz w:val="24"/>
                <w:lang w:val="en-US" w:eastAsia="zh-CN"/>
              </w:rPr>
              <w:t>江苏涟水经济开发区涟水路3号</w:t>
            </w:r>
            <w:r>
              <w:rPr>
                <w:color w:val="auto"/>
                <w:sz w:val="24"/>
              </w:rPr>
              <w:t>，在江苏省涟水县经济技术开发区（省级）范围内</w:t>
            </w:r>
            <w:r>
              <w:rPr>
                <w:rFonts w:hAnsiTheme="minorEastAsia" w:eastAsiaTheme="minorEastAsia"/>
                <w:color w:val="auto"/>
                <w:sz w:val="24"/>
              </w:rPr>
              <w:t>，属于重点管控单元，相符性分析表</w:t>
            </w:r>
            <w:r>
              <w:rPr>
                <w:rFonts w:eastAsiaTheme="minorEastAsia"/>
                <w:color w:val="auto"/>
                <w:sz w:val="24"/>
              </w:rPr>
              <w:t>1-</w:t>
            </w:r>
            <w:r>
              <w:rPr>
                <w:rFonts w:hint="eastAsia" w:eastAsiaTheme="minorEastAsia"/>
                <w:color w:val="auto"/>
                <w:sz w:val="24"/>
                <w:lang w:val="en-US" w:eastAsia="zh-CN"/>
              </w:rPr>
              <w:t>8</w:t>
            </w:r>
            <w:r>
              <w:rPr>
                <w:rFonts w:hAnsiTheme="minorEastAsia" w:eastAsiaTheme="minorEastAsia"/>
                <w:color w:val="auto"/>
                <w:sz w:val="24"/>
              </w:rPr>
              <w:t>。</w:t>
            </w:r>
          </w:p>
          <w:p w14:paraId="262757DF">
            <w:pPr>
              <w:adjustRightInd w:val="0"/>
              <w:snapToGrid w:val="0"/>
              <w:jc w:val="center"/>
              <w:rPr>
                <w:rFonts w:eastAsiaTheme="minorEastAsia"/>
                <w:b/>
                <w:bCs/>
                <w:color w:val="auto"/>
                <w:sz w:val="24"/>
              </w:rPr>
            </w:pPr>
            <w:r>
              <w:rPr>
                <w:rFonts w:hAnsiTheme="minorEastAsia" w:eastAsiaTheme="minorEastAsia"/>
                <w:b/>
                <w:bCs/>
                <w:color w:val="auto"/>
                <w:sz w:val="24"/>
              </w:rPr>
              <w:t>表</w:t>
            </w:r>
            <w:r>
              <w:rPr>
                <w:rFonts w:eastAsiaTheme="minorEastAsia"/>
                <w:b/>
                <w:bCs/>
                <w:color w:val="auto"/>
                <w:sz w:val="24"/>
              </w:rPr>
              <w:t>1-</w:t>
            </w:r>
            <w:r>
              <w:rPr>
                <w:rFonts w:hint="eastAsia" w:eastAsiaTheme="minorEastAsia"/>
                <w:b/>
                <w:bCs/>
                <w:color w:val="auto"/>
                <w:sz w:val="24"/>
                <w:lang w:val="en-US" w:eastAsia="zh-CN"/>
              </w:rPr>
              <w:t>8</w:t>
            </w:r>
            <w:r>
              <w:rPr>
                <w:rFonts w:eastAsiaTheme="minorEastAsia"/>
                <w:b/>
                <w:bCs/>
                <w:color w:val="auto"/>
                <w:sz w:val="24"/>
              </w:rPr>
              <w:t xml:space="preserve">  </w:t>
            </w:r>
            <w:r>
              <w:rPr>
                <w:rFonts w:hint="eastAsia" w:hAnsiTheme="minorEastAsia" w:eastAsiaTheme="minorEastAsia"/>
                <w:b/>
                <w:color w:val="auto"/>
                <w:sz w:val="24"/>
                <w:lang w:eastAsia="zh-CN"/>
              </w:rPr>
              <w:t>扩建</w:t>
            </w:r>
            <w:r>
              <w:rPr>
                <w:rFonts w:hAnsiTheme="minorEastAsia" w:eastAsiaTheme="minorEastAsia"/>
                <w:b/>
                <w:bCs/>
                <w:color w:val="auto"/>
                <w:sz w:val="24"/>
              </w:rPr>
              <w:t>项目</w:t>
            </w:r>
            <w:r>
              <w:rPr>
                <w:rFonts w:hAnsiTheme="minorEastAsia" w:eastAsiaTheme="minorEastAsia"/>
                <w:b/>
                <w:bCs/>
                <w:snapToGrid w:val="0"/>
                <w:color w:val="auto"/>
                <w:kern w:val="0"/>
                <w:sz w:val="24"/>
              </w:rPr>
              <w:t>与《</w:t>
            </w:r>
            <w:r>
              <w:rPr>
                <w:rFonts w:hAnsiTheme="minorEastAsia" w:eastAsiaTheme="minorEastAsia"/>
                <w:b/>
                <w:bCs/>
                <w:color w:val="auto"/>
                <w:sz w:val="24"/>
              </w:rPr>
              <w:t>淮安市环境管控单元生态环境准入清单》相符性分析</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763"/>
              <w:gridCol w:w="3017"/>
              <w:gridCol w:w="3394"/>
              <w:gridCol w:w="1164"/>
            </w:tblGrid>
            <w:tr w14:paraId="773DF4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58" w:type="pct"/>
                  <w:tcBorders>
                    <w:top w:val="single" w:color="auto" w:sz="12" w:space="0"/>
                    <w:left w:val="nil"/>
                    <w:bottom w:val="single" w:color="auto" w:sz="4" w:space="0"/>
                    <w:right w:val="single" w:color="auto" w:sz="4" w:space="0"/>
                  </w:tcBorders>
                  <w:vAlign w:val="center"/>
                </w:tcPr>
                <w:p w14:paraId="6603BB4E">
                  <w:pPr>
                    <w:adjustRightInd w:val="0"/>
                    <w:snapToGrid w:val="0"/>
                    <w:jc w:val="center"/>
                    <w:rPr>
                      <w:rFonts w:eastAsiaTheme="minorEastAsia"/>
                      <w:b/>
                      <w:bCs/>
                      <w:color w:val="auto"/>
                      <w:szCs w:val="21"/>
                    </w:rPr>
                  </w:pPr>
                  <w:r>
                    <w:rPr>
                      <w:rFonts w:hAnsiTheme="minorEastAsia" w:eastAsiaTheme="minorEastAsia"/>
                      <w:b/>
                      <w:bCs/>
                      <w:color w:val="auto"/>
                      <w:szCs w:val="21"/>
                    </w:rPr>
                    <w:t>类型</w:t>
                  </w:r>
                </w:p>
              </w:tc>
              <w:tc>
                <w:tcPr>
                  <w:tcW w:w="1809" w:type="pct"/>
                  <w:tcBorders>
                    <w:top w:val="single" w:color="auto" w:sz="12" w:space="0"/>
                    <w:left w:val="single" w:color="auto" w:sz="4" w:space="0"/>
                    <w:bottom w:val="single" w:color="auto" w:sz="4" w:space="0"/>
                    <w:right w:val="single" w:color="auto" w:sz="4" w:space="0"/>
                  </w:tcBorders>
                  <w:vAlign w:val="center"/>
                </w:tcPr>
                <w:p w14:paraId="3448AB13">
                  <w:pPr>
                    <w:adjustRightInd w:val="0"/>
                    <w:snapToGrid w:val="0"/>
                    <w:jc w:val="center"/>
                    <w:rPr>
                      <w:rFonts w:eastAsiaTheme="minorEastAsia"/>
                      <w:b/>
                      <w:bCs/>
                      <w:color w:val="auto"/>
                      <w:szCs w:val="21"/>
                    </w:rPr>
                  </w:pPr>
                  <w:r>
                    <w:rPr>
                      <w:rFonts w:hAnsiTheme="minorEastAsia" w:eastAsiaTheme="minorEastAsia"/>
                      <w:b/>
                      <w:bCs/>
                      <w:color w:val="auto"/>
                      <w:szCs w:val="21"/>
                    </w:rPr>
                    <w:t>重点管控要求</w:t>
                  </w:r>
                </w:p>
              </w:tc>
              <w:tc>
                <w:tcPr>
                  <w:tcW w:w="2035" w:type="pct"/>
                  <w:tcBorders>
                    <w:top w:val="single" w:color="auto" w:sz="12" w:space="0"/>
                    <w:left w:val="single" w:color="auto" w:sz="4" w:space="0"/>
                    <w:bottom w:val="single" w:color="auto" w:sz="4" w:space="0"/>
                    <w:right w:val="single" w:color="auto" w:sz="4" w:space="0"/>
                  </w:tcBorders>
                  <w:vAlign w:val="center"/>
                </w:tcPr>
                <w:p w14:paraId="7318A5E0">
                  <w:pPr>
                    <w:adjustRightInd w:val="0"/>
                    <w:snapToGrid w:val="0"/>
                    <w:jc w:val="center"/>
                    <w:rPr>
                      <w:rFonts w:eastAsiaTheme="minorEastAsia"/>
                      <w:b/>
                      <w:bCs/>
                      <w:color w:val="auto"/>
                      <w:szCs w:val="21"/>
                    </w:rPr>
                  </w:pPr>
                  <w:r>
                    <w:rPr>
                      <w:rFonts w:hint="eastAsia" w:hAnsiTheme="minorEastAsia" w:eastAsiaTheme="minorEastAsia"/>
                      <w:b/>
                      <w:color w:val="auto"/>
                      <w:szCs w:val="21"/>
                      <w:lang w:eastAsia="zh-CN"/>
                    </w:rPr>
                    <w:t>技改</w:t>
                  </w:r>
                  <w:r>
                    <w:rPr>
                      <w:rFonts w:hAnsiTheme="minorEastAsia" w:eastAsiaTheme="minorEastAsia"/>
                      <w:b/>
                      <w:bCs/>
                      <w:color w:val="auto"/>
                      <w:szCs w:val="21"/>
                    </w:rPr>
                    <w:t>项目情况</w:t>
                  </w:r>
                </w:p>
              </w:tc>
              <w:tc>
                <w:tcPr>
                  <w:tcW w:w="698" w:type="pct"/>
                  <w:tcBorders>
                    <w:top w:val="single" w:color="auto" w:sz="12" w:space="0"/>
                    <w:left w:val="single" w:color="auto" w:sz="4" w:space="0"/>
                    <w:bottom w:val="single" w:color="auto" w:sz="4" w:space="0"/>
                    <w:right w:val="nil"/>
                  </w:tcBorders>
                  <w:vAlign w:val="center"/>
                </w:tcPr>
                <w:p w14:paraId="31D4ABCC">
                  <w:pPr>
                    <w:adjustRightInd w:val="0"/>
                    <w:snapToGrid w:val="0"/>
                    <w:jc w:val="center"/>
                    <w:rPr>
                      <w:rFonts w:eastAsiaTheme="minorEastAsia"/>
                      <w:b/>
                      <w:bCs/>
                      <w:color w:val="auto"/>
                      <w:szCs w:val="21"/>
                    </w:rPr>
                  </w:pPr>
                  <w:r>
                    <w:rPr>
                      <w:rFonts w:hAnsiTheme="minorEastAsia" w:eastAsiaTheme="minorEastAsia"/>
                      <w:b/>
                      <w:bCs/>
                      <w:color w:val="auto"/>
                      <w:szCs w:val="21"/>
                    </w:rPr>
                    <w:t>相符性分析</w:t>
                  </w:r>
                </w:p>
              </w:tc>
            </w:tr>
            <w:tr w14:paraId="3115DE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8" w:type="pct"/>
                  <w:tcBorders>
                    <w:top w:val="single" w:color="auto" w:sz="4" w:space="0"/>
                    <w:left w:val="nil"/>
                    <w:bottom w:val="single" w:color="auto" w:sz="4" w:space="0"/>
                    <w:right w:val="single" w:color="auto" w:sz="4" w:space="0"/>
                  </w:tcBorders>
                  <w:vAlign w:val="center"/>
                </w:tcPr>
                <w:p w14:paraId="2E185311">
                  <w:pPr>
                    <w:adjustRightInd w:val="0"/>
                    <w:snapToGrid w:val="0"/>
                    <w:jc w:val="center"/>
                    <w:rPr>
                      <w:rFonts w:eastAsiaTheme="minorEastAsia"/>
                      <w:color w:val="auto"/>
                      <w:szCs w:val="21"/>
                    </w:rPr>
                  </w:pPr>
                  <w:r>
                    <w:rPr>
                      <w:rFonts w:hAnsiTheme="minorEastAsia" w:eastAsiaTheme="minorEastAsia"/>
                      <w:color w:val="auto"/>
                      <w:szCs w:val="21"/>
                    </w:rPr>
                    <w:t>空间布局约束</w:t>
                  </w:r>
                </w:p>
              </w:tc>
              <w:tc>
                <w:tcPr>
                  <w:tcW w:w="1809" w:type="pct"/>
                  <w:tcBorders>
                    <w:top w:val="single" w:color="auto" w:sz="4" w:space="0"/>
                    <w:left w:val="single" w:color="auto" w:sz="4" w:space="0"/>
                    <w:bottom w:val="single" w:color="auto" w:sz="4" w:space="0"/>
                    <w:right w:val="single" w:color="auto" w:sz="4" w:space="0"/>
                  </w:tcBorders>
                  <w:vAlign w:val="center"/>
                </w:tcPr>
                <w:p w14:paraId="7620D1CF">
                  <w:pPr>
                    <w:adjustRightInd w:val="0"/>
                    <w:snapToGrid w:val="0"/>
                    <w:jc w:val="left"/>
                    <w:rPr>
                      <w:rFonts w:eastAsiaTheme="minorEastAsia"/>
                      <w:color w:val="auto"/>
                      <w:szCs w:val="21"/>
                    </w:rPr>
                  </w:pPr>
                  <w:r>
                    <w:rPr>
                      <w:rFonts w:hint="eastAsia" w:eastAsiaTheme="minorEastAsia"/>
                      <w:color w:val="auto"/>
                      <w:szCs w:val="21"/>
                      <w:lang w:eastAsia="zh-CN"/>
                    </w:rPr>
                    <w:t>（</w:t>
                  </w:r>
                  <w:r>
                    <w:rPr>
                      <w:rFonts w:eastAsiaTheme="minorEastAsia"/>
                      <w:color w:val="auto"/>
                      <w:szCs w:val="21"/>
                    </w:rPr>
                    <w:t>1</w:t>
                  </w:r>
                  <w:r>
                    <w:rPr>
                      <w:rFonts w:hint="eastAsia" w:eastAsiaTheme="minorEastAsia"/>
                      <w:color w:val="auto"/>
                      <w:szCs w:val="21"/>
                      <w:lang w:eastAsia="zh-CN"/>
                    </w:rPr>
                    <w:t>）</w:t>
                  </w:r>
                  <w:r>
                    <w:rPr>
                      <w:rFonts w:eastAsiaTheme="minorEastAsia"/>
                      <w:color w:val="auto"/>
                      <w:szCs w:val="21"/>
                    </w:rPr>
                    <w:t>优先发展</w:t>
                  </w:r>
                  <w:r>
                    <w:rPr>
                      <w:rFonts w:hint="eastAsia" w:eastAsiaTheme="minorEastAsia"/>
                      <w:color w:val="auto"/>
                      <w:szCs w:val="21"/>
                      <w:lang w:eastAsia="zh-CN"/>
                    </w:rPr>
                    <w:t>：</w:t>
                  </w:r>
                  <w:r>
                    <w:rPr>
                      <w:rFonts w:eastAsiaTheme="minorEastAsia"/>
                      <w:color w:val="auto"/>
                      <w:szCs w:val="21"/>
                    </w:rPr>
                    <w:t>东区主要发展机电轻纺；西区主要发展食品、医药、机械制造、新型建材、高新电子、</w:t>
                  </w:r>
                  <w:r>
                    <w:rPr>
                      <w:rFonts w:hint="eastAsia" w:eastAsiaTheme="minorEastAsia"/>
                      <w:color w:val="auto"/>
                      <w:szCs w:val="21"/>
                      <w:lang w:eastAsia="zh-CN"/>
                    </w:rPr>
                    <w:t>特色</w:t>
                  </w:r>
                  <w:r>
                    <w:rPr>
                      <w:rFonts w:eastAsiaTheme="minorEastAsia"/>
                      <w:color w:val="auto"/>
                      <w:szCs w:val="21"/>
                    </w:rPr>
                    <w:t>化纤、纺织印染。</w:t>
                  </w:r>
                </w:p>
                <w:p w14:paraId="2F0F7C62">
                  <w:pPr>
                    <w:adjustRightInd w:val="0"/>
                    <w:snapToGrid w:val="0"/>
                    <w:jc w:val="left"/>
                    <w:rPr>
                      <w:rFonts w:eastAsiaTheme="minorEastAsia"/>
                      <w:color w:val="auto"/>
                      <w:szCs w:val="21"/>
                    </w:rPr>
                  </w:pPr>
                  <w:r>
                    <w:rPr>
                      <w:rFonts w:hint="eastAsia" w:eastAsiaTheme="minorEastAsia"/>
                      <w:color w:val="auto"/>
                      <w:szCs w:val="21"/>
                      <w:lang w:eastAsia="zh-CN"/>
                    </w:rPr>
                    <w:t>（</w:t>
                  </w:r>
                  <w:r>
                    <w:rPr>
                      <w:rFonts w:eastAsiaTheme="minorEastAsia"/>
                      <w:color w:val="auto"/>
                      <w:szCs w:val="21"/>
                    </w:rPr>
                    <w:t>2</w:t>
                  </w:r>
                  <w:r>
                    <w:rPr>
                      <w:rFonts w:hint="eastAsia" w:eastAsiaTheme="minorEastAsia"/>
                      <w:color w:val="auto"/>
                      <w:szCs w:val="21"/>
                      <w:lang w:eastAsia="zh-CN"/>
                    </w:rPr>
                    <w:t>）</w:t>
                  </w:r>
                  <w:r>
                    <w:rPr>
                      <w:rFonts w:eastAsiaTheme="minorEastAsia"/>
                      <w:color w:val="auto"/>
                      <w:szCs w:val="21"/>
                    </w:rPr>
                    <w:t>限制发展</w:t>
                  </w:r>
                  <w:r>
                    <w:rPr>
                      <w:rFonts w:hint="eastAsia" w:eastAsiaTheme="minorEastAsia"/>
                      <w:color w:val="auto"/>
                      <w:szCs w:val="21"/>
                      <w:lang w:eastAsia="zh-CN"/>
                    </w:rPr>
                    <w:t>：</w:t>
                  </w:r>
                  <w:r>
                    <w:rPr>
                      <w:rFonts w:eastAsiaTheme="minorEastAsia"/>
                      <w:color w:val="auto"/>
                      <w:szCs w:val="21"/>
                    </w:rPr>
                    <w:t>高新电子（线路板）限于电子产业园建设；纺织印染</w:t>
                  </w:r>
                  <w:r>
                    <w:rPr>
                      <w:rFonts w:hint="eastAsia" w:eastAsiaTheme="minorEastAsia"/>
                      <w:color w:val="auto"/>
                      <w:szCs w:val="21"/>
                      <w:lang w:eastAsia="zh-CN"/>
                    </w:rPr>
                    <w:t>（</w:t>
                  </w:r>
                  <w:r>
                    <w:rPr>
                      <w:rFonts w:eastAsiaTheme="minorEastAsia"/>
                      <w:color w:val="auto"/>
                      <w:szCs w:val="21"/>
                    </w:rPr>
                    <w:t>大中型印染</w:t>
                  </w:r>
                  <w:r>
                    <w:rPr>
                      <w:rFonts w:hint="eastAsia" w:eastAsiaTheme="minorEastAsia"/>
                      <w:color w:val="auto"/>
                      <w:szCs w:val="21"/>
                      <w:lang w:eastAsia="zh-CN"/>
                    </w:rPr>
                    <w:t>）</w:t>
                  </w:r>
                  <w:r>
                    <w:rPr>
                      <w:rFonts w:eastAsiaTheme="minorEastAsia"/>
                      <w:color w:val="auto"/>
                      <w:szCs w:val="21"/>
                    </w:rPr>
                    <w:t>，总废水量不超过6000吨/天。</w:t>
                  </w:r>
                </w:p>
                <w:p w14:paraId="4E2AFEAA">
                  <w:pPr>
                    <w:adjustRightInd w:val="0"/>
                    <w:snapToGrid w:val="0"/>
                    <w:jc w:val="left"/>
                    <w:rPr>
                      <w:rFonts w:eastAsiaTheme="minorEastAsia"/>
                      <w:color w:val="auto"/>
                      <w:szCs w:val="21"/>
                    </w:rPr>
                  </w:pPr>
                  <w:r>
                    <w:rPr>
                      <w:rFonts w:hint="eastAsia" w:eastAsiaTheme="minorEastAsia"/>
                      <w:color w:val="auto"/>
                      <w:szCs w:val="21"/>
                      <w:lang w:eastAsia="zh-CN"/>
                    </w:rPr>
                    <w:t>（</w:t>
                  </w:r>
                  <w:r>
                    <w:rPr>
                      <w:rFonts w:eastAsiaTheme="minorEastAsia"/>
                      <w:color w:val="auto"/>
                      <w:szCs w:val="21"/>
                    </w:rPr>
                    <w:t>3</w:t>
                  </w:r>
                  <w:r>
                    <w:rPr>
                      <w:rFonts w:hint="eastAsia" w:eastAsiaTheme="minorEastAsia"/>
                      <w:color w:val="auto"/>
                      <w:szCs w:val="21"/>
                      <w:lang w:eastAsia="zh-CN"/>
                    </w:rPr>
                    <w:t>）</w:t>
                  </w:r>
                  <w:r>
                    <w:rPr>
                      <w:rFonts w:eastAsiaTheme="minorEastAsia"/>
                      <w:color w:val="auto"/>
                      <w:szCs w:val="21"/>
                    </w:rPr>
                    <w:t>禁止发展</w:t>
                  </w:r>
                  <w:r>
                    <w:rPr>
                      <w:rFonts w:hint="eastAsia" w:eastAsiaTheme="minorEastAsia"/>
                      <w:color w:val="auto"/>
                      <w:szCs w:val="21"/>
                      <w:lang w:eastAsia="zh-CN"/>
                    </w:rPr>
                    <w:t>：</w:t>
                  </w:r>
                  <w:r>
                    <w:rPr>
                      <w:rFonts w:eastAsiaTheme="minorEastAsia"/>
                      <w:color w:val="auto"/>
                      <w:szCs w:val="21"/>
                    </w:rPr>
                    <w:t>开发区禁止机电轻纺</w:t>
                  </w:r>
                  <w:r>
                    <w:rPr>
                      <w:rFonts w:hint="eastAsia" w:eastAsiaTheme="minorEastAsia"/>
                      <w:color w:val="auto"/>
                      <w:szCs w:val="21"/>
                      <w:lang w:eastAsia="zh-CN"/>
                    </w:rPr>
                    <w:t>（</w:t>
                  </w:r>
                  <w:r>
                    <w:rPr>
                      <w:rFonts w:eastAsiaTheme="minorEastAsia"/>
                      <w:color w:val="auto"/>
                      <w:szCs w:val="21"/>
                    </w:rPr>
                    <w:t>电锁、印染</w:t>
                  </w:r>
                  <w:r>
                    <w:rPr>
                      <w:rFonts w:hint="eastAsia" w:eastAsiaTheme="minorEastAsia"/>
                      <w:color w:val="auto"/>
                      <w:szCs w:val="21"/>
                      <w:lang w:eastAsia="zh-CN"/>
                    </w:rPr>
                    <w:t>）</w:t>
                  </w:r>
                  <w:r>
                    <w:rPr>
                      <w:rFonts w:eastAsiaTheme="minorEastAsia"/>
                      <w:color w:val="auto"/>
                      <w:szCs w:val="21"/>
                    </w:rPr>
                    <w:t>；食品医药</w:t>
                  </w:r>
                  <w:r>
                    <w:rPr>
                      <w:rFonts w:hint="eastAsia" w:eastAsiaTheme="minorEastAsia"/>
                      <w:color w:val="auto"/>
                      <w:szCs w:val="21"/>
                      <w:lang w:eastAsia="zh-CN"/>
                    </w:rPr>
                    <w:t>（</w:t>
                  </w:r>
                  <w:r>
                    <w:rPr>
                      <w:rFonts w:eastAsiaTheme="minorEastAsia"/>
                      <w:color w:val="auto"/>
                      <w:szCs w:val="21"/>
                    </w:rPr>
                    <w:t>原药、医药中间体</w:t>
                  </w:r>
                  <w:r>
                    <w:rPr>
                      <w:rFonts w:hint="eastAsia" w:eastAsiaTheme="minorEastAsia"/>
                      <w:color w:val="auto"/>
                      <w:szCs w:val="21"/>
                      <w:lang w:eastAsia="zh-CN"/>
                    </w:rPr>
                    <w:t>）</w:t>
                  </w:r>
                  <w:r>
                    <w:rPr>
                      <w:rFonts w:eastAsiaTheme="minorEastAsia"/>
                      <w:color w:val="auto"/>
                      <w:szCs w:val="21"/>
                    </w:rPr>
                    <w:t>；高新电子</w:t>
                  </w:r>
                  <w:r>
                    <w:rPr>
                      <w:rFonts w:hint="eastAsia" w:eastAsiaTheme="minorEastAsia"/>
                      <w:color w:val="auto"/>
                      <w:szCs w:val="21"/>
                      <w:lang w:eastAsia="zh-CN"/>
                    </w:rPr>
                    <w:t>（</w:t>
                  </w:r>
                  <w:r>
                    <w:rPr>
                      <w:rFonts w:eastAsiaTheme="minorEastAsia"/>
                      <w:color w:val="auto"/>
                      <w:szCs w:val="21"/>
                    </w:rPr>
                    <w:t>电镀</w:t>
                  </w:r>
                  <w:r>
                    <w:rPr>
                      <w:rFonts w:hint="eastAsia" w:eastAsiaTheme="minorEastAsia"/>
                      <w:color w:val="auto"/>
                      <w:szCs w:val="21"/>
                      <w:lang w:eastAsia="zh-CN"/>
                    </w:rPr>
                    <w:t>）</w:t>
                  </w:r>
                  <w:r>
                    <w:rPr>
                      <w:rFonts w:eastAsiaTheme="minorEastAsia"/>
                      <w:color w:val="auto"/>
                      <w:szCs w:val="21"/>
                    </w:rPr>
                    <w:t>；特种化纤</w:t>
                  </w:r>
                  <w:r>
                    <w:rPr>
                      <w:rFonts w:hint="eastAsia" w:eastAsiaTheme="minorEastAsia"/>
                      <w:color w:val="auto"/>
                      <w:szCs w:val="21"/>
                      <w:lang w:eastAsia="zh-CN"/>
                    </w:rPr>
                    <w:t>（</w:t>
                  </w:r>
                  <w:r>
                    <w:rPr>
                      <w:rFonts w:eastAsiaTheme="minorEastAsia"/>
                      <w:color w:val="auto"/>
                      <w:szCs w:val="21"/>
                    </w:rPr>
                    <w:t>化纤原料生产</w:t>
                  </w:r>
                  <w:r>
                    <w:rPr>
                      <w:rFonts w:hint="eastAsia" w:eastAsiaTheme="minorEastAsia"/>
                      <w:color w:val="auto"/>
                      <w:szCs w:val="21"/>
                      <w:lang w:eastAsia="zh-CN"/>
                    </w:rPr>
                    <w:t>）</w:t>
                  </w:r>
                  <w:r>
                    <w:rPr>
                      <w:rFonts w:eastAsiaTheme="minorEastAsia"/>
                      <w:color w:val="auto"/>
                      <w:szCs w:val="21"/>
                    </w:rPr>
                    <w:t>；新型建材</w:t>
                  </w:r>
                  <w:r>
                    <w:rPr>
                      <w:rFonts w:hint="eastAsia" w:eastAsiaTheme="minorEastAsia"/>
                      <w:color w:val="auto"/>
                      <w:szCs w:val="21"/>
                      <w:lang w:eastAsia="zh-CN"/>
                    </w:rPr>
                    <w:t>（</w:t>
                  </w:r>
                  <w:r>
                    <w:rPr>
                      <w:rFonts w:eastAsiaTheme="minorEastAsia"/>
                      <w:color w:val="auto"/>
                      <w:szCs w:val="21"/>
                    </w:rPr>
                    <w:t>水泥</w:t>
                  </w:r>
                  <w:r>
                    <w:rPr>
                      <w:rFonts w:hint="eastAsia" w:eastAsiaTheme="minorEastAsia"/>
                      <w:color w:val="auto"/>
                      <w:szCs w:val="21"/>
                      <w:lang w:eastAsia="zh-CN"/>
                    </w:rPr>
                    <w:t>）</w:t>
                  </w:r>
                  <w:r>
                    <w:rPr>
                      <w:rFonts w:eastAsiaTheme="minorEastAsia"/>
                      <w:color w:val="auto"/>
                      <w:szCs w:val="21"/>
                    </w:rPr>
                    <w:t>；机械制造</w:t>
                  </w:r>
                  <w:r>
                    <w:rPr>
                      <w:rFonts w:hint="eastAsia" w:eastAsiaTheme="minorEastAsia"/>
                      <w:color w:val="auto"/>
                      <w:szCs w:val="21"/>
                      <w:lang w:eastAsia="zh-CN"/>
                    </w:rPr>
                    <w:t>（</w:t>
                  </w:r>
                  <w:r>
                    <w:rPr>
                      <w:rFonts w:eastAsiaTheme="minorEastAsia"/>
                      <w:color w:val="auto"/>
                      <w:szCs w:val="21"/>
                    </w:rPr>
                    <w:t>电镀</w:t>
                  </w:r>
                  <w:r>
                    <w:rPr>
                      <w:rFonts w:hint="eastAsia" w:eastAsiaTheme="minorEastAsia"/>
                      <w:color w:val="auto"/>
                      <w:szCs w:val="21"/>
                      <w:lang w:eastAsia="zh-CN"/>
                    </w:rPr>
                    <w:t>）</w:t>
                  </w:r>
                  <w:r>
                    <w:rPr>
                      <w:rFonts w:eastAsiaTheme="minorEastAsia"/>
                      <w:color w:val="auto"/>
                      <w:szCs w:val="21"/>
                    </w:rPr>
                    <w:t>；纺织印染</w:t>
                  </w:r>
                  <w:r>
                    <w:rPr>
                      <w:rFonts w:hint="eastAsia" w:eastAsiaTheme="minorEastAsia"/>
                      <w:color w:val="auto"/>
                      <w:szCs w:val="21"/>
                      <w:lang w:eastAsia="zh-CN"/>
                    </w:rPr>
                    <w:t>（</w:t>
                  </w:r>
                  <w:r>
                    <w:rPr>
                      <w:rFonts w:eastAsiaTheme="minorEastAsia"/>
                      <w:color w:val="auto"/>
                      <w:szCs w:val="21"/>
                    </w:rPr>
                    <w:t>小型印染</w:t>
                  </w:r>
                  <w:r>
                    <w:rPr>
                      <w:rFonts w:hint="eastAsia" w:eastAsiaTheme="minorEastAsia"/>
                      <w:color w:val="auto"/>
                      <w:szCs w:val="21"/>
                      <w:lang w:eastAsia="zh-CN"/>
                    </w:rPr>
                    <w:t>）</w:t>
                  </w:r>
                  <w:r>
                    <w:rPr>
                      <w:rFonts w:eastAsiaTheme="minorEastAsia"/>
                      <w:color w:val="auto"/>
                      <w:szCs w:val="21"/>
                    </w:rPr>
                    <w:t>。</w:t>
                  </w:r>
                </w:p>
              </w:tc>
              <w:tc>
                <w:tcPr>
                  <w:tcW w:w="2035" w:type="pct"/>
                  <w:tcBorders>
                    <w:top w:val="single" w:color="auto" w:sz="4" w:space="0"/>
                    <w:left w:val="single" w:color="auto" w:sz="4" w:space="0"/>
                    <w:bottom w:val="single" w:color="auto" w:sz="4" w:space="0"/>
                    <w:right w:val="single" w:color="auto" w:sz="4" w:space="0"/>
                  </w:tcBorders>
                  <w:vAlign w:val="center"/>
                </w:tcPr>
                <w:p w14:paraId="3151E856">
                  <w:pPr>
                    <w:adjustRightInd w:val="0"/>
                    <w:snapToGrid w:val="0"/>
                    <w:jc w:val="left"/>
                    <w:rPr>
                      <w:rFonts w:eastAsiaTheme="minorEastAsia"/>
                      <w:color w:val="auto"/>
                      <w:szCs w:val="21"/>
                    </w:rPr>
                  </w:pPr>
                  <w:r>
                    <w:rPr>
                      <w:rFonts w:hint="eastAsia" w:hAnsiTheme="minorEastAsia" w:eastAsiaTheme="minorEastAsia"/>
                      <w:color w:val="auto"/>
                      <w:szCs w:val="21"/>
                      <w:lang w:eastAsia="zh-CN"/>
                    </w:rPr>
                    <w:t>扩建</w:t>
                  </w:r>
                  <w:r>
                    <w:rPr>
                      <w:rFonts w:hAnsiTheme="minorEastAsia" w:eastAsiaTheme="minorEastAsia"/>
                      <w:color w:val="auto"/>
                      <w:szCs w:val="21"/>
                    </w:rPr>
                    <w:t>项目为</w:t>
                  </w:r>
                  <w:r>
                    <w:rPr>
                      <w:rFonts w:hint="default" w:ascii="Times New Roman" w:hAnsi="Times New Roman" w:eastAsia="宋体" w:cs="Times New Roman"/>
                      <w:color w:val="auto"/>
                      <w:sz w:val="21"/>
                      <w:szCs w:val="21"/>
                    </w:rPr>
                    <w:t>预制水产及肉类</w:t>
                  </w:r>
                  <w:r>
                    <w:rPr>
                      <w:rFonts w:hint="eastAsia" w:ascii="Times New Roman" w:hAnsi="Times New Roman" w:cs="Times New Roman"/>
                      <w:color w:val="auto"/>
                      <w:sz w:val="21"/>
                      <w:szCs w:val="21"/>
                      <w:lang w:eastAsia="zh-CN"/>
                    </w:rPr>
                    <w:t>生产</w:t>
                  </w:r>
                  <w:r>
                    <w:rPr>
                      <w:color w:val="auto"/>
                      <w:szCs w:val="21"/>
                    </w:rPr>
                    <w:t>项目</w:t>
                  </w:r>
                  <w:r>
                    <w:rPr>
                      <w:rFonts w:hAnsiTheme="minorEastAsia" w:eastAsiaTheme="minorEastAsia"/>
                      <w:color w:val="auto"/>
                      <w:szCs w:val="21"/>
                    </w:rPr>
                    <w:t>，不属于所述限制和禁止类产业</w:t>
                  </w:r>
                </w:p>
              </w:tc>
              <w:tc>
                <w:tcPr>
                  <w:tcW w:w="698" w:type="pct"/>
                  <w:tcBorders>
                    <w:top w:val="single" w:color="auto" w:sz="4" w:space="0"/>
                    <w:left w:val="single" w:color="auto" w:sz="4" w:space="0"/>
                    <w:bottom w:val="single" w:color="auto" w:sz="4" w:space="0"/>
                    <w:right w:val="nil"/>
                  </w:tcBorders>
                  <w:vAlign w:val="center"/>
                </w:tcPr>
                <w:p w14:paraId="21F461BC">
                  <w:pPr>
                    <w:adjustRightInd w:val="0"/>
                    <w:snapToGrid w:val="0"/>
                    <w:jc w:val="center"/>
                    <w:rPr>
                      <w:rFonts w:eastAsiaTheme="minorEastAsia"/>
                      <w:color w:val="auto"/>
                      <w:szCs w:val="21"/>
                    </w:rPr>
                  </w:pPr>
                  <w:r>
                    <w:rPr>
                      <w:rFonts w:hAnsiTheme="minorEastAsia" w:eastAsiaTheme="minorEastAsia"/>
                      <w:color w:val="auto"/>
                      <w:szCs w:val="21"/>
                    </w:rPr>
                    <w:t>相符</w:t>
                  </w:r>
                </w:p>
              </w:tc>
            </w:tr>
            <w:tr w14:paraId="34C187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8" w:type="pct"/>
                  <w:tcBorders>
                    <w:top w:val="single" w:color="auto" w:sz="4" w:space="0"/>
                    <w:left w:val="nil"/>
                    <w:bottom w:val="single" w:color="auto" w:sz="4" w:space="0"/>
                    <w:right w:val="single" w:color="auto" w:sz="4" w:space="0"/>
                  </w:tcBorders>
                  <w:vAlign w:val="center"/>
                </w:tcPr>
                <w:p w14:paraId="1BB1FC23">
                  <w:pPr>
                    <w:adjustRightInd w:val="0"/>
                    <w:snapToGrid w:val="0"/>
                    <w:jc w:val="center"/>
                    <w:rPr>
                      <w:rFonts w:eastAsiaTheme="minorEastAsia"/>
                      <w:color w:val="auto"/>
                      <w:szCs w:val="21"/>
                    </w:rPr>
                  </w:pPr>
                  <w:r>
                    <w:rPr>
                      <w:rFonts w:hAnsiTheme="minorEastAsia" w:eastAsiaTheme="minorEastAsia"/>
                      <w:color w:val="auto"/>
                      <w:szCs w:val="21"/>
                    </w:rPr>
                    <w:t>污染物排放管控</w:t>
                  </w:r>
                </w:p>
              </w:tc>
              <w:tc>
                <w:tcPr>
                  <w:tcW w:w="1809" w:type="pct"/>
                  <w:tcBorders>
                    <w:top w:val="single" w:color="auto" w:sz="4" w:space="0"/>
                    <w:left w:val="single" w:color="auto" w:sz="4" w:space="0"/>
                    <w:bottom w:val="single" w:color="auto" w:sz="4" w:space="0"/>
                    <w:right w:val="single" w:color="auto" w:sz="4" w:space="0"/>
                  </w:tcBorders>
                  <w:vAlign w:val="center"/>
                </w:tcPr>
                <w:p w14:paraId="1B1A0070">
                  <w:pPr>
                    <w:adjustRightInd w:val="0"/>
                    <w:snapToGrid w:val="0"/>
                    <w:rPr>
                      <w:color w:val="auto"/>
                      <w:szCs w:val="21"/>
                    </w:rPr>
                  </w:pPr>
                  <w:r>
                    <w:rPr>
                      <w:rFonts w:hint="eastAsia"/>
                      <w:color w:val="auto"/>
                      <w:szCs w:val="21"/>
                      <w:lang w:eastAsia="zh-CN"/>
                    </w:rPr>
                    <w:t>（</w:t>
                  </w:r>
                  <w:r>
                    <w:rPr>
                      <w:color w:val="auto"/>
                      <w:szCs w:val="21"/>
                    </w:rPr>
                    <w:t>1</w:t>
                  </w:r>
                  <w:r>
                    <w:rPr>
                      <w:rFonts w:hint="eastAsia"/>
                      <w:color w:val="auto"/>
                      <w:szCs w:val="21"/>
                      <w:lang w:eastAsia="zh-CN"/>
                    </w:rPr>
                    <w:t>）</w:t>
                  </w:r>
                  <w:r>
                    <w:rPr>
                      <w:color w:val="auto"/>
                      <w:szCs w:val="21"/>
                    </w:rPr>
                    <w:t>大气污染物排放总量</w:t>
                  </w:r>
                  <w:r>
                    <w:rPr>
                      <w:rFonts w:hint="eastAsia"/>
                      <w:color w:val="auto"/>
                      <w:szCs w:val="21"/>
                      <w:lang w:eastAsia="zh-CN"/>
                    </w:rPr>
                    <w:t>：</w:t>
                  </w:r>
                  <w:r>
                    <w:rPr>
                      <w:color w:val="auto"/>
                      <w:szCs w:val="21"/>
                    </w:rPr>
                    <w:t>开发区二氧化硫415.07吨/年，烟</w:t>
                  </w:r>
                  <w:r>
                    <w:rPr>
                      <w:rFonts w:hint="eastAsia"/>
                      <w:color w:val="auto"/>
                      <w:szCs w:val="21"/>
                      <w:lang w:eastAsia="zh-CN"/>
                    </w:rPr>
                    <w:t>（</w:t>
                  </w:r>
                  <w:r>
                    <w:rPr>
                      <w:color w:val="auto"/>
                      <w:szCs w:val="21"/>
                    </w:rPr>
                    <w:t>粉</w:t>
                  </w:r>
                  <w:r>
                    <w:rPr>
                      <w:rFonts w:hint="eastAsia"/>
                      <w:color w:val="auto"/>
                      <w:szCs w:val="21"/>
                      <w:lang w:eastAsia="zh-CN"/>
                    </w:rPr>
                    <w:t>）</w:t>
                  </w:r>
                  <w:r>
                    <w:rPr>
                      <w:color w:val="auto"/>
                      <w:szCs w:val="21"/>
                    </w:rPr>
                    <w:t>尘69.81吨</w:t>
                  </w:r>
                  <w:r>
                    <w:rPr>
                      <w:rFonts w:hint="eastAsia"/>
                      <w:color w:val="auto"/>
                      <w:szCs w:val="21"/>
                    </w:rPr>
                    <w:t>/</w:t>
                  </w:r>
                  <w:r>
                    <w:rPr>
                      <w:color w:val="auto"/>
                      <w:szCs w:val="21"/>
                    </w:rPr>
                    <w:t>年，硫酸雾2.38吨/年，苯4.34吨/年，甲苯1.01吨/年，甲醛17.11吨/年，氯化氢6.66吨/年。</w:t>
                  </w:r>
                </w:p>
                <w:p w14:paraId="60AC88F4">
                  <w:pPr>
                    <w:adjustRightInd w:val="0"/>
                    <w:snapToGrid w:val="0"/>
                    <w:jc w:val="left"/>
                    <w:rPr>
                      <w:rFonts w:eastAsiaTheme="minorEastAsia"/>
                      <w:color w:val="auto"/>
                      <w:szCs w:val="21"/>
                    </w:rPr>
                  </w:pPr>
                  <w:r>
                    <w:rPr>
                      <w:rFonts w:hint="eastAsia"/>
                      <w:color w:val="auto"/>
                      <w:szCs w:val="21"/>
                      <w:lang w:eastAsia="zh-CN"/>
                    </w:rPr>
                    <w:t>（</w:t>
                  </w:r>
                  <w:r>
                    <w:rPr>
                      <w:color w:val="auto"/>
                      <w:szCs w:val="21"/>
                    </w:rPr>
                    <w:t>2</w:t>
                  </w:r>
                  <w:r>
                    <w:rPr>
                      <w:rFonts w:hint="eastAsia"/>
                      <w:color w:val="auto"/>
                      <w:szCs w:val="21"/>
                      <w:lang w:eastAsia="zh-CN"/>
                    </w:rPr>
                    <w:t>）</w:t>
                  </w:r>
                  <w:r>
                    <w:rPr>
                      <w:color w:val="auto"/>
                      <w:szCs w:val="21"/>
                    </w:rPr>
                    <w:t>水污染物排放总量</w:t>
                  </w:r>
                  <w:r>
                    <w:rPr>
                      <w:rFonts w:hint="eastAsia"/>
                      <w:color w:val="auto"/>
                      <w:szCs w:val="21"/>
                      <w:lang w:eastAsia="zh-CN"/>
                    </w:rPr>
                    <w:t>：</w:t>
                  </w:r>
                  <w:r>
                    <w:rPr>
                      <w:color w:val="auto"/>
                      <w:szCs w:val="21"/>
                    </w:rPr>
                    <w:t>西区化学需氧量462.77吨/年，悬浮物154.26吨/年，氨氮61.7吨/年，总磷7.71吨/年，石油类23.14吨/年。</w:t>
                  </w:r>
                </w:p>
              </w:tc>
              <w:tc>
                <w:tcPr>
                  <w:tcW w:w="2035" w:type="pct"/>
                  <w:tcBorders>
                    <w:top w:val="single" w:color="auto" w:sz="4" w:space="0"/>
                    <w:left w:val="single" w:color="auto" w:sz="4" w:space="0"/>
                    <w:bottom w:val="single" w:color="auto" w:sz="4" w:space="0"/>
                    <w:right w:val="single" w:color="auto" w:sz="4" w:space="0"/>
                  </w:tcBorders>
                  <w:vAlign w:val="center"/>
                </w:tcPr>
                <w:p w14:paraId="038F847F">
                  <w:pPr>
                    <w:adjustRightInd w:val="0"/>
                    <w:snapToGrid w:val="0"/>
                    <w:rPr>
                      <w:rFonts w:eastAsiaTheme="minorEastAsia"/>
                      <w:color w:val="auto"/>
                      <w:szCs w:val="21"/>
                    </w:rPr>
                  </w:pPr>
                  <w:r>
                    <w:rPr>
                      <w:rFonts w:hint="eastAsia" w:hAnsiTheme="minorEastAsia" w:eastAsiaTheme="minorEastAsia"/>
                      <w:color w:val="auto"/>
                      <w:szCs w:val="21"/>
                      <w:lang w:eastAsia="zh-CN"/>
                    </w:rPr>
                    <w:t>扩建</w:t>
                  </w:r>
                  <w:r>
                    <w:rPr>
                      <w:rFonts w:hAnsiTheme="minorEastAsia" w:eastAsiaTheme="minorEastAsia"/>
                      <w:color w:val="auto"/>
                      <w:szCs w:val="21"/>
                    </w:rPr>
                    <w:t>项目</w:t>
                  </w:r>
                  <w:r>
                    <w:rPr>
                      <w:color w:val="auto"/>
                      <w:szCs w:val="21"/>
                    </w:rPr>
                    <w:t>生产废水</w:t>
                  </w:r>
                  <w:r>
                    <w:rPr>
                      <w:rFonts w:hint="eastAsia"/>
                      <w:color w:val="auto"/>
                      <w:szCs w:val="21"/>
                      <w:lang w:eastAsia="zh-CN"/>
                    </w:rPr>
                    <w:t>经过厂区污水站处理后接管涟水经济开发区西区污水处理厂</w:t>
                  </w:r>
                  <w:r>
                    <w:rPr>
                      <w:color w:val="auto"/>
                      <w:szCs w:val="21"/>
                    </w:rPr>
                    <w:t>，</w:t>
                  </w:r>
                  <w:r>
                    <w:rPr>
                      <w:color w:val="auto"/>
                      <w:kern w:val="0"/>
                      <w:szCs w:val="21"/>
                    </w:rPr>
                    <w:t>总量纳入涟水经济技术开发区西区</w:t>
                  </w:r>
                  <w:r>
                    <w:rPr>
                      <w:rFonts w:hint="eastAsia"/>
                      <w:color w:val="auto"/>
                      <w:kern w:val="0"/>
                      <w:szCs w:val="21"/>
                      <w:lang w:eastAsia="zh-CN"/>
                    </w:rPr>
                    <w:t>污水处理厂</w:t>
                  </w:r>
                  <w:r>
                    <w:rPr>
                      <w:color w:val="auto"/>
                      <w:kern w:val="0"/>
                      <w:szCs w:val="21"/>
                    </w:rPr>
                    <w:t>剩余总量；</w:t>
                  </w:r>
                  <w:r>
                    <w:rPr>
                      <w:rFonts w:hint="eastAsia"/>
                      <w:color w:val="auto"/>
                      <w:kern w:val="0"/>
                      <w:szCs w:val="21"/>
                      <w:lang w:eastAsia="zh-CN"/>
                    </w:rPr>
                    <w:t>扩建项目不涉及</w:t>
                  </w:r>
                  <w:r>
                    <w:rPr>
                      <w:color w:val="auto"/>
                      <w:szCs w:val="21"/>
                    </w:rPr>
                    <w:t>新增废气污染物</w:t>
                  </w:r>
                  <w:r>
                    <w:rPr>
                      <w:rFonts w:hint="eastAsia"/>
                      <w:color w:val="auto"/>
                      <w:szCs w:val="21"/>
                      <w:lang w:eastAsia="zh-CN"/>
                    </w:rPr>
                    <w:t>无</w:t>
                  </w:r>
                  <w:r>
                    <w:rPr>
                      <w:color w:val="auto"/>
                      <w:szCs w:val="21"/>
                    </w:rPr>
                    <w:t>需向淮安市涟水生态环境局申请总量</w:t>
                  </w:r>
                  <w:r>
                    <w:rPr>
                      <w:bCs/>
                      <w:color w:val="auto"/>
                      <w:kern w:val="0"/>
                      <w:szCs w:val="21"/>
                    </w:rPr>
                    <w:t>。</w:t>
                  </w:r>
                </w:p>
              </w:tc>
              <w:tc>
                <w:tcPr>
                  <w:tcW w:w="698" w:type="pct"/>
                  <w:tcBorders>
                    <w:top w:val="single" w:color="auto" w:sz="4" w:space="0"/>
                    <w:left w:val="single" w:color="auto" w:sz="4" w:space="0"/>
                    <w:bottom w:val="single" w:color="auto" w:sz="4" w:space="0"/>
                    <w:right w:val="nil"/>
                  </w:tcBorders>
                  <w:vAlign w:val="center"/>
                </w:tcPr>
                <w:p w14:paraId="2123FA77">
                  <w:pPr>
                    <w:adjustRightInd w:val="0"/>
                    <w:snapToGrid w:val="0"/>
                    <w:jc w:val="center"/>
                    <w:rPr>
                      <w:rFonts w:eastAsiaTheme="minorEastAsia"/>
                      <w:color w:val="auto"/>
                      <w:szCs w:val="21"/>
                    </w:rPr>
                  </w:pPr>
                  <w:r>
                    <w:rPr>
                      <w:rFonts w:hAnsiTheme="minorEastAsia" w:eastAsiaTheme="minorEastAsia"/>
                      <w:color w:val="auto"/>
                      <w:szCs w:val="21"/>
                    </w:rPr>
                    <w:t>相符</w:t>
                  </w:r>
                </w:p>
              </w:tc>
            </w:tr>
            <w:tr w14:paraId="3C3CCE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8" w:type="pct"/>
                  <w:tcBorders>
                    <w:top w:val="single" w:color="auto" w:sz="4" w:space="0"/>
                    <w:left w:val="nil"/>
                    <w:bottom w:val="single" w:color="auto" w:sz="4" w:space="0"/>
                    <w:right w:val="single" w:color="auto" w:sz="4" w:space="0"/>
                  </w:tcBorders>
                  <w:vAlign w:val="center"/>
                </w:tcPr>
                <w:p w14:paraId="3B12640F">
                  <w:pPr>
                    <w:adjustRightInd w:val="0"/>
                    <w:snapToGrid w:val="0"/>
                    <w:jc w:val="center"/>
                    <w:rPr>
                      <w:rFonts w:eastAsiaTheme="minorEastAsia"/>
                      <w:color w:val="auto"/>
                      <w:szCs w:val="21"/>
                    </w:rPr>
                  </w:pPr>
                  <w:r>
                    <w:rPr>
                      <w:rFonts w:hAnsiTheme="minorEastAsia" w:eastAsiaTheme="minorEastAsia"/>
                      <w:color w:val="auto"/>
                      <w:szCs w:val="21"/>
                    </w:rPr>
                    <w:t>环境风险防控</w:t>
                  </w:r>
                </w:p>
              </w:tc>
              <w:tc>
                <w:tcPr>
                  <w:tcW w:w="1809" w:type="pct"/>
                  <w:tcBorders>
                    <w:top w:val="single" w:color="auto" w:sz="4" w:space="0"/>
                    <w:left w:val="single" w:color="auto" w:sz="4" w:space="0"/>
                    <w:bottom w:val="single" w:color="auto" w:sz="4" w:space="0"/>
                    <w:right w:val="single" w:color="auto" w:sz="4" w:space="0"/>
                  </w:tcBorders>
                  <w:vAlign w:val="center"/>
                </w:tcPr>
                <w:p w14:paraId="09F1947E">
                  <w:pPr>
                    <w:adjustRightInd w:val="0"/>
                    <w:snapToGrid w:val="0"/>
                    <w:jc w:val="center"/>
                    <w:rPr>
                      <w:color w:val="auto"/>
                      <w:szCs w:val="21"/>
                    </w:rPr>
                  </w:pPr>
                  <w:r>
                    <w:rPr>
                      <w:rFonts w:hint="eastAsia"/>
                      <w:color w:val="auto"/>
                      <w:kern w:val="0"/>
                      <w:szCs w:val="21"/>
                      <w:lang w:eastAsia="zh-CN"/>
                    </w:rPr>
                    <w:t>（</w:t>
                  </w:r>
                  <w:r>
                    <w:rPr>
                      <w:color w:val="auto"/>
                      <w:kern w:val="0"/>
                      <w:szCs w:val="21"/>
                    </w:rPr>
                    <w:t>1</w:t>
                  </w:r>
                  <w:r>
                    <w:rPr>
                      <w:rFonts w:hint="eastAsia"/>
                      <w:color w:val="auto"/>
                      <w:kern w:val="0"/>
                      <w:szCs w:val="21"/>
                      <w:lang w:eastAsia="zh-CN"/>
                    </w:rPr>
                    <w:t>）</w:t>
                  </w:r>
                  <w:r>
                    <w:rPr>
                      <w:rFonts w:hAnsi="宋体"/>
                      <w:color w:val="auto"/>
                      <w:kern w:val="0"/>
                      <w:szCs w:val="21"/>
                    </w:rPr>
                    <w:t>开发区及区内居住区边界应设置不小于</w:t>
                  </w:r>
                  <w:r>
                    <w:rPr>
                      <w:color w:val="auto"/>
                      <w:kern w:val="0"/>
                      <w:szCs w:val="21"/>
                    </w:rPr>
                    <w:t>100</w:t>
                  </w:r>
                  <w:r>
                    <w:rPr>
                      <w:rFonts w:hAnsi="宋体"/>
                      <w:color w:val="auto"/>
                      <w:kern w:val="0"/>
                      <w:szCs w:val="21"/>
                    </w:rPr>
                    <w:t>米的生态防护隔离带</w:t>
                  </w:r>
                  <w:r>
                    <w:rPr>
                      <w:rFonts w:hint="eastAsia" w:hAnsi="宋体"/>
                      <w:color w:val="auto"/>
                      <w:kern w:val="0"/>
                      <w:szCs w:val="21"/>
                      <w:lang w:eastAsia="zh-CN"/>
                    </w:rPr>
                    <w:t>（</w:t>
                  </w:r>
                  <w:r>
                    <w:rPr>
                      <w:color w:val="auto"/>
                      <w:kern w:val="0"/>
                      <w:szCs w:val="21"/>
                    </w:rPr>
                    <w:t>2</w:t>
                  </w:r>
                  <w:r>
                    <w:rPr>
                      <w:rFonts w:hint="eastAsia"/>
                      <w:color w:val="auto"/>
                      <w:kern w:val="0"/>
                      <w:szCs w:val="21"/>
                      <w:lang w:eastAsia="zh-CN"/>
                    </w:rPr>
                    <w:t>）</w:t>
                  </w:r>
                  <w:r>
                    <w:rPr>
                      <w:rFonts w:hAnsi="宋体"/>
                      <w:color w:val="auto"/>
                      <w:kern w:val="0"/>
                      <w:szCs w:val="21"/>
                    </w:rPr>
                    <w:t>开发区及入区企业均应制定并落实各类事故风险防范措施及应急预案。区内各企业须按规范要求建设贮存、使用危险化学品的生产装置，杜绝泄漏物料进入环境</w:t>
                  </w:r>
                  <w:r>
                    <w:rPr>
                      <w:rFonts w:hAnsi="宋体"/>
                      <w:color w:val="auto"/>
                      <w:szCs w:val="21"/>
                    </w:rPr>
                    <w:t>；</w:t>
                  </w:r>
                  <w:r>
                    <w:rPr>
                      <w:rFonts w:hAnsi="宋体"/>
                      <w:color w:val="auto"/>
                      <w:kern w:val="0"/>
                      <w:szCs w:val="21"/>
                    </w:rPr>
                    <w:t>储备</w:t>
                  </w:r>
                  <w:r>
                    <w:rPr>
                      <w:rFonts w:hint="eastAsia" w:hAnsi="宋体"/>
                      <w:color w:val="auto"/>
                      <w:kern w:val="0"/>
                      <w:szCs w:val="21"/>
                      <w:lang w:eastAsia="zh-CN"/>
                    </w:rPr>
                    <w:t>必需的</w:t>
                  </w:r>
                  <w:r>
                    <w:rPr>
                      <w:rFonts w:hAnsi="宋体"/>
                      <w:color w:val="auto"/>
                      <w:kern w:val="0"/>
                      <w:szCs w:val="21"/>
                    </w:rPr>
                    <w:t>设备物资，并定期组织实战演练，最大限度地防止和减轻事故的危害，确保</w:t>
                  </w:r>
                  <w:r>
                    <w:rPr>
                      <w:rFonts w:hint="eastAsia" w:hAnsi="宋体"/>
                      <w:color w:val="auto"/>
                      <w:kern w:val="0"/>
                      <w:szCs w:val="21"/>
                      <w:lang w:eastAsia="zh-CN"/>
                    </w:rPr>
                    <w:t>易发</w:t>
                  </w:r>
                  <w:r>
                    <w:rPr>
                      <w:rFonts w:hAnsi="宋体"/>
                      <w:color w:val="auto"/>
                      <w:kern w:val="0"/>
                      <w:szCs w:val="21"/>
                    </w:rPr>
                    <w:t>区环境安全。排放工业废水的企业应设置足够容量的事故污水池，严禁污水超标排放</w:t>
                  </w:r>
                  <w:r>
                    <w:rPr>
                      <w:rFonts w:hAnsi="宋体"/>
                      <w:color w:val="auto"/>
                      <w:szCs w:val="21"/>
                    </w:rPr>
                    <w:t>。</w:t>
                  </w:r>
                </w:p>
              </w:tc>
              <w:tc>
                <w:tcPr>
                  <w:tcW w:w="2035" w:type="pct"/>
                  <w:tcBorders>
                    <w:top w:val="single" w:color="auto" w:sz="4" w:space="0"/>
                    <w:left w:val="single" w:color="auto" w:sz="4" w:space="0"/>
                    <w:bottom w:val="single" w:color="auto" w:sz="4" w:space="0"/>
                    <w:right w:val="single" w:color="auto" w:sz="4" w:space="0"/>
                  </w:tcBorders>
                  <w:vAlign w:val="center"/>
                </w:tcPr>
                <w:p w14:paraId="388A3EDF">
                  <w:pPr>
                    <w:adjustRightInd w:val="0"/>
                    <w:snapToGrid w:val="0"/>
                    <w:jc w:val="left"/>
                    <w:rPr>
                      <w:rFonts w:hAnsiTheme="minorEastAsia" w:eastAsiaTheme="minorEastAsia"/>
                      <w:color w:val="auto"/>
                      <w:szCs w:val="21"/>
                    </w:rPr>
                  </w:pPr>
                  <w:r>
                    <w:rPr>
                      <w:rFonts w:hint="eastAsia" w:hAnsiTheme="minorEastAsia" w:eastAsiaTheme="minorEastAsia"/>
                      <w:color w:val="auto"/>
                      <w:szCs w:val="21"/>
                      <w:lang w:eastAsia="zh-CN"/>
                    </w:rPr>
                    <w:t>扩建</w:t>
                  </w:r>
                  <w:r>
                    <w:rPr>
                      <w:rFonts w:hAnsiTheme="minorEastAsia" w:eastAsiaTheme="minorEastAsia"/>
                      <w:color w:val="auto"/>
                      <w:szCs w:val="21"/>
                    </w:rPr>
                    <w:t>项目</w:t>
                  </w:r>
                  <w:r>
                    <w:rPr>
                      <w:rFonts w:hint="eastAsia" w:hAnsiTheme="minorEastAsia" w:eastAsiaTheme="minorEastAsia"/>
                      <w:color w:val="auto"/>
                      <w:szCs w:val="21"/>
                    </w:rPr>
                    <w:t>位于</w:t>
                  </w:r>
                  <w:r>
                    <w:rPr>
                      <w:rFonts w:hint="eastAsia" w:hAnsiTheme="minorEastAsia" w:eastAsiaTheme="minorEastAsia"/>
                      <w:color w:val="auto"/>
                      <w:szCs w:val="21"/>
                      <w:lang w:eastAsia="zh-CN"/>
                    </w:rPr>
                    <w:t>经济开发区内</w:t>
                  </w:r>
                  <w:r>
                    <w:rPr>
                      <w:rFonts w:hint="eastAsia" w:hAnsiTheme="minorEastAsia" w:eastAsiaTheme="minorEastAsia"/>
                      <w:color w:val="auto"/>
                      <w:szCs w:val="21"/>
                    </w:rPr>
                    <w:t>，按要求规范化建设绿化隔离带</w:t>
                  </w:r>
                  <w:r>
                    <w:rPr>
                      <w:rFonts w:hAnsiTheme="minorEastAsia" w:eastAsiaTheme="minorEastAsia"/>
                      <w:color w:val="auto"/>
                      <w:szCs w:val="21"/>
                    </w:rPr>
                    <w:t>。</w:t>
                  </w:r>
                  <w:r>
                    <w:rPr>
                      <w:rFonts w:hint="eastAsia" w:hAnsiTheme="minorEastAsia" w:eastAsiaTheme="minorEastAsia"/>
                      <w:color w:val="auto"/>
                      <w:szCs w:val="21"/>
                      <w:lang w:eastAsia="zh-CN"/>
                    </w:rPr>
                    <w:t>扩建</w:t>
                  </w:r>
                  <w:r>
                    <w:rPr>
                      <w:rFonts w:hAnsiTheme="minorEastAsia" w:eastAsiaTheme="minorEastAsia"/>
                      <w:color w:val="auto"/>
                      <w:szCs w:val="21"/>
                    </w:rPr>
                    <w:t>项目建成后拟制定并落实事故防范对策措施和应急预案，并定期演练。</w:t>
                  </w:r>
                </w:p>
              </w:tc>
              <w:tc>
                <w:tcPr>
                  <w:tcW w:w="698" w:type="pct"/>
                  <w:tcBorders>
                    <w:top w:val="single" w:color="auto" w:sz="4" w:space="0"/>
                    <w:left w:val="single" w:color="auto" w:sz="4" w:space="0"/>
                    <w:bottom w:val="single" w:color="auto" w:sz="4" w:space="0"/>
                    <w:right w:val="nil"/>
                  </w:tcBorders>
                  <w:vAlign w:val="center"/>
                </w:tcPr>
                <w:p w14:paraId="35AEA870">
                  <w:pPr>
                    <w:adjustRightInd w:val="0"/>
                    <w:snapToGrid w:val="0"/>
                    <w:jc w:val="center"/>
                    <w:rPr>
                      <w:rFonts w:eastAsiaTheme="minorEastAsia"/>
                      <w:color w:val="auto"/>
                      <w:szCs w:val="21"/>
                    </w:rPr>
                  </w:pPr>
                  <w:r>
                    <w:rPr>
                      <w:rFonts w:hAnsiTheme="minorEastAsia" w:eastAsiaTheme="minorEastAsia"/>
                      <w:color w:val="auto"/>
                      <w:szCs w:val="21"/>
                    </w:rPr>
                    <w:t>相符</w:t>
                  </w:r>
                </w:p>
              </w:tc>
            </w:tr>
            <w:tr w14:paraId="1C9C7E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8" w:type="pct"/>
                  <w:tcBorders>
                    <w:top w:val="single" w:color="auto" w:sz="4" w:space="0"/>
                    <w:left w:val="nil"/>
                    <w:bottom w:val="single" w:color="auto" w:sz="4" w:space="0"/>
                    <w:right w:val="single" w:color="auto" w:sz="4" w:space="0"/>
                  </w:tcBorders>
                  <w:vAlign w:val="center"/>
                </w:tcPr>
                <w:p w14:paraId="030DAE52">
                  <w:pPr>
                    <w:adjustRightInd w:val="0"/>
                    <w:snapToGrid w:val="0"/>
                    <w:jc w:val="center"/>
                    <w:rPr>
                      <w:rFonts w:eastAsiaTheme="minorEastAsia"/>
                      <w:color w:val="auto"/>
                      <w:szCs w:val="21"/>
                    </w:rPr>
                  </w:pPr>
                  <w:r>
                    <w:rPr>
                      <w:rFonts w:hAnsiTheme="minorEastAsia" w:eastAsiaTheme="minorEastAsia"/>
                      <w:color w:val="auto"/>
                      <w:szCs w:val="21"/>
                    </w:rPr>
                    <w:t>资源利用效率要求</w:t>
                  </w:r>
                </w:p>
              </w:tc>
              <w:tc>
                <w:tcPr>
                  <w:tcW w:w="1809" w:type="pct"/>
                  <w:tcBorders>
                    <w:top w:val="single" w:color="auto" w:sz="4" w:space="0"/>
                    <w:left w:val="single" w:color="auto" w:sz="4" w:space="0"/>
                    <w:bottom w:val="single" w:color="auto" w:sz="4" w:space="0"/>
                    <w:right w:val="single" w:color="auto" w:sz="4" w:space="0"/>
                  </w:tcBorders>
                  <w:vAlign w:val="center"/>
                </w:tcPr>
                <w:p w14:paraId="73B8B1F0">
                  <w:pPr>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1</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单位工业用地工业增加值≥9亿元/平方米。</w:t>
                  </w:r>
                </w:p>
                <w:p w14:paraId="5B7E2287">
                  <w:pPr>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2</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单位工业增加值综合能耗≤0.5吨标煤/万元。</w:t>
                  </w:r>
                </w:p>
                <w:p w14:paraId="3940CD89">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3</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单位工业增加值新鲜水耗≤9立方米/万元，工业用水重复利用率≥75%。</w:t>
                  </w:r>
                </w:p>
                <w:p w14:paraId="33DD2BBC">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4</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禁止销售使用燃料为“Ⅱ类”（较严），具体包括</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①除单台出力大于等于20蒸吨/小时锅炉以外燃用的煤炭及其制品。②石油焦、油页岩原油、重油、渣油、煤焦油。</w:t>
                  </w:r>
                </w:p>
              </w:tc>
              <w:tc>
                <w:tcPr>
                  <w:tcW w:w="2035" w:type="pct"/>
                  <w:tcBorders>
                    <w:top w:val="single" w:color="auto" w:sz="4" w:space="0"/>
                    <w:left w:val="single" w:color="auto" w:sz="4" w:space="0"/>
                    <w:bottom w:val="single" w:color="auto" w:sz="4" w:space="0"/>
                    <w:right w:val="single" w:color="auto" w:sz="4" w:space="0"/>
                  </w:tcBorders>
                  <w:vAlign w:val="center"/>
                </w:tcPr>
                <w:p w14:paraId="16A556A0">
                  <w:pPr>
                    <w:adjustRightInd w:val="0"/>
                    <w:snapToGrid w:val="0"/>
                    <w:jc w:val="left"/>
                    <w:rPr>
                      <w:rFonts w:eastAsiaTheme="minorEastAsia"/>
                      <w:color w:val="auto"/>
                      <w:szCs w:val="21"/>
                    </w:rPr>
                  </w:pPr>
                  <w:r>
                    <w:rPr>
                      <w:rFonts w:hint="eastAsia" w:hAnsiTheme="minorEastAsia" w:eastAsiaTheme="minorEastAsia"/>
                      <w:color w:val="auto"/>
                      <w:szCs w:val="21"/>
                      <w:lang w:eastAsia="zh-CN"/>
                    </w:rPr>
                    <w:t>扩建</w:t>
                  </w:r>
                  <w:r>
                    <w:rPr>
                      <w:color w:val="auto"/>
                      <w:szCs w:val="21"/>
                    </w:rPr>
                    <w:t>项目不涉及燃料使用。</w:t>
                  </w:r>
                </w:p>
              </w:tc>
              <w:tc>
                <w:tcPr>
                  <w:tcW w:w="698" w:type="pct"/>
                  <w:tcBorders>
                    <w:top w:val="single" w:color="auto" w:sz="4" w:space="0"/>
                    <w:left w:val="single" w:color="auto" w:sz="4" w:space="0"/>
                    <w:bottom w:val="single" w:color="auto" w:sz="4" w:space="0"/>
                    <w:right w:val="nil"/>
                  </w:tcBorders>
                  <w:vAlign w:val="center"/>
                </w:tcPr>
                <w:p w14:paraId="314D68DC">
                  <w:pPr>
                    <w:adjustRightInd w:val="0"/>
                    <w:snapToGrid w:val="0"/>
                    <w:jc w:val="center"/>
                    <w:rPr>
                      <w:rFonts w:eastAsiaTheme="minorEastAsia"/>
                      <w:color w:val="auto"/>
                      <w:szCs w:val="21"/>
                    </w:rPr>
                  </w:pPr>
                  <w:r>
                    <w:rPr>
                      <w:rFonts w:hAnsiTheme="minorEastAsia" w:eastAsiaTheme="minorEastAsia"/>
                      <w:color w:val="auto"/>
                      <w:szCs w:val="21"/>
                    </w:rPr>
                    <w:t>相符</w:t>
                  </w:r>
                </w:p>
              </w:tc>
            </w:tr>
            <w:tr w14:paraId="302DB3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8" w:type="pct"/>
                  <w:vMerge w:val="restart"/>
                  <w:tcBorders>
                    <w:top w:val="single" w:color="auto" w:sz="4" w:space="0"/>
                    <w:left w:val="nil"/>
                    <w:right w:val="single" w:color="auto" w:sz="4" w:space="0"/>
                  </w:tcBorders>
                  <w:vAlign w:val="center"/>
                </w:tcPr>
                <w:p w14:paraId="71923FB9">
                  <w:pPr>
                    <w:adjustRightInd w:val="0"/>
                    <w:snapToGrid w:val="0"/>
                    <w:jc w:val="center"/>
                    <w:rPr>
                      <w:rFonts w:hAnsiTheme="minorEastAsia" w:eastAsiaTheme="minorEastAsia"/>
                      <w:color w:val="auto"/>
                      <w:szCs w:val="21"/>
                    </w:rPr>
                  </w:pPr>
                  <w:r>
                    <w:rPr>
                      <w:rFonts w:hint="eastAsia"/>
                      <w:color w:val="auto"/>
                      <w:szCs w:val="21"/>
                    </w:rPr>
                    <w:t>准入分析</w:t>
                  </w:r>
                </w:p>
              </w:tc>
              <w:tc>
                <w:tcPr>
                  <w:tcW w:w="1809" w:type="pct"/>
                  <w:tcBorders>
                    <w:top w:val="single" w:color="auto" w:sz="4" w:space="0"/>
                    <w:left w:val="single" w:color="auto" w:sz="4" w:space="0"/>
                    <w:bottom w:val="single" w:color="auto" w:sz="4" w:space="0"/>
                    <w:right w:val="single" w:color="auto" w:sz="4" w:space="0"/>
                  </w:tcBorders>
                  <w:vAlign w:val="center"/>
                </w:tcPr>
                <w:p w14:paraId="44248A28">
                  <w:pPr>
                    <w:adjustRightInd w:val="0"/>
                    <w:snapToGrid w:val="0"/>
                    <w:jc w:val="left"/>
                    <w:rPr>
                      <w:rFonts w:hint="default" w:ascii="Times New Roman" w:hAnsi="Times New Roman" w:cs="Times New Roman"/>
                      <w:color w:val="auto"/>
                      <w:szCs w:val="21"/>
                    </w:rPr>
                  </w:pPr>
                  <w:r>
                    <w:rPr>
                      <w:rFonts w:hint="default" w:ascii="Times New Roman" w:hAnsi="Times New Roman" w:cs="Times New Roman"/>
                      <w:color w:val="auto"/>
                      <w:szCs w:val="21"/>
                    </w:rPr>
                    <w:t>《市场准入负面清单（2022年版）》</w:t>
                  </w:r>
                  <w:r>
                    <w:rPr>
                      <w:rFonts w:hint="default" w:ascii="Times New Roman" w:hAnsi="Times New Roman" w:cs="Times New Roman"/>
                      <w:color w:val="auto"/>
                      <w:kern w:val="0"/>
                      <w:szCs w:val="21"/>
                    </w:rPr>
                    <w:t>（发改体改规</w:t>
                  </w:r>
                  <w:r>
                    <w:rPr>
                      <w:rFonts w:hint="default" w:ascii="Times New Roman" w:hAnsi="Times New Roman" w:cs="Times New Roman"/>
                      <w:color w:val="auto"/>
                      <w:kern w:val="0"/>
                      <w:szCs w:val="21"/>
                      <w:lang w:eastAsia="zh-CN"/>
                    </w:rPr>
                    <w:t>〔2022〕397号</w:t>
                  </w:r>
                  <w:r>
                    <w:rPr>
                      <w:rFonts w:hint="default" w:ascii="Times New Roman" w:hAnsi="Times New Roman" w:cs="Times New Roman"/>
                      <w:color w:val="auto"/>
                      <w:kern w:val="0"/>
                      <w:szCs w:val="21"/>
                    </w:rPr>
                    <w:t>）</w:t>
                  </w:r>
                </w:p>
              </w:tc>
              <w:tc>
                <w:tcPr>
                  <w:tcW w:w="2035" w:type="pct"/>
                  <w:tcBorders>
                    <w:top w:val="single" w:color="auto" w:sz="4" w:space="0"/>
                    <w:left w:val="single" w:color="auto" w:sz="4" w:space="0"/>
                    <w:bottom w:val="single" w:color="auto" w:sz="4" w:space="0"/>
                    <w:right w:val="single" w:color="auto" w:sz="4" w:space="0"/>
                  </w:tcBorders>
                  <w:vAlign w:val="center"/>
                </w:tcPr>
                <w:p w14:paraId="1E075DD8">
                  <w:pPr>
                    <w:adjustRightInd w:val="0"/>
                    <w:snapToGrid w:val="0"/>
                    <w:jc w:val="left"/>
                    <w:rPr>
                      <w:rFonts w:hint="default" w:ascii="Times New Roman" w:hAnsi="Times New Roman" w:cs="Times New Roman"/>
                      <w:color w:val="auto"/>
                      <w:szCs w:val="21"/>
                    </w:rPr>
                  </w:pPr>
                  <w:r>
                    <w:rPr>
                      <w:rFonts w:hint="default" w:ascii="Times New Roman" w:hAnsi="Times New Roman" w:cs="Times New Roman"/>
                      <w:color w:val="auto"/>
                      <w:szCs w:val="21"/>
                    </w:rPr>
                    <w:t>不属于市场禁止准入事项</w:t>
                  </w:r>
                </w:p>
              </w:tc>
              <w:tc>
                <w:tcPr>
                  <w:tcW w:w="698" w:type="pct"/>
                  <w:tcBorders>
                    <w:top w:val="single" w:color="auto" w:sz="4" w:space="0"/>
                    <w:left w:val="single" w:color="auto" w:sz="4" w:space="0"/>
                    <w:bottom w:val="single" w:color="auto" w:sz="4" w:space="0"/>
                    <w:right w:val="nil"/>
                  </w:tcBorders>
                  <w:vAlign w:val="center"/>
                </w:tcPr>
                <w:p w14:paraId="7F21A01A">
                  <w:pPr>
                    <w:adjustRightInd w:val="0"/>
                    <w:snapToGrid w:val="0"/>
                    <w:jc w:val="center"/>
                    <w:rPr>
                      <w:rFonts w:hAnsiTheme="minorEastAsia" w:eastAsiaTheme="minorEastAsia"/>
                      <w:color w:val="auto"/>
                      <w:szCs w:val="21"/>
                    </w:rPr>
                  </w:pPr>
                  <w:r>
                    <w:rPr>
                      <w:rFonts w:hint="eastAsia" w:ascii="宋体" w:hAnsi="宋体" w:cs="宋体"/>
                      <w:color w:val="auto"/>
                      <w:szCs w:val="21"/>
                    </w:rPr>
                    <w:t>相符</w:t>
                  </w:r>
                </w:p>
              </w:tc>
            </w:tr>
            <w:tr w14:paraId="3F5585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8" w:type="pct"/>
                  <w:vMerge w:val="continue"/>
                  <w:tcBorders>
                    <w:left w:val="nil"/>
                    <w:right w:val="single" w:color="auto" w:sz="4" w:space="0"/>
                  </w:tcBorders>
                  <w:vAlign w:val="center"/>
                </w:tcPr>
                <w:p w14:paraId="0AC717A7">
                  <w:pPr>
                    <w:adjustRightInd w:val="0"/>
                    <w:snapToGrid w:val="0"/>
                    <w:jc w:val="center"/>
                    <w:rPr>
                      <w:rFonts w:hAnsiTheme="minorEastAsia" w:eastAsiaTheme="minorEastAsia"/>
                      <w:color w:val="auto"/>
                      <w:szCs w:val="21"/>
                    </w:rPr>
                  </w:pPr>
                </w:p>
              </w:tc>
              <w:tc>
                <w:tcPr>
                  <w:tcW w:w="1809" w:type="pct"/>
                  <w:tcBorders>
                    <w:top w:val="single" w:color="auto" w:sz="4" w:space="0"/>
                    <w:left w:val="single" w:color="auto" w:sz="4" w:space="0"/>
                    <w:bottom w:val="single" w:color="auto" w:sz="4" w:space="0"/>
                    <w:right w:val="single" w:color="auto" w:sz="4" w:space="0"/>
                  </w:tcBorders>
                  <w:vAlign w:val="center"/>
                </w:tcPr>
                <w:p w14:paraId="1E2E6D3F">
                  <w:pPr>
                    <w:adjustRightInd w:val="0"/>
                    <w:snapToGrid w:val="0"/>
                    <w:jc w:val="left"/>
                    <w:rPr>
                      <w:rFonts w:hint="default" w:ascii="Times New Roman" w:hAnsi="Times New Roman" w:cs="Times New Roman"/>
                      <w:color w:val="auto"/>
                      <w:szCs w:val="21"/>
                    </w:rPr>
                  </w:pPr>
                  <w:r>
                    <w:rPr>
                      <w:rFonts w:hint="default" w:ascii="Times New Roman" w:hAnsi="Times New Roman" w:cs="Times New Roman"/>
                      <w:color w:val="auto"/>
                      <w:szCs w:val="21"/>
                    </w:rPr>
                    <w:t>《长江经济带发展负面清单指南（试行，2022年版）》（长江办</w:t>
                  </w:r>
                  <w:r>
                    <w:rPr>
                      <w:rFonts w:hint="default" w:ascii="Times New Roman" w:hAnsi="Times New Roman" w:cs="Times New Roman"/>
                      <w:color w:val="auto"/>
                      <w:szCs w:val="21"/>
                      <w:lang w:eastAsia="zh-CN"/>
                    </w:rPr>
                    <w:t>〔2022〕7号</w:t>
                  </w:r>
                  <w:r>
                    <w:rPr>
                      <w:rFonts w:hint="default" w:ascii="Times New Roman" w:hAnsi="Times New Roman" w:cs="Times New Roman"/>
                      <w:color w:val="auto"/>
                      <w:szCs w:val="21"/>
                    </w:rPr>
                    <w:t>）</w:t>
                  </w:r>
                </w:p>
              </w:tc>
              <w:tc>
                <w:tcPr>
                  <w:tcW w:w="2035" w:type="pct"/>
                  <w:tcBorders>
                    <w:top w:val="single" w:color="auto" w:sz="4" w:space="0"/>
                    <w:left w:val="single" w:color="auto" w:sz="4" w:space="0"/>
                    <w:bottom w:val="single" w:color="auto" w:sz="4" w:space="0"/>
                    <w:right w:val="single" w:color="auto" w:sz="4" w:space="0"/>
                  </w:tcBorders>
                  <w:vAlign w:val="center"/>
                </w:tcPr>
                <w:p w14:paraId="641E8F8C">
                  <w:pPr>
                    <w:adjustRightInd w:val="0"/>
                    <w:snapToGrid w:val="0"/>
                    <w:jc w:val="left"/>
                    <w:rPr>
                      <w:rFonts w:hint="default" w:ascii="Times New Roman" w:hAnsi="Times New Roman" w:cs="Times New Roman"/>
                      <w:color w:val="auto"/>
                      <w:szCs w:val="21"/>
                    </w:rPr>
                  </w:pPr>
                  <w:r>
                    <w:rPr>
                      <w:rFonts w:hint="default" w:ascii="Times New Roman" w:hAnsi="Times New Roman" w:cs="Times New Roman"/>
                      <w:color w:val="auto"/>
                      <w:szCs w:val="21"/>
                    </w:rPr>
                    <w:t>不属于负面清单中禁止类项目</w:t>
                  </w:r>
                </w:p>
              </w:tc>
              <w:tc>
                <w:tcPr>
                  <w:tcW w:w="698" w:type="pct"/>
                  <w:tcBorders>
                    <w:top w:val="single" w:color="auto" w:sz="4" w:space="0"/>
                    <w:left w:val="single" w:color="auto" w:sz="4" w:space="0"/>
                    <w:bottom w:val="single" w:color="auto" w:sz="4" w:space="0"/>
                    <w:right w:val="nil"/>
                  </w:tcBorders>
                  <w:vAlign w:val="center"/>
                </w:tcPr>
                <w:p w14:paraId="0B6D6CC2">
                  <w:pPr>
                    <w:adjustRightInd w:val="0"/>
                    <w:snapToGrid w:val="0"/>
                    <w:jc w:val="center"/>
                    <w:rPr>
                      <w:rFonts w:hAnsiTheme="minorEastAsia" w:eastAsiaTheme="minorEastAsia"/>
                      <w:color w:val="auto"/>
                      <w:szCs w:val="21"/>
                    </w:rPr>
                  </w:pPr>
                  <w:r>
                    <w:rPr>
                      <w:rFonts w:hint="eastAsia" w:ascii="宋体" w:hAnsi="宋体" w:cs="宋体"/>
                      <w:color w:val="auto"/>
                      <w:szCs w:val="21"/>
                    </w:rPr>
                    <w:t>相符</w:t>
                  </w:r>
                </w:p>
              </w:tc>
            </w:tr>
            <w:tr w14:paraId="067860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8" w:type="pct"/>
                  <w:vMerge w:val="continue"/>
                  <w:tcBorders>
                    <w:left w:val="nil"/>
                    <w:right w:val="single" w:color="auto" w:sz="4" w:space="0"/>
                  </w:tcBorders>
                  <w:vAlign w:val="center"/>
                </w:tcPr>
                <w:p w14:paraId="17E200B5">
                  <w:pPr>
                    <w:adjustRightInd w:val="0"/>
                    <w:snapToGrid w:val="0"/>
                    <w:jc w:val="center"/>
                    <w:rPr>
                      <w:rFonts w:hAnsiTheme="minorEastAsia" w:eastAsiaTheme="minorEastAsia"/>
                      <w:color w:val="auto"/>
                      <w:szCs w:val="21"/>
                    </w:rPr>
                  </w:pPr>
                </w:p>
              </w:tc>
              <w:tc>
                <w:tcPr>
                  <w:tcW w:w="1809" w:type="pct"/>
                  <w:tcBorders>
                    <w:top w:val="single" w:color="auto" w:sz="4" w:space="0"/>
                    <w:left w:val="single" w:color="auto" w:sz="4" w:space="0"/>
                    <w:bottom w:val="single" w:color="auto" w:sz="4" w:space="0"/>
                    <w:right w:val="single" w:color="auto" w:sz="4" w:space="0"/>
                  </w:tcBorders>
                  <w:vAlign w:val="center"/>
                </w:tcPr>
                <w:p w14:paraId="3CE19023">
                  <w:pPr>
                    <w:adjustRightInd w:val="0"/>
                    <w:snapToGrid w:val="0"/>
                    <w:jc w:val="left"/>
                    <w:rPr>
                      <w:rFonts w:hint="default" w:ascii="Times New Roman" w:hAnsi="Times New Roman" w:cs="Times New Roman"/>
                      <w:color w:val="auto"/>
                      <w:szCs w:val="21"/>
                    </w:rPr>
                  </w:pPr>
                  <w:r>
                    <w:rPr>
                      <w:rFonts w:hint="default" w:ascii="Times New Roman" w:hAnsi="Times New Roman" w:cs="Times New Roman"/>
                      <w:color w:val="auto"/>
                      <w:szCs w:val="21"/>
                    </w:rPr>
                    <w:t>《</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长江经济带发展负面清单指南（试行，2022年版）</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江苏省实施细则》（苏长江办发</w:t>
                  </w:r>
                  <w:r>
                    <w:rPr>
                      <w:rFonts w:hint="default" w:ascii="Times New Roman" w:hAnsi="Times New Roman" w:cs="Times New Roman"/>
                      <w:color w:val="auto"/>
                      <w:szCs w:val="21"/>
                      <w:lang w:eastAsia="zh-CN"/>
                    </w:rPr>
                    <w:t>〔2022〕55号</w:t>
                  </w:r>
                  <w:r>
                    <w:rPr>
                      <w:rFonts w:hint="default" w:ascii="Times New Roman" w:hAnsi="Times New Roman" w:cs="Times New Roman"/>
                      <w:color w:val="auto"/>
                      <w:szCs w:val="21"/>
                    </w:rPr>
                    <w:t>）</w:t>
                  </w:r>
                </w:p>
              </w:tc>
              <w:tc>
                <w:tcPr>
                  <w:tcW w:w="2035" w:type="pct"/>
                  <w:tcBorders>
                    <w:top w:val="single" w:color="auto" w:sz="4" w:space="0"/>
                    <w:left w:val="single" w:color="auto" w:sz="4" w:space="0"/>
                    <w:bottom w:val="single" w:color="auto" w:sz="4" w:space="0"/>
                    <w:right w:val="single" w:color="auto" w:sz="4" w:space="0"/>
                  </w:tcBorders>
                  <w:vAlign w:val="center"/>
                </w:tcPr>
                <w:p w14:paraId="2DC283CA">
                  <w:pPr>
                    <w:adjustRightInd w:val="0"/>
                    <w:snapToGrid w:val="0"/>
                    <w:jc w:val="left"/>
                    <w:rPr>
                      <w:rFonts w:hint="default" w:ascii="Times New Roman" w:hAnsi="Times New Roman" w:cs="Times New Roman"/>
                      <w:color w:val="auto"/>
                      <w:szCs w:val="21"/>
                    </w:rPr>
                  </w:pPr>
                  <w:r>
                    <w:rPr>
                      <w:rFonts w:hint="default" w:ascii="Times New Roman" w:hAnsi="Times New Roman" w:cs="Times New Roman"/>
                      <w:color w:val="auto"/>
                      <w:szCs w:val="21"/>
                    </w:rPr>
                    <w:t>不属于负面清单中禁止类项目</w:t>
                  </w:r>
                </w:p>
              </w:tc>
              <w:tc>
                <w:tcPr>
                  <w:tcW w:w="698" w:type="pct"/>
                  <w:tcBorders>
                    <w:top w:val="single" w:color="auto" w:sz="4" w:space="0"/>
                    <w:left w:val="single" w:color="auto" w:sz="4" w:space="0"/>
                    <w:bottom w:val="single" w:color="auto" w:sz="4" w:space="0"/>
                    <w:right w:val="nil"/>
                  </w:tcBorders>
                  <w:vAlign w:val="center"/>
                </w:tcPr>
                <w:p w14:paraId="3470C8D6">
                  <w:pPr>
                    <w:adjustRightInd w:val="0"/>
                    <w:snapToGrid w:val="0"/>
                    <w:jc w:val="center"/>
                    <w:rPr>
                      <w:rFonts w:hAnsiTheme="minorEastAsia" w:eastAsiaTheme="minorEastAsia"/>
                      <w:color w:val="auto"/>
                      <w:szCs w:val="21"/>
                    </w:rPr>
                  </w:pPr>
                  <w:r>
                    <w:rPr>
                      <w:rFonts w:hint="eastAsia" w:ascii="宋体" w:hAnsi="宋体" w:cs="宋体"/>
                      <w:color w:val="auto"/>
                      <w:szCs w:val="21"/>
                    </w:rPr>
                    <w:t>相符</w:t>
                  </w:r>
                </w:p>
              </w:tc>
            </w:tr>
            <w:tr w14:paraId="46C51F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8" w:type="pct"/>
                  <w:vMerge w:val="continue"/>
                  <w:tcBorders>
                    <w:left w:val="nil"/>
                    <w:right w:val="single" w:color="auto" w:sz="4" w:space="0"/>
                  </w:tcBorders>
                  <w:vAlign w:val="center"/>
                </w:tcPr>
                <w:p w14:paraId="105C83FC">
                  <w:pPr>
                    <w:adjustRightInd w:val="0"/>
                    <w:snapToGrid w:val="0"/>
                    <w:jc w:val="center"/>
                    <w:rPr>
                      <w:rFonts w:hAnsiTheme="minorEastAsia" w:eastAsiaTheme="minorEastAsia"/>
                      <w:color w:val="auto"/>
                      <w:szCs w:val="21"/>
                    </w:rPr>
                  </w:pPr>
                </w:p>
              </w:tc>
              <w:tc>
                <w:tcPr>
                  <w:tcW w:w="1809" w:type="pct"/>
                  <w:tcBorders>
                    <w:top w:val="single" w:color="auto" w:sz="4" w:space="0"/>
                    <w:left w:val="single" w:color="auto" w:sz="4" w:space="0"/>
                    <w:bottom w:val="single" w:color="auto" w:sz="4" w:space="0"/>
                    <w:right w:val="single" w:color="auto" w:sz="4" w:space="0"/>
                  </w:tcBorders>
                  <w:vAlign w:val="center"/>
                </w:tcPr>
                <w:p w14:paraId="16E563A7">
                  <w:pPr>
                    <w:adjustRightInd w:val="0"/>
                    <w:snapToGrid w:val="0"/>
                    <w:jc w:val="left"/>
                    <w:rPr>
                      <w:rFonts w:hint="default" w:ascii="Times New Roman" w:hAnsi="Times New Roman" w:cs="Times New Roman"/>
                      <w:color w:val="auto"/>
                      <w:szCs w:val="21"/>
                    </w:rPr>
                  </w:pPr>
                  <w:r>
                    <w:rPr>
                      <w:rFonts w:hint="default" w:ascii="Times New Roman" w:hAnsi="Times New Roman" w:cs="Times New Roman"/>
                      <w:color w:val="auto"/>
                      <w:kern w:val="0"/>
                      <w:szCs w:val="21"/>
                    </w:rPr>
                    <w:t>《关于加快全省化工钢铁煤电行业转型升级高质量发展的实施意见》（苏办发</w:t>
                  </w:r>
                  <w:r>
                    <w:rPr>
                      <w:rFonts w:hint="default" w:ascii="Times New Roman" w:hAnsi="Times New Roman" w:cs="Times New Roman"/>
                      <w:color w:val="auto"/>
                      <w:kern w:val="0"/>
                      <w:szCs w:val="21"/>
                      <w:lang w:eastAsia="zh-CN"/>
                    </w:rPr>
                    <w:t>〔2018〕32号</w:t>
                  </w:r>
                  <w:r>
                    <w:rPr>
                      <w:rFonts w:hint="default" w:ascii="Times New Roman" w:hAnsi="Times New Roman" w:cs="Times New Roman"/>
                      <w:color w:val="auto"/>
                      <w:kern w:val="0"/>
                      <w:szCs w:val="21"/>
                    </w:rPr>
                    <w:t>）附件3“江苏省产业结构调整限制、淘汰和禁止目录”</w:t>
                  </w:r>
                </w:p>
              </w:tc>
              <w:tc>
                <w:tcPr>
                  <w:tcW w:w="2035" w:type="pct"/>
                  <w:tcBorders>
                    <w:top w:val="single" w:color="auto" w:sz="4" w:space="0"/>
                    <w:left w:val="single" w:color="auto" w:sz="4" w:space="0"/>
                    <w:bottom w:val="single" w:color="auto" w:sz="4" w:space="0"/>
                    <w:right w:val="single" w:color="auto" w:sz="4" w:space="0"/>
                  </w:tcBorders>
                  <w:vAlign w:val="center"/>
                </w:tcPr>
                <w:p w14:paraId="70819CCE">
                  <w:pPr>
                    <w:adjustRightInd w:val="0"/>
                    <w:snapToGrid w:val="0"/>
                    <w:jc w:val="left"/>
                    <w:rPr>
                      <w:color w:val="auto"/>
                      <w:szCs w:val="21"/>
                    </w:rPr>
                  </w:pPr>
                  <w:r>
                    <w:rPr>
                      <w:rFonts w:hint="eastAsia" w:ascii="宋体" w:hAnsi="宋体" w:cs="宋体"/>
                      <w:color w:val="auto"/>
                      <w:kern w:val="0"/>
                      <w:szCs w:val="21"/>
                    </w:rPr>
                    <w:t>不属于限制类、淘汰类、禁止类项目，属于环境准入类</w:t>
                  </w:r>
                </w:p>
              </w:tc>
              <w:tc>
                <w:tcPr>
                  <w:tcW w:w="698" w:type="pct"/>
                  <w:tcBorders>
                    <w:top w:val="single" w:color="auto" w:sz="4" w:space="0"/>
                    <w:left w:val="single" w:color="auto" w:sz="4" w:space="0"/>
                    <w:bottom w:val="single" w:color="auto" w:sz="4" w:space="0"/>
                    <w:right w:val="nil"/>
                  </w:tcBorders>
                  <w:vAlign w:val="center"/>
                </w:tcPr>
                <w:p w14:paraId="2F453CA6">
                  <w:pPr>
                    <w:adjustRightInd w:val="0"/>
                    <w:snapToGrid w:val="0"/>
                    <w:jc w:val="center"/>
                    <w:rPr>
                      <w:rFonts w:hAnsiTheme="minorEastAsia" w:eastAsiaTheme="minorEastAsia"/>
                      <w:color w:val="auto"/>
                      <w:szCs w:val="21"/>
                    </w:rPr>
                  </w:pPr>
                  <w:r>
                    <w:rPr>
                      <w:rFonts w:hint="eastAsia" w:ascii="宋体" w:hAnsi="宋体" w:cs="宋体"/>
                      <w:color w:val="auto"/>
                      <w:szCs w:val="21"/>
                    </w:rPr>
                    <w:t>符合</w:t>
                  </w:r>
                </w:p>
              </w:tc>
            </w:tr>
            <w:tr w14:paraId="4D57D5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8" w:type="pct"/>
                  <w:vMerge w:val="continue"/>
                  <w:tcBorders>
                    <w:left w:val="nil"/>
                    <w:right w:val="single" w:color="auto" w:sz="4" w:space="0"/>
                  </w:tcBorders>
                  <w:vAlign w:val="center"/>
                </w:tcPr>
                <w:p w14:paraId="0EAE58C8">
                  <w:pPr>
                    <w:adjustRightInd w:val="0"/>
                    <w:snapToGrid w:val="0"/>
                    <w:jc w:val="center"/>
                    <w:rPr>
                      <w:rFonts w:hAnsiTheme="minorEastAsia" w:eastAsiaTheme="minorEastAsia"/>
                      <w:color w:val="auto"/>
                      <w:szCs w:val="21"/>
                    </w:rPr>
                  </w:pPr>
                </w:p>
              </w:tc>
              <w:tc>
                <w:tcPr>
                  <w:tcW w:w="1809" w:type="pct"/>
                  <w:tcBorders>
                    <w:top w:val="single" w:color="auto" w:sz="4" w:space="0"/>
                    <w:left w:val="single" w:color="auto" w:sz="4" w:space="0"/>
                    <w:bottom w:val="single" w:color="auto" w:sz="4" w:space="0"/>
                    <w:right w:val="single" w:color="auto" w:sz="4" w:space="0"/>
                  </w:tcBorders>
                  <w:vAlign w:val="center"/>
                </w:tcPr>
                <w:p w14:paraId="4CCEF809">
                  <w:pPr>
                    <w:widowControl/>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《限制用地项目目录（2012年本）》</w:t>
                  </w:r>
                </w:p>
                <w:p w14:paraId="39323E10">
                  <w:pPr>
                    <w:adjustRightInd w:val="0"/>
                    <w:snapToGrid w:val="0"/>
                    <w:jc w:val="left"/>
                    <w:rPr>
                      <w:rFonts w:hint="default" w:ascii="Times New Roman" w:hAnsi="Times New Roman" w:cs="Times New Roman"/>
                      <w:color w:val="auto"/>
                      <w:szCs w:val="21"/>
                    </w:rPr>
                  </w:pPr>
                  <w:r>
                    <w:rPr>
                      <w:rFonts w:hint="default" w:ascii="Times New Roman" w:hAnsi="Times New Roman" w:cs="Times New Roman"/>
                      <w:color w:val="auto"/>
                      <w:szCs w:val="21"/>
                    </w:rPr>
                    <w:t>《禁止用地项目目录（2012年本）》</w:t>
                  </w:r>
                </w:p>
              </w:tc>
              <w:tc>
                <w:tcPr>
                  <w:tcW w:w="2035" w:type="pct"/>
                  <w:tcBorders>
                    <w:top w:val="single" w:color="auto" w:sz="4" w:space="0"/>
                    <w:left w:val="single" w:color="auto" w:sz="4" w:space="0"/>
                    <w:bottom w:val="single" w:color="auto" w:sz="4" w:space="0"/>
                    <w:right w:val="single" w:color="auto" w:sz="4" w:space="0"/>
                  </w:tcBorders>
                  <w:vAlign w:val="center"/>
                </w:tcPr>
                <w:p w14:paraId="34D61A77">
                  <w:pPr>
                    <w:adjustRightInd w:val="0"/>
                    <w:snapToGrid w:val="0"/>
                    <w:jc w:val="left"/>
                    <w:rPr>
                      <w:color w:val="auto"/>
                      <w:szCs w:val="21"/>
                    </w:rPr>
                  </w:pPr>
                  <w:r>
                    <w:rPr>
                      <w:rFonts w:hint="eastAsia" w:ascii="宋体" w:hAnsi="宋体" w:cs="宋体"/>
                      <w:color w:val="auto"/>
                      <w:szCs w:val="21"/>
                    </w:rPr>
                    <w:t>不属于限制、禁止用地项目</w:t>
                  </w:r>
                </w:p>
              </w:tc>
              <w:tc>
                <w:tcPr>
                  <w:tcW w:w="698" w:type="pct"/>
                  <w:tcBorders>
                    <w:top w:val="single" w:color="auto" w:sz="4" w:space="0"/>
                    <w:left w:val="single" w:color="auto" w:sz="4" w:space="0"/>
                    <w:bottom w:val="single" w:color="auto" w:sz="4" w:space="0"/>
                    <w:right w:val="nil"/>
                  </w:tcBorders>
                  <w:vAlign w:val="center"/>
                </w:tcPr>
                <w:p w14:paraId="33C9DD44">
                  <w:pPr>
                    <w:adjustRightInd w:val="0"/>
                    <w:snapToGrid w:val="0"/>
                    <w:jc w:val="center"/>
                    <w:rPr>
                      <w:rFonts w:hAnsiTheme="minorEastAsia" w:eastAsiaTheme="minorEastAsia"/>
                      <w:color w:val="auto"/>
                      <w:szCs w:val="21"/>
                    </w:rPr>
                  </w:pPr>
                  <w:r>
                    <w:rPr>
                      <w:rFonts w:hint="eastAsia" w:ascii="宋体" w:hAnsi="宋体" w:cs="宋体"/>
                      <w:color w:val="auto"/>
                      <w:szCs w:val="21"/>
                    </w:rPr>
                    <w:t>符合</w:t>
                  </w:r>
                </w:p>
              </w:tc>
            </w:tr>
            <w:tr w14:paraId="6D5CDA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58" w:type="pct"/>
                  <w:vMerge w:val="continue"/>
                  <w:tcBorders>
                    <w:left w:val="nil"/>
                    <w:bottom w:val="single" w:color="auto" w:sz="12" w:space="0"/>
                    <w:right w:val="single" w:color="auto" w:sz="4" w:space="0"/>
                  </w:tcBorders>
                  <w:vAlign w:val="center"/>
                </w:tcPr>
                <w:p w14:paraId="5288D6E3">
                  <w:pPr>
                    <w:adjustRightInd w:val="0"/>
                    <w:snapToGrid w:val="0"/>
                    <w:jc w:val="center"/>
                    <w:rPr>
                      <w:rFonts w:hAnsiTheme="minorEastAsia" w:eastAsiaTheme="minorEastAsia"/>
                      <w:color w:val="auto"/>
                      <w:szCs w:val="21"/>
                    </w:rPr>
                  </w:pPr>
                </w:p>
              </w:tc>
              <w:tc>
                <w:tcPr>
                  <w:tcW w:w="1809" w:type="pct"/>
                  <w:tcBorders>
                    <w:top w:val="single" w:color="auto" w:sz="4" w:space="0"/>
                    <w:left w:val="single" w:color="auto" w:sz="4" w:space="0"/>
                    <w:bottom w:val="single" w:color="auto" w:sz="12" w:space="0"/>
                    <w:right w:val="single" w:color="auto" w:sz="4" w:space="0"/>
                  </w:tcBorders>
                  <w:vAlign w:val="center"/>
                </w:tcPr>
                <w:p w14:paraId="25EF1F14">
                  <w:pPr>
                    <w:adjustRightInd w:val="0"/>
                    <w:snapToGrid w:val="0"/>
                    <w:jc w:val="left"/>
                    <w:rPr>
                      <w:rFonts w:hint="default" w:ascii="Times New Roman" w:hAnsi="Times New Roman" w:cs="Times New Roman"/>
                      <w:color w:val="auto"/>
                      <w:szCs w:val="21"/>
                    </w:rPr>
                  </w:pPr>
                  <w:r>
                    <w:rPr>
                      <w:rFonts w:hint="default" w:ascii="Times New Roman" w:hAnsi="Times New Roman" w:cs="Times New Roman"/>
                      <w:color w:val="auto"/>
                      <w:szCs w:val="21"/>
                    </w:rPr>
                    <w:t>《产业结构调整指导目录（2024年本）》（国家发展改革委令第7号）</w:t>
                  </w:r>
                </w:p>
              </w:tc>
              <w:tc>
                <w:tcPr>
                  <w:tcW w:w="2035" w:type="pct"/>
                  <w:tcBorders>
                    <w:top w:val="single" w:color="auto" w:sz="4" w:space="0"/>
                    <w:left w:val="single" w:color="auto" w:sz="4" w:space="0"/>
                    <w:bottom w:val="single" w:color="auto" w:sz="12" w:space="0"/>
                    <w:right w:val="single" w:color="auto" w:sz="4" w:space="0"/>
                  </w:tcBorders>
                  <w:vAlign w:val="center"/>
                </w:tcPr>
                <w:p w14:paraId="35E39F62">
                  <w:pPr>
                    <w:adjustRightInd w:val="0"/>
                    <w:snapToGrid w:val="0"/>
                    <w:jc w:val="left"/>
                    <w:rPr>
                      <w:color w:val="auto"/>
                      <w:szCs w:val="21"/>
                    </w:rPr>
                  </w:pPr>
                  <w:r>
                    <w:rPr>
                      <w:rFonts w:hint="eastAsia" w:ascii="宋体" w:hAnsi="宋体" w:cs="宋体"/>
                      <w:color w:val="auto"/>
                      <w:szCs w:val="21"/>
                    </w:rPr>
                    <w:t>不属于限制类、淘汰类项目</w:t>
                  </w:r>
                </w:p>
              </w:tc>
              <w:tc>
                <w:tcPr>
                  <w:tcW w:w="698" w:type="pct"/>
                  <w:tcBorders>
                    <w:top w:val="single" w:color="auto" w:sz="4" w:space="0"/>
                    <w:left w:val="single" w:color="auto" w:sz="4" w:space="0"/>
                    <w:bottom w:val="single" w:color="auto" w:sz="12" w:space="0"/>
                    <w:right w:val="nil"/>
                  </w:tcBorders>
                  <w:vAlign w:val="center"/>
                </w:tcPr>
                <w:p w14:paraId="73511EBD">
                  <w:pPr>
                    <w:adjustRightInd w:val="0"/>
                    <w:snapToGrid w:val="0"/>
                    <w:jc w:val="center"/>
                    <w:rPr>
                      <w:rFonts w:hAnsiTheme="minorEastAsia" w:eastAsiaTheme="minorEastAsia"/>
                      <w:color w:val="auto"/>
                      <w:szCs w:val="21"/>
                    </w:rPr>
                  </w:pPr>
                  <w:r>
                    <w:rPr>
                      <w:rFonts w:hint="eastAsia" w:ascii="宋体" w:hAnsi="宋体" w:cs="宋体"/>
                      <w:color w:val="auto"/>
                      <w:szCs w:val="21"/>
                    </w:rPr>
                    <w:t>符合</w:t>
                  </w:r>
                </w:p>
              </w:tc>
            </w:tr>
          </w:tbl>
          <w:p w14:paraId="2FE2427B">
            <w:pPr>
              <w:adjustRightInd w:val="0"/>
              <w:snapToGrid w:val="0"/>
              <w:spacing w:before="120" w:beforeLines="50" w:line="360" w:lineRule="auto"/>
              <w:ind w:firstLine="480" w:firstLineChars="200"/>
              <w:rPr>
                <w:rFonts w:hAnsiTheme="minorEastAsia" w:eastAsiaTheme="minorEastAsia"/>
                <w:color w:val="auto"/>
                <w:sz w:val="24"/>
              </w:rPr>
            </w:pPr>
            <w:r>
              <w:rPr>
                <w:rFonts w:hAnsiTheme="minorEastAsia" w:eastAsiaTheme="minorEastAsia"/>
                <w:color w:val="auto"/>
                <w:sz w:val="24"/>
              </w:rPr>
              <w:t>根据上表分析可知，</w:t>
            </w:r>
            <w:r>
              <w:rPr>
                <w:rFonts w:hint="eastAsia" w:hAnsiTheme="minorEastAsia" w:eastAsiaTheme="minorEastAsia"/>
                <w:color w:val="auto"/>
                <w:sz w:val="24"/>
                <w:lang w:eastAsia="zh-CN"/>
              </w:rPr>
              <w:t>扩建</w:t>
            </w:r>
            <w:r>
              <w:rPr>
                <w:rFonts w:hAnsiTheme="minorEastAsia" w:eastAsiaTheme="minorEastAsia"/>
                <w:color w:val="auto"/>
                <w:sz w:val="24"/>
              </w:rPr>
              <w:t>项目与《淮安市环境管控单元生态环境准入清单》（淮环发〔</w:t>
            </w:r>
            <w:r>
              <w:rPr>
                <w:rFonts w:eastAsiaTheme="minorEastAsia"/>
                <w:color w:val="auto"/>
                <w:sz w:val="24"/>
              </w:rPr>
              <w:t>2020</w:t>
            </w:r>
            <w:r>
              <w:rPr>
                <w:rFonts w:hAnsiTheme="minorEastAsia" w:eastAsiaTheme="minorEastAsia"/>
                <w:color w:val="auto"/>
                <w:sz w:val="24"/>
              </w:rPr>
              <w:t>〕</w:t>
            </w:r>
            <w:r>
              <w:rPr>
                <w:rFonts w:eastAsiaTheme="minorEastAsia"/>
                <w:color w:val="auto"/>
                <w:sz w:val="24"/>
              </w:rPr>
              <w:t>264</w:t>
            </w:r>
            <w:r>
              <w:rPr>
                <w:rFonts w:hAnsiTheme="minorEastAsia" w:eastAsiaTheme="minorEastAsia"/>
                <w:color w:val="auto"/>
                <w:sz w:val="24"/>
              </w:rPr>
              <w:t>号）是相符的。</w:t>
            </w:r>
          </w:p>
          <w:p w14:paraId="21401609">
            <w:pPr>
              <w:widowControl/>
              <w:adjustRightInd w:val="0"/>
              <w:snapToGrid w:val="0"/>
              <w:spacing w:line="360" w:lineRule="auto"/>
              <w:ind w:firstLine="480" w:firstLineChars="200"/>
              <w:rPr>
                <w:rFonts w:hAnsiTheme="minorEastAsia" w:eastAsiaTheme="minorEastAsia"/>
                <w:bCs/>
                <w:color w:val="auto"/>
                <w:sz w:val="24"/>
              </w:rPr>
            </w:pPr>
            <w:r>
              <w:rPr>
                <w:rFonts w:hAnsiTheme="minorEastAsia" w:eastAsiaTheme="minorEastAsia"/>
                <w:bCs/>
                <w:color w:val="auto"/>
                <w:sz w:val="24"/>
              </w:rPr>
              <w:t>综上所述，</w:t>
            </w:r>
            <w:r>
              <w:rPr>
                <w:rFonts w:hint="eastAsia" w:hAnsiTheme="minorEastAsia" w:eastAsiaTheme="minorEastAsia"/>
                <w:color w:val="auto"/>
                <w:sz w:val="24"/>
                <w:lang w:eastAsia="zh-CN"/>
              </w:rPr>
              <w:t>扩建</w:t>
            </w:r>
            <w:r>
              <w:rPr>
                <w:rFonts w:hAnsiTheme="minorEastAsia" w:eastAsiaTheme="minorEastAsia"/>
                <w:bCs/>
                <w:color w:val="auto"/>
                <w:sz w:val="24"/>
              </w:rPr>
              <w:t>项目符合当地生态保护红线要求，不降低项目周边环境质量底线，不超出当地资源利用</w:t>
            </w:r>
            <w:r>
              <w:rPr>
                <w:rFonts w:hint="eastAsia" w:hAnsiTheme="minorEastAsia" w:eastAsiaTheme="minorEastAsia"/>
                <w:bCs/>
                <w:color w:val="auto"/>
                <w:sz w:val="24"/>
                <w:lang w:eastAsia="zh-CN"/>
              </w:rPr>
              <w:t>上限</w:t>
            </w:r>
            <w:r>
              <w:rPr>
                <w:rFonts w:hAnsiTheme="minorEastAsia" w:eastAsiaTheme="minorEastAsia"/>
                <w:bCs/>
                <w:color w:val="auto"/>
                <w:sz w:val="24"/>
              </w:rPr>
              <w:t>；</w:t>
            </w:r>
            <w:r>
              <w:rPr>
                <w:rFonts w:hint="eastAsia" w:hAnsiTheme="minorEastAsia" w:eastAsiaTheme="minorEastAsia"/>
                <w:bCs/>
                <w:color w:val="auto"/>
                <w:sz w:val="24"/>
                <w:lang w:eastAsia="zh-CN"/>
              </w:rPr>
              <w:t>扩建</w:t>
            </w:r>
            <w:r>
              <w:rPr>
                <w:rFonts w:hAnsiTheme="minorEastAsia" w:eastAsiaTheme="minorEastAsia"/>
                <w:bCs/>
                <w:color w:val="auto"/>
                <w:sz w:val="24"/>
              </w:rPr>
              <w:t>项目符合</w:t>
            </w:r>
            <w:r>
              <w:rPr>
                <w:rFonts w:hint="eastAsia" w:hAnsiTheme="minorEastAsia" w:eastAsiaTheme="minorEastAsia"/>
                <w:bCs/>
                <w:color w:val="auto"/>
                <w:sz w:val="24"/>
              </w:rPr>
              <w:t>“</w:t>
            </w:r>
            <w:r>
              <w:rPr>
                <w:rFonts w:hAnsiTheme="minorEastAsia" w:eastAsiaTheme="minorEastAsia"/>
                <w:bCs/>
                <w:color w:val="auto"/>
                <w:sz w:val="24"/>
              </w:rPr>
              <w:t>三线一单</w:t>
            </w:r>
            <w:r>
              <w:rPr>
                <w:rFonts w:hint="eastAsia" w:hAnsiTheme="minorEastAsia" w:eastAsiaTheme="minorEastAsia"/>
                <w:bCs/>
                <w:color w:val="auto"/>
                <w:sz w:val="24"/>
              </w:rPr>
              <w:t>”</w:t>
            </w:r>
            <w:r>
              <w:rPr>
                <w:rFonts w:hAnsiTheme="minorEastAsia" w:eastAsiaTheme="minorEastAsia"/>
                <w:bCs/>
                <w:color w:val="auto"/>
                <w:sz w:val="24"/>
              </w:rPr>
              <w:t>的要求。</w:t>
            </w:r>
          </w:p>
          <w:p w14:paraId="53A30799">
            <w:pPr>
              <w:widowControl/>
              <w:adjustRightInd w:val="0"/>
              <w:snapToGrid w:val="0"/>
              <w:spacing w:line="360" w:lineRule="auto"/>
              <w:ind w:firstLine="482" w:firstLineChars="200"/>
              <w:rPr>
                <w:b/>
                <w:color w:val="auto"/>
                <w:sz w:val="24"/>
              </w:rPr>
            </w:pPr>
            <w:r>
              <w:rPr>
                <w:b/>
                <w:color w:val="auto"/>
                <w:sz w:val="24"/>
              </w:rPr>
              <w:t>3.</w:t>
            </w:r>
            <w:r>
              <w:rPr>
                <w:rFonts w:hAnsi="宋体"/>
                <w:b/>
                <w:color w:val="auto"/>
                <w:sz w:val="24"/>
              </w:rPr>
              <w:t>与相关环保法规、指南等相符性分析</w:t>
            </w:r>
          </w:p>
          <w:p w14:paraId="48B4F0A3">
            <w:pPr>
              <w:tabs>
                <w:tab w:val="left" w:pos="1095"/>
              </w:tabs>
              <w:adjustRightInd w:val="0"/>
              <w:snapToGrid w:val="0"/>
              <w:spacing w:line="360" w:lineRule="auto"/>
              <w:ind w:firstLine="480" w:firstLineChars="200"/>
              <w:rPr>
                <w:rFonts w:hint="eastAsia" w:hAnsi="宋体" w:eastAsia="宋体"/>
                <w:b/>
                <w:bCs/>
                <w:color w:val="auto"/>
                <w:sz w:val="24"/>
                <w:lang w:eastAsia="zh-CN"/>
              </w:rPr>
            </w:pPr>
            <w:r>
              <w:rPr>
                <w:rFonts w:hAnsi="宋体"/>
                <w:color w:val="auto"/>
                <w:sz w:val="24"/>
              </w:rPr>
              <w:t>建设项目与国家、江苏省、淮安市相关环保法规、指南相符性分析，见表</w:t>
            </w:r>
            <w:r>
              <w:rPr>
                <w:color w:val="auto"/>
                <w:sz w:val="24"/>
              </w:rPr>
              <w:t>1-</w:t>
            </w:r>
            <w:r>
              <w:rPr>
                <w:rFonts w:hint="eastAsia"/>
                <w:color w:val="auto"/>
                <w:sz w:val="24"/>
                <w:lang w:val="en-US" w:eastAsia="zh-CN"/>
              </w:rPr>
              <w:t>9</w:t>
            </w:r>
          </w:p>
          <w:p w14:paraId="210397E8">
            <w:pPr>
              <w:adjustRightInd w:val="0"/>
              <w:snapToGrid w:val="0"/>
              <w:jc w:val="center"/>
              <w:rPr>
                <w:b/>
                <w:bCs/>
                <w:color w:val="auto"/>
                <w:sz w:val="24"/>
              </w:rPr>
            </w:pPr>
            <w:r>
              <w:rPr>
                <w:rFonts w:hAnsi="宋体"/>
                <w:b/>
                <w:bCs/>
                <w:color w:val="auto"/>
                <w:sz w:val="24"/>
              </w:rPr>
              <w:t>表</w:t>
            </w:r>
            <w:r>
              <w:rPr>
                <w:b/>
                <w:bCs/>
                <w:color w:val="auto"/>
                <w:sz w:val="24"/>
              </w:rPr>
              <w:t>1-</w:t>
            </w:r>
            <w:r>
              <w:rPr>
                <w:rFonts w:hint="eastAsia"/>
                <w:b/>
                <w:bCs/>
                <w:color w:val="auto"/>
                <w:sz w:val="24"/>
                <w:lang w:val="en-US" w:eastAsia="zh-CN"/>
              </w:rPr>
              <w:t>9</w:t>
            </w:r>
            <w:r>
              <w:rPr>
                <w:rFonts w:hAnsi="宋体"/>
                <w:b/>
                <w:bCs/>
                <w:color w:val="auto"/>
                <w:sz w:val="24"/>
              </w:rPr>
              <w:t>与相关环保法规、指南等相符性分析表</w:t>
            </w:r>
          </w:p>
          <w:tbl>
            <w:tblPr>
              <w:tblStyle w:val="32"/>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28" w:type="dxa"/>
                <w:bottom w:w="0" w:type="dxa"/>
                <w:right w:w="28" w:type="dxa"/>
              </w:tblCellMar>
            </w:tblPr>
            <w:tblGrid>
              <w:gridCol w:w="1783"/>
              <w:gridCol w:w="786"/>
              <w:gridCol w:w="2320"/>
              <w:gridCol w:w="2914"/>
              <w:gridCol w:w="535"/>
            </w:tblGrid>
            <w:tr w14:paraId="1DC100C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812" w:hRule="atLeast"/>
                <w:jc w:val="center"/>
              </w:trPr>
              <w:tc>
                <w:tcPr>
                  <w:tcW w:w="1069" w:type="pct"/>
                  <w:tcBorders>
                    <w:top w:val="single" w:color="000000" w:sz="12" w:space="0"/>
                    <w:left w:val="nil"/>
                    <w:bottom w:val="single" w:color="000000" w:sz="4" w:space="0"/>
                    <w:right w:val="single" w:color="000000" w:sz="4" w:space="0"/>
                  </w:tcBorders>
                  <w:vAlign w:val="center"/>
                </w:tcPr>
                <w:p w14:paraId="6C411D7E">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文件名称</w:t>
                  </w:r>
                </w:p>
              </w:tc>
              <w:tc>
                <w:tcPr>
                  <w:tcW w:w="1862" w:type="pct"/>
                  <w:gridSpan w:val="2"/>
                  <w:tcBorders>
                    <w:top w:val="single" w:color="000000" w:sz="12" w:space="0"/>
                    <w:left w:val="single" w:color="000000" w:sz="4" w:space="0"/>
                    <w:bottom w:val="single" w:color="000000" w:sz="4" w:space="0"/>
                    <w:right w:val="single" w:color="000000" w:sz="4" w:space="0"/>
                  </w:tcBorders>
                  <w:vAlign w:val="center"/>
                </w:tcPr>
                <w:p w14:paraId="52324984">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要求</w:t>
                  </w:r>
                </w:p>
              </w:tc>
              <w:tc>
                <w:tcPr>
                  <w:tcW w:w="1747" w:type="pct"/>
                  <w:tcBorders>
                    <w:top w:val="single" w:color="000000" w:sz="12" w:space="0"/>
                    <w:left w:val="single" w:color="000000" w:sz="4" w:space="0"/>
                    <w:bottom w:val="single" w:color="000000" w:sz="4" w:space="0"/>
                    <w:right w:val="single" w:color="000000" w:sz="4" w:space="0"/>
                  </w:tcBorders>
                  <w:vAlign w:val="center"/>
                </w:tcPr>
                <w:p w14:paraId="1D5A2052">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b/>
                      <w:bCs/>
                      <w:color w:val="auto"/>
                      <w:sz w:val="21"/>
                      <w:szCs w:val="21"/>
                    </w:rPr>
                  </w:pPr>
                  <w:r>
                    <w:rPr>
                      <w:rFonts w:hint="eastAsia" w:cs="Times New Roman"/>
                      <w:b/>
                      <w:bCs/>
                      <w:color w:val="auto"/>
                      <w:sz w:val="21"/>
                      <w:szCs w:val="21"/>
                      <w:lang w:eastAsia="zh-CN"/>
                    </w:rPr>
                    <w:t>扩建</w:t>
                  </w:r>
                  <w:r>
                    <w:rPr>
                      <w:rFonts w:hint="default" w:ascii="Times New Roman" w:hAnsi="Times New Roman" w:eastAsia="宋体" w:cs="Times New Roman"/>
                      <w:b/>
                      <w:bCs/>
                      <w:color w:val="auto"/>
                      <w:sz w:val="21"/>
                      <w:szCs w:val="21"/>
                    </w:rPr>
                    <w:t>项目情况</w:t>
                  </w:r>
                </w:p>
              </w:tc>
              <w:tc>
                <w:tcPr>
                  <w:tcW w:w="320" w:type="pct"/>
                  <w:tcBorders>
                    <w:top w:val="single" w:color="000000" w:sz="12" w:space="0"/>
                    <w:left w:val="single" w:color="000000" w:sz="4" w:space="0"/>
                    <w:bottom w:val="single" w:color="000000" w:sz="4" w:space="0"/>
                    <w:right w:val="nil"/>
                  </w:tcBorders>
                  <w:vAlign w:val="center"/>
                </w:tcPr>
                <w:p w14:paraId="311165D8">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相符性判定</w:t>
                  </w:r>
                </w:p>
              </w:tc>
            </w:tr>
            <w:tr w14:paraId="659B149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1069" w:type="pct"/>
                  <w:vMerge w:val="restart"/>
                  <w:tcBorders>
                    <w:left w:val="nil"/>
                    <w:right w:val="single" w:color="000000" w:sz="4" w:space="0"/>
                  </w:tcBorders>
                  <w:vAlign w:val="center"/>
                </w:tcPr>
                <w:p w14:paraId="6EF7BCE5">
                  <w:pPr>
                    <w:keepNext w:val="0"/>
                    <w:keepLines w:val="0"/>
                    <w:pageBreakBefore w:val="0"/>
                    <w:kinsoku/>
                    <w:wordWrap/>
                    <w:overflowPunct/>
                    <w:topLinePunct w:val="0"/>
                    <w:autoSpaceDE/>
                    <w:autoSpaceDN/>
                    <w:bidi w:val="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《江苏省生态环境保护条例》</w:t>
                  </w:r>
                </w:p>
              </w:tc>
              <w:tc>
                <w:tcPr>
                  <w:tcW w:w="1862" w:type="pct"/>
                  <w:gridSpan w:val="2"/>
                  <w:tcBorders>
                    <w:top w:val="single" w:color="000000" w:sz="4" w:space="0"/>
                    <w:left w:val="single" w:color="000000" w:sz="4" w:space="0"/>
                    <w:bottom w:val="single" w:color="000000" w:sz="4" w:space="0"/>
                    <w:right w:val="single" w:color="000000" w:sz="4" w:space="0"/>
                  </w:tcBorders>
                  <w:vAlign w:val="center"/>
                </w:tcPr>
                <w:p w14:paraId="028BF7B1">
                  <w:pPr>
                    <w:keepNext w:val="0"/>
                    <w:keepLines w:val="0"/>
                    <w:pageBreakBefore w:val="0"/>
                    <w:kinsoku/>
                    <w:wordWrap/>
                    <w:overflowPunct/>
                    <w:topLinePunct w:val="0"/>
                    <w:autoSpaceDE/>
                    <w:autoSpaceDN/>
                    <w:bidi w:val="0"/>
                    <w:jc w:val="left"/>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第五十条本省依法实行排污许可管理制度。纳入排污许可管理的排污单位，应当依法申领排污许可证并按照排污许可证的要求排放污染物；未取得排污许可证的，不得排放污染物</w:t>
                  </w:r>
                  <w:r>
                    <w:rPr>
                      <w:rFonts w:hint="eastAsia" w:cs="Times New Roman"/>
                      <w:color w:val="auto"/>
                      <w:sz w:val="21"/>
                      <w:szCs w:val="21"/>
                      <w:lang w:eastAsia="zh-CN"/>
                    </w:rPr>
                    <w:t>。</w:t>
                  </w:r>
                </w:p>
              </w:tc>
              <w:tc>
                <w:tcPr>
                  <w:tcW w:w="1747" w:type="pct"/>
                  <w:tcBorders>
                    <w:top w:val="single" w:color="000000" w:sz="4" w:space="0"/>
                    <w:left w:val="single" w:color="000000" w:sz="4" w:space="0"/>
                    <w:bottom w:val="single" w:color="000000" w:sz="4" w:space="0"/>
                    <w:right w:val="single" w:color="000000" w:sz="4" w:space="0"/>
                  </w:tcBorders>
                  <w:vAlign w:val="center"/>
                </w:tcPr>
                <w:p w14:paraId="586EFE0E">
                  <w:pPr>
                    <w:keepNext w:val="0"/>
                    <w:keepLines w:val="0"/>
                    <w:pageBreakBefore w:val="0"/>
                    <w:kinsoku/>
                    <w:wordWrap/>
                    <w:overflowPunct/>
                    <w:topLinePunct w:val="0"/>
                    <w:autoSpaceDE/>
                    <w:autoSpaceDN/>
                    <w:bidi w:val="0"/>
                    <w:jc w:val="left"/>
                    <w:textAlignment w:val="auto"/>
                    <w:rPr>
                      <w:rFonts w:hint="default" w:ascii="Times New Roman" w:hAnsi="Times New Roman" w:eastAsia="宋体" w:cs="Times New Roman"/>
                      <w:color w:val="auto"/>
                      <w:kern w:val="0"/>
                      <w:sz w:val="21"/>
                      <w:szCs w:val="21"/>
                    </w:rPr>
                  </w:pPr>
                  <w:r>
                    <w:rPr>
                      <w:rFonts w:hint="eastAsia" w:cs="Times New Roman"/>
                      <w:color w:val="auto"/>
                      <w:sz w:val="21"/>
                      <w:szCs w:val="21"/>
                      <w:lang w:eastAsia="zh-CN"/>
                    </w:rPr>
                    <w:t>扩建</w:t>
                  </w:r>
                  <w:r>
                    <w:rPr>
                      <w:rFonts w:hint="default" w:ascii="Times New Roman" w:hAnsi="Times New Roman" w:eastAsia="宋体" w:cs="Times New Roman"/>
                      <w:color w:val="auto"/>
                      <w:sz w:val="21"/>
                      <w:szCs w:val="21"/>
                    </w:rPr>
                    <w:t>项目将依法申请排污许可证并按排污许可证的要求排放污染物，未取得排污许可证不得排放污染物。</w:t>
                  </w:r>
                </w:p>
              </w:tc>
              <w:tc>
                <w:tcPr>
                  <w:tcW w:w="320" w:type="pct"/>
                  <w:vMerge w:val="restart"/>
                  <w:tcBorders>
                    <w:left w:val="single" w:color="000000" w:sz="4" w:space="0"/>
                    <w:right w:val="nil"/>
                  </w:tcBorders>
                  <w:vAlign w:val="center"/>
                </w:tcPr>
                <w:p w14:paraId="6DFD2EEB">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4AE1415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1069" w:type="pct"/>
                  <w:vMerge w:val="continue"/>
                  <w:tcBorders>
                    <w:left w:val="nil"/>
                    <w:right w:val="single" w:color="000000" w:sz="4" w:space="0"/>
                  </w:tcBorders>
                  <w:vAlign w:val="center"/>
                </w:tcPr>
                <w:p w14:paraId="1CD608B6">
                  <w:pPr>
                    <w:keepNext w:val="0"/>
                    <w:keepLines w:val="0"/>
                    <w:pageBreakBefore w:val="0"/>
                    <w:kinsoku/>
                    <w:wordWrap/>
                    <w:overflowPunct/>
                    <w:topLinePunct w:val="0"/>
                    <w:autoSpaceDE/>
                    <w:autoSpaceDN/>
                    <w:bidi w:val="0"/>
                    <w:jc w:val="left"/>
                    <w:textAlignment w:val="auto"/>
                    <w:rPr>
                      <w:rFonts w:hint="default" w:ascii="Times New Roman" w:hAnsi="Times New Roman" w:eastAsia="宋体" w:cs="Times New Roman"/>
                      <w:color w:val="auto"/>
                      <w:sz w:val="21"/>
                      <w:szCs w:val="21"/>
                    </w:rPr>
                  </w:pPr>
                </w:p>
              </w:tc>
              <w:tc>
                <w:tcPr>
                  <w:tcW w:w="1862" w:type="pct"/>
                  <w:gridSpan w:val="2"/>
                  <w:tcBorders>
                    <w:top w:val="single" w:color="000000" w:sz="4" w:space="0"/>
                    <w:left w:val="single" w:color="000000" w:sz="4" w:space="0"/>
                    <w:bottom w:val="single" w:color="000000" w:sz="4" w:space="0"/>
                    <w:right w:val="single" w:color="000000" w:sz="4" w:space="0"/>
                  </w:tcBorders>
                  <w:vAlign w:val="center"/>
                </w:tcPr>
                <w:p w14:paraId="5B57D4F3">
                  <w:pPr>
                    <w:keepNext w:val="0"/>
                    <w:keepLines w:val="0"/>
                    <w:pageBreakBefore w:val="0"/>
                    <w:kinsoku/>
                    <w:wordWrap/>
                    <w:overflowPunct/>
                    <w:topLinePunct w:val="0"/>
                    <w:autoSpaceDE/>
                    <w:autoSpaceDN/>
                    <w:bidi w:val="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五十一条本省实行排污权有偿使用和交易制度、排污总量指标储备管理制度，新建、改建、扩建建设项目的新增重点污染物排放总量指标的不足部分，可以按照国家和省有关规定通过排污权交易或者从排污总量指标储备库中取得。排污总量指标应当在排污许可证中载明。</w:t>
                  </w:r>
                </w:p>
              </w:tc>
              <w:tc>
                <w:tcPr>
                  <w:tcW w:w="1747" w:type="pct"/>
                  <w:tcBorders>
                    <w:top w:val="single" w:color="000000" w:sz="4" w:space="0"/>
                    <w:left w:val="single" w:color="000000" w:sz="4" w:space="0"/>
                    <w:bottom w:val="single" w:color="000000" w:sz="4" w:space="0"/>
                    <w:right w:val="single" w:color="000000" w:sz="4" w:space="0"/>
                  </w:tcBorders>
                  <w:vAlign w:val="center"/>
                </w:tcPr>
                <w:p w14:paraId="38DA5AFE">
                  <w:pPr>
                    <w:keepNext w:val="0"/>
                    <w:keepLines w:val="0"/>
                    <w:pageBreakBefore w:val="0"/>
                    <w:kinsoku/>
                    <w:wordWrap/>
                    <w:overflowPunct/>
                    <w:topLinePunct w:val="0"/>
                    <w:autoSpaceDE/>
                    <w:autoSpaceDN/>
                    <w:bidi w:val="0"/>
                    <w:jc w:val="left"/>
                    <w:textAlignment w:val="auto"/>
                    <w:rPr>
                      <w:rFonts w:hint="default" w:ascii="Times New Roman" w:hAnsi="Times New Roman" w:eastAsia="宋体" w:cs="Times New Roman"/>
                      <w:color w:val="auto"/>
                      <w:kern w:val="0"/>
                      <w:sz w:val="21"/>
                      <w:szCs w:val="21"/>
                    </w:rPr>
                  </w:pPr>
                  <w:r>
                    <w:rPr>
                      <w:rFonts w:hint="eastAsia" w:cs="Times New Roman"/>
                      <w:color w:val="auto"/>
                      <w:sz w:val="21"/>
                      <w:szCs w:val="21"/>
                      <w:lang w:eastAsia="zh-CN"/>
                    </w:rPr>
                    <w:t>扩建</w:t>
                  </w:r>
                  <w:r>
                    <w:rPr>
                      <w:rFonts w:hint="default" w:ascii="Times New Roman" w:hAnsi="Times New Roman" w:eastAsia="宋体" w:cs="Times New Roman"/>
                      <w:color w:val="auto"/>
                      <w:sz w:val="21"/>
                      <w:szCs w:val="21"/>
                    </w:rPr>
                    <w:t>项目较</w:t>
                  </w:r>
                  <w:r>
                    <w:rPr>
                      <w:rFonts w:hint="eastAsia" w:cs="Times New Roman"/>
                      <w:color w:val="auto"/>
                      <w:sz w:val="21"/>
                      <w:szCs w:val="21"/>
                      <w:lang w:eastAsia="zh-CN"/>
                    </w:rPr>
                    <w:t>现有项目</w:t>
                  </w:r>
                  <w:r>
                    <w:rPr>
                      <w:rFonts w:hint="default" w:ascii="Times New Roman" w:hAnsi="Times New Roman" w:eastAsia="宋体" w:cs="Times New Roman"/>
                      <w:color w:val="auto"/>
                      <w:sz w:val="21"/>
                      <w:szCs w:val="21"/>
                    </w:rPr>
                    <w:t>新增废气污染物</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新增生产废水污染物的总量由淮安市</w:t>
                  </w:r>
                  <w:r>
                    <w:rPr>
                      <w:rFonts w:hint="eastAsia" w:cs="Times New Roman"/>
                      <w:color w:val="auto"/>
                      <w:sz w:val="21"/>
                      <w:szCs w:val="21"/>
                      <w:lang w:eastAsia="zh-CN"/>
                    </w:rPr>
                    <w:t>涟水</w:t>
                  </w:r>
                  <w:r>
                    <w:rPr>
                      <w:rFonts w:hint="default" w:ascii="Times New Roman" w:hAnsi="Times New Roman" w:eastAsia="宋体" w:cs="Times New Roman"/>
                      <w:color w:val="auto"/>
                      <w:sz w:val="21"/>
                      <w:szCs w:val="21"/>
                    </w:rPr>
                    <w:t>生态环境局</w:t>
                  </w:r>
                  <w:r>
                    <w:rPr>
                      <w:rFonts w:hint="eastAsia" w:cs="Times New Roman"/>
                      <w:color w:val="auto"/>
                      <w:sz w:val="21"/>
                      <w:szCs w:val="21"/>
                      <w:lang w:eastAsia="zh-CN"/>
                    </w:rPr>
                    <w:t>境</w:t>
                  </w:r>
                  <w:r>
                    <w:rPr>
                      <w:rFonts w:hint="default" w:ascii="Times New Roman" w:hAnsi="Times New Roman" w:eastAsia="宋体" w:cs="Times New Roman"/>
                      <w:color w:val="auto"/>
                      <w:sz w:val="21"/>
                      <w:szCs w:val="21"/>
                    </w:rPr>
                    <w:t>内总量中替代平衡；固废零排放。</w:t>
                  </w:r>
                </w:p>
              </w:tc>
              <w:tc>
                <w:tcPr>
                  <w:tcW w:w="320" w:type="pct"/>
                  <w:vMerge w:val="continue"/>
                  <w:tcBorders>
                    <w:left w:val="single" w:color="000000" w:sz="4" w:space="0"/>
                    <w:right w:val="nil"/>
                  </w:tcBorders>
                  <w:vAlign w:val="center"/>
                </w:tcPr>
                <w:p w14:paraId="15B94E5B">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r>
            <w:tr w14:paraId="6923484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1069" w:type="pct"/>
                  <w:vMerge w:val="continue"/>
                  <w:tcBorders>
                    <w:left w:val="nil"/>
                    <w:right w:val="single" w:color="000000" w:sz="4" w:space="0"/>
                  </w:tcBorders>
                  <w:vAlign w:val="center"/>
                </w:tcPr>
                <w:p w14:paraId="7FB5CBD8">
                  <w:pPr>
                    <w:keepNext w:val="0"/>
                    <w:keepLines w:val="0"/>
                    <w:pageBreakBefore w:val="0"/>
                    <w:kinsoku/>
                    <w:wordWrap/>
                    <w:overflowPunct/>
                    <w:topLinePunct w:val="0"/>
                    <w:autoSpaceDE/>
                    <w:autoSpaceDN/>
                    <w:bidi w:val="0"/>
                    <w:jc w:val="left"/>
                    <w:textAlignment w:val="auto"/>
                    <w:rPr>
                      <w:rFonts w:hint="default" w:ascii="Times New Roman" w:hAnsi="Times New Roman" w:eastAsia="宋体" w:cs="Times New Roman"/>
                      <w:color w:val="auto"/>
                      <w:sz w:val="21"/>
                      <w:szCs w:val="21"/>
                    </w:rPr>
                  </w:pPr>
                </w:p>
              </w:tc>
              <w:tc>
                <w:tcPr>
                  <w:tcW w:w="1862" w:type="pct"/>
                  <w:gridSpan w:val="2"/>
                  <w:tcBorders>
                    <w:top w:val="single" w:color="000000" w:sz="4" w:space="0"/>
                    <w:left w:val="single" w:color="000000" w:sz="4" w:space="0"/>
                    <w:bottom w:val="single" w:color="000000" w:sz="4" w:space="0"/>
                    <w:right w:val="single" w:color="000000" w:sz="4" w:space="0"/>
                  </w:tcBorders>
                  <w:vAlign w:val="center"/>
                </w:tcPr>
                <w:p w14:paraId="0ADF95F1">
                  <w:pPr>
                    <w:keepNext w:val="0"/>
                    <w:keepLines w:val="0"/>
                    <w:pageBreakBefore w:val="0"/>
                    <w:kinsoku/>
                    <w:wordWrap/>
                    <w:overflowPunct/>
                    <w:topLinePunct w:val="0"/>
                    <w:autoSpaceDE/>
                    <w:autoSpaceDN/>
                    <w:bidi w:val="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第六十二条新建排放重点污染物的工业项目原则上应当进入符合规划的园区。鼓励园区外已建排放重点污染物的工业项目通过搬迁等方式进入符合规划的园区</w:t>
                  </w:r>
                </w:p>
              </w:tc>
              <w:tc>
                <w:tcPr>
                  <w:tcW w:w="1747" w:type="pct"/>
                  <w:tcBorders>
                    <w:top w:val="single" w:color="000000" w:sz="4" w:space="0"/>
                    <w:left w:val="single" w:color="000000" w:sz="4" w:space="0"/>
                    <w:bottom w:val="single" w:color="000000" w:sz="4" w:space="0"/>
                    <w:right w:val="single" w:color="000000" w:sz="4" w:space="0"/>
                  </w:tcBorders>
                  <w:vAlign w:val="center"/>
                </w:tcPr>
                <w:p w14:paraId="2281F4BF">
                  <w:pPr>
                    <w:keepNext w:val="0"/>
                    <w:keepLines w:val="0"/>
                    <w:pageBreakBefore w:val="0"/>
                    <w:kinsoku/>
                    <w:wordWrap/>
                    <w:overflowPunct/>
                    <w:topLinePunct w:val="0"/>
                    <w:autoSpaceDE/>
                    <w:autoSpaceDN/>
                    <w:bidi w:val="0"/>
                    <w:jc w:val="left"/>
                    <w:textAlignment w:val="auto"/>
                    <w:rPr>
                      <w:rFonts w:hint="default" w:ascii="Times New Roman" w:hAnsi="Times New Roman" w:eastAsia="宋体" w:cs="Times New Roman"/>
                      <w:color w:val="auto"/>
                      <w:sz w:val="21"/>
                      <w:szCs w:val="21"/>
                    </w:rPr>
                  </w:pPr>
                  <w:r>
                    <w:rPr>
                      <w:rFonts w:hint="eastAsia" w:cs="Times New Roman"/>
                      <w:color w:val="auto"/>
                      <w:sz w:val="21"/>
                      <w:szCs w:val="21"/>
                      <w:lang w:eastAsia="zh-CN"/>
                    </w:rPr>
                    <w:t>扩建</w:t>
                  </w:r>
                  <w:r>
                    <w:rPr>
                      <w:rFonts w:hint="default" w:ascii="Times New Roman" w:hAnsi="Times New Roman" w:eastAsia="宋体" w:cs="Times New Roman"/>
                      <w:color w:val="auto"/>
                      <w:sz w:val="21"/>
                      <w:szCs w:val="21"/>
                    </w:rPr>
                    <w:t>项目位于</w:t>
                  </w:r>
                  <w:r>
                    <w:rPr>
                      <w:rFonts w:hint="eastAsia"/>
                      <w:color w:val="auto"/>
                      <w:sz w:val="22"/>
                      <w:szCs w:val="22"/>
                      <w:lang w:val="en-US" w:eastAsia="zh-CN"/>
                    </w:rPr>
                    <w:t>江苏涟水经济开发区涟水路3号</w:t>
                  </w:r>
                  <w:r>
                    <w:rPr>
                      <w:rFonts w:hint="default" w:ascii="Times New Roman" w:hAnsi="Times New Roman" w:eastAsia="宋体" w:cs="Times New Roman"/>
                      <w:color w:val="auto"/>
                      <w:sz w:val="21"/>
                      <w:szCs w:val="21"/>
                    </w:rPr>
                    <w:t>，该开发区属于合规园区。</w:t>
                  </w:r>
                </w:p>
              </w:tc>
              <w:tc>
                <w:tcPr>
                  <w:tcW w:w="320" w:type="pct"/>
                  <w:vMerge w:val="continue"/>
                  <w:tcBorders>
                    <w:left w:val="single" w:color="000000" w:sz="4" w:space="0"/>
                    <w:right w:val="nil"/>
                  </w:tcBorders>
                  <w:vAlign w:val="center"/>
                </w:tcPr>
                <w:p w14:paraId="3ACC57A9">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r>
            <w:tr w14:paraId="243779C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1069" w:type="pct"/>
                  <w:vMerge w:val="restart"/>
                  <w:tcBorders>
                    <w:top w:val="single" w:color="000000" w:sz="4" w:space="0"/>
                    <w:left w:val="nil"/>
                    <w:right w:val="single" w:color="000000" w:sz="4" w:space="0"/>
                  </w:tcBorders>
                  <w:vAlign w:val="center"/>
                </w:tcPr>
                <w:p w14:paraId="1D31E427">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《长江经济带发展负面清单指南(试行，2022年版)》（长江办</w:t>
                  </w:r>
                  <w:r>
                    <w:rPr>
                      <w:rFonts w:hint="eastAsia" w:cs="Times New Roman"/>
                      <w:color w:val="auto"/>
                      <w:sz w:val="21"/>
                      <w:szCs w:val="21"/>
                      <w:lang w:eastAsia="zh-CN"/>
                    </w:rPr>
                    <w:t>〔2022〕7号</w:t>
                  </w:r>
                  <w:r>
                    <w:rPr>
                      <w:rFonts w:hint="default" w:ascii="Times New Roman" w:hAnsi="Times New Roman" w:eastAsia="宋体" w:cs="Times New Roman"/>
                      <w:color w:val="auto"/>
                      <w:sz w:val="21"/>
                      <w:szCs w:val="21"/>
                    </w:rPr>
                    <w:t>）、</w:t>
                  </w:r>
                </w:p>
                <w:p w14:paraId="2BA09D16">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关于印发《&lt;长江经济带发展负面清单指南（试行，2022年版）&gt;江苏省实施细则》的通知（苏长江办发</w:t>
                  </w:r>
                  <w:r>
                    <w:rPr>
                      <w:rFonts w:hint="eastAsia" w:cs="Times New Roman"/>
                      <w:color w:val="auto"/>
                      <w:sz w:val="21"/>
                      <w:szCs w:val="21"/>
                      <w:lang w:eastAsia="zh-CN"/>
                    </w:rPr>
                    <w:t>〔2022〕55号</w:t>
                  </w:r>
                  <w:r>
                    <w:rPr>
                      <w:rFonts w:hint="default" w:ascii="Times New Roman" w:hAnsi="Times New Roman" w:eastAsia="宋体" w:cs="Times New Roman"/>
                      <w:color w:val="auto"/>
                      <w:sz w:val="21"/>
                      <w:szCs w:val="21"/>
                    </w:rPr>
                    <w:t>）</w:t>
                  </w:r>
                </w:p>
              </w:tc>
              <w:tc>
                <w:tcPr>
                  <w:tcW w:w="1862" w:type="pct"/>
                  <w:gridSpan w:val="2"/>
                  <w:tcBorders>
                    <w:top w:val="single" w:color="000000" w:sz="4" w:space="0"/>
                    <w:left w:val="single" w:color="000000" w:sz="4" w:space="0"/>
                    <w:bottom w:val="single" w:color="000000" w:sz="4" w:space="0"/>
                    <w:right w:val="single" w:color="000000" w:sz="4" w:space="0"/>
                  </w:tcBorders>
                  <w:vAlign w:val="center"/>
                </w:tcPr>
                <w:p w14:paraId="076FE3E3">
                  <w:pPr>
                    <w:keepNext w:val="0"/>
                    <w:keepLines w:val="0"/>
                    <w:pageBreakBefore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禁止建设不符合全国和省级港口布局规划以及港口总体规划的码头项目，禁止建设未纳入《长江干线过江通道布局规划》的过长江通道项目。</w:t>
                  </w:r>
                </w:p>
              </w:tc>
              <w:tc>
                <w:tcPr>
                  <w:tcW w:w="1747" w:type="pct"/>
                  <w:tcBorders>
                    <w:top w:val="single" w:color="000000" w:sz="4" w:space="0"/>
                    <w:left w:val="single" w:color="000000" w:sz="4" w:space="0"/>
                    <w:bottom w:val="single" w:color="000000" w:sz="4" w:space="0"/>
                    <w:right w:val="single" w:color="000000" w:sz="4" w:space="0"/>
                  </w:tcBorders>
                  <w:vAlign w:val="center"/>
                </w:tcPr>
                <w:p w14:paraId="5A4C7DEC">
                  <w:pPr>
                    <w:keepNext w:val="0"/>
                    <w:keepLines w:val="0"/>
                    <w:pageBreakBefore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rPr>
                  </w:pPr>
                  <w:r>
                    <w:rPr>
                      <w:rFonts w:hint="eastAsia" w:cs="Times New Roman"/>
                      <w:color w:val="auto"/>
                      <w:sz w:val="21"/>
                      <w:szCs w:val="21"/>
                      <w:lang w:eastAsia="zh-CN"/>
                    </w:rPr>
                    <w:t>扩建</w:t>
                  </w:r>
                  <w:r>
                    <w:rPr>
                      <w:rFonts w:hint="default" w:ascii="Times New Roman" w:hAnsi="Times New Roman" w:eastAsia="宋体" w:cs="Times New Roman"/>
                      <w:color w:val="auto"/>
                      <w:sz w:val="21"/>
                      <w:szCs w:val="21"/>
                    </w:rPr>
                    <w:t>项目为预制水产及肉类</w:t>
                  </w:r>
                  <w:r>
                    <w:rPr>
                      <w:rFonts w:hint="eastAsia" w:ascii="Times New Roman" w:hAnsi="Times New Roman" w:eastAsia="宋体" w:cs="Times New Roman"/>
                      <w:color w:val="auto"/>
                      <w:sz w:val="21"/>
                      <w:szCs w:val="21"/>
                      <w:lang w:eastAsia="zh-CN"/>
                    </w:rPr>
                    <w:t>扩建项目</w:t>
                  </w:r>
                  <w:r>
                    <w:rPr>
                      <w:rFonts w:hint="default" w:ascii="Times New Roman" w:hAnsi="Times New Roman" w:eastAsia="宋体" w:cs="Times New Roman"/>
                      <w:color w:val="auto"/>
                      <w:sz w:val="21"/>
                      <w:szCs w:val="21"/>
                    </w:rPr>
                    <w:t>，不涉及码头建设。</w:t>
                  </w:r>
                </w:p>
              </w:tc>
              <w:tc>
                <w:tcPr>
                  <w:tcW w:w="320" w:type="pct"/>
                  <w:vMerge w:val="restart"/>
                  <w:tcBorders>
                    <w:top w:val="single" w:color="000000" w:sz="4" w:space="0"/>
                    <w:left w:val="single" w:color="000000" w:sz="4" w:space="0"/>
                    <w:right w:val="nil"/>
                  </w:tcBorders>
                  <w:vAlign w:val="center"/>
                </w:tcPr>
                <w:p w14:paraId="0647E11E">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2CB2C73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1069" w:type="pct"/>
                  <w:vMerge w:val="continue"/>
                  <w:tcBorders>
                    <w:left w:val="nil"/>
                    <w:right w:val="single" w:color="000000" w:sz="4" w:space="0"/>
                  </w:tcBorders>
                  <w:vAlign w:val="center"/>
                </w:tcPr>
                <w:p w14:paraId="7ACA0560">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1862" w:type="pct"/>
                  <w:gridSpan w:val="2"/>
                  <w:tcBorders>
                    <w:top w:val="single" w:color="000000" w:sz="4" w:space="0"/>
                    <w:left w:val="single" w:color="000000" w:sz="4" w:space="0"/>
                    <w:bottom w:val="single" w:color="000000" w:sz="4" w:space="0"/>
                    <w:right w:val="single" w:color="000000" w:sz="4" w:space="0"/>
                  </w:tcBorders>
                  <w:vAlign w:val="center"/>
                </w:tcPr>
                <w:p w14:paraId="7C0BE73B">
                  <w:pPr>
                    <w:keepNext w:val="0"/>
                    <w:keepLines w:val="0"/>
                    <w:pageBreakBefore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禁止在自然保护区核心区、缓冲区的岸线和河段范围内投资建设旅游和生产经营项目。禁止在风景名胜区核心景区的岸线和河段范围内投资建设与风景名胜资源保护无关的项目。</w:t>
                  </w:r>
                </w:p>
              </w:tc>
              <w:tc>
                <w:tcPr>
                  <w:tcW w:w="1747" w:type="pct"/>
                  <w:vMerge w:val="restart"/>
                  <w:tcBorders>
                    <w:top w:val="single" w:color="000000" w:sz="4" w:space="0"/>
                    <w:left w:val="single" w:color="000000" w:sz="4" w:space="0"/>
                    <w:right w:val="single" w:color="000000" w:sz="4" w:space="0"/>
                  </w:tcBorders>
                  <w:vAlign w:val="center"/>
                </w:tcPr>
                <w:p w14:paraId="203457D9">
                  <w:pPr>
                    <w:keepNext w:val="0"/>
                    <w:keepLines w:val="0"/>
                    <w:pageBreakBefore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rPr>
                  </w:pPr>
                  <w:r>
                    <w:rPr>
                      <w:rFonts w:hint="eastAsia" w:cs="Times New Roman"/>
                      <w:color w:val="auto"/>
                      <w:sz w:val="21"/>
                      <w:szCs w:val="21"/>
                      <w:lang w:eastAsia="zh-CN"/>
                    </w:rPr>
                    <w:t>扩建</w:t>
                  </w:r>
                  <w:r>
                    <w:rPr>
                      <w:rFonts w:hint="default" w:ascii="Times New Roman" w:hAnsi="Times New Roman" w:eastAsia="宋体" w:cs="Times New Roman"/>
                      <w:color w:val="auto"/>
                      <w:sz w:val="21"/>
                      <w:szCs w:val="21"/>
                    </w:rPr>
                    <w:t>项目位于</w:t>
                  </w:r>
                  <w:r>
                    <w:rPr>
                      <w:rFonts w:hint="eastAsia"/>
                      <w:color w:val="auto"/>
                      <w:sz w:val="22"/>
                      <w:szCs w:val="22"/>
                      <w:lang w:val="en-US" w:eastAsia="zh-CN"/>
                    </w:rPr>
                    <w:t>江苏涟水经济开发区涟水路3号</w:t>
                  </w:r>
                  <w:r>
                    <w:rPr>
                      <w:rFonts w:hint="default" w:ascii="Times New Roman" w:hAnsi="Times New Roman" w:eastAsia="宋体" w:cs="Times New Roman"/>
                      <w:color w:val="auto"/>
                      <w:sz w:val="21"/>
                      <w:szCs w:val="21"/>
                    </w:rPr>
                    <w:t>，用地性质为</w:t>
                  </w:r>
                  <w:r>
                    <w:rPr>
                      <w:rFonts w:hint="eastAsia" w:cs="Times New Roman"/>
                      <w:color w:val="auto"/>
                      <w:sz w:val="21"/>
                      <w:szCs w:val="21"/>
                      <w:lang w:eastAsia="zh-CN"/>
                    </w:rPr>
                    <w:t>工业用地</w:t>
                  </w:r>
                  <w:r>
                    <w:rPr>
                      <w:rFonts w:hint="default" w:ascii="Times New Roman" w:hAnsi="Times New Roman" w:eastAsia="宋体" w:cs="Times New Roman"/>
                      <w:color w:val="auto"/>
                      <w:sz w:val="21"/>
                      <w:szCs w:val="21"/>
                    </w:rPr>
                    <w:t>，不在自然保护区核心区、缓冲区、风景名胜区、饮用水源保护区、水产种质资源保护区、国家湿地公园、水产种质资源保护区内。</w:t>
                  </w:r>
                </w:p>
              </w:tc>
              <w:tc>
                <w:tcPr>
                  <w:tcW w:w="320" w:type="pct"/>
                  <w:vMerge w:val="continue"/>
                  <w:tcBorders>
                    <w:left w:val="single" w:color="000000" w:sz="4" w:space="0"/>
                    <w:right w:val="nil"/>
                  </w:tcBorders>
                  <w:vAlign w:val="center"/>
                </w:tcPr>
                <w:p w14:paraId="0065B8A1">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r>
            <w:tr w14:paraId="4521D7C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1069" w:type="pct"/>
                  <w:vMerge w:val="continue"/>
                  <w:tcBorders>
                    <w:left w:val="nil"/>
                    <w:right w:val="single" w:color="000000" w:sz="4" w:space="0"/>
                  </w:tcBorders>
                  <w:vAlign w:val="center"/>
                </w:tcPr>
                <w:p w14:paraId="4F7F87E3">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1862" w:type="pct"/>
                  <w:gridSpan w:val="2"/>
                  <w:tcBorders>
                    <w:top w:val="single" w:color="000000" w:sz="4" w:space="0"/>
                    <w:left w:val="single" w:color="000000" w:sz="4" w:space="0"/>
                    <w:bottom w:val="single" w:color="000000" w:sz="4" w:space="0"/>
                    <w:right w:val="single" w:color="000000" w:sz="4" w:space="0"/>
                  </w:tcBorders>
                  <w:vAlign w:val="center"/>
                </w:tcPr>
                <w:p w14:paraId="48A739DE">
                  <w:pPr>
                    <w:keepNext w:val="0"/>
                    <w:keepLines w:val="0"/>
                    <w:pageBreakBefore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禁止新建、改建法律法规和相关政策明令禁止的落后产能项目。禁止新建、改建不符合国家产能置换要求的严重过剩产能行业的项目。禁止新建、改建不符合要求高耗能高排放项目。</w:t>
                  </w:r>
                </w:p>
              </w:tc>
              <w:tc>
                <w:tcPr>
                  <w:tcW w:w="1747" w:type="pct"/>
                  <w:vMerge w:val="continue"/>
                  <w:tcBorders>
                    <w:left w:val="single" w:color="000000" w:sz="4" w:space="0"/>
                    <w:right w:val="single" w:color="000000" w:sz="4" w:space="0"/>
                  </w:tcBorders>
                  <w:vAlign w:val="center"/>
                </w:tcPr>
                <w:p w14:paraId="1FB37C05">
                  <w:pPr>
                    <w:keepNext w:val="0"/>
                    <w:keepLines w:val="0"/>
                    <w:pageBreakBefore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rPr>
                  </w:pPr>
                </w:p>
              </w:tc>
              <w:tc>
                <w:tcPr>
                  <w:tcW w:w="320" w:type="pct"/>
                  <w:vMerge w:val="continue"/>
                  <w:tcBorders>
                    <w:left w:val="single" w:color="000000" w:sz="4" w:space="0"/>
                    <w:right w:val="nil"/>
                  </w:tcBorders>
                  <w:vAlign w:val="center"/>
                </w:tcPr>
                <w:p w14:paraId="325F0DB3">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r>
            <w:tr w14:paraId="70AF49A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1069" w:type="pct"/>
                  <w:vMerge w:val="continue"/>
                  <w:tcBorders>
                    <w:left w:val="nil"/>
                    <w:right w:val="single" w:color="000000" w:sz="4" w:space="0"/>
                  </w:tcBorders>
                  <w:vAlign w:val="center"/>
                </w:tcPr>
                <w:p w14:paraId="0E817838">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1862" w:type="pct"/>
                  <w:gridSpan w:val="2"/>
                  <w:tcBorders>
                    <w:top w:val="single" w:color="000000" w:sz="4" w:space="0"/>
                    <w:left w:val="single" w:color="000000" w:sz="4" w:space="0"/>
                    <w:bottom w:val="single" w:color="000000" w:sz="4" w:space="0"/>
                    <w:right w:val="single" w:color="000000" w:sz="4" w:space="0"/>
                  </w:tcBorders>
                  <w:vAlign w:val="center"/>
                </w:tcPr>
                <w:p w14:paraId="50306405">
                  <w:pPr>
                    <w:keepNext w:val="0"/>
                    <w:keepLines w:val="0"/>
                    <w:pageBreakBefore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1747" w:type="pct"/>
                  <w:vMerge w:val="continue"/>
                  <w:tcBorders>
                    <w:left w:val="single" w:color="000000" w:sz="4" w:space="0"/>
                    <w:bottom w:val="single" w:color="000000" w:sz="4" w:space="0"/>
                    <w:right w:val="single" w:color="000000" w:sz="4" w:space="0"/>
                  </w:tcBorders>
                  <w:vAlign w:val="center"/>
                </w:tcPr>
                <w:p w14:paraId="11B19DF0">
                  <w:pPr>
                    <w:keepNext w:val="0"/>
                    <w:keepLines w:val="0"/>
                    <w:pageBreakBefore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rPr>
                  </w:pPr>
                </w:p>
              </w:tc>
              <w:tc>
                <w:tcPr>
                  <w:tcW w:w="320" w:type="pct"/>
                  <w:vMerge w:val="continue"/>
                  <w:tcBorders>
                    <w:left w:val="single" w:color="000000" w:sz="4" w:space="0"/>
                    <w:right w:val="nil"/>
                  </w:tcBorders>
                  <w:vAlign w:val="center"/>
                </w:tcPr>
                <w:p w14:paraId="7A854348">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r>
            <w:tr w14:paraId="51E2692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1069" w:type="pct"/>
                  <w:vMerge w:val="continue"/>
                  <w:tcBorders>
                    <w:left w:val="nil"/>
                    <w:right w:val="single" w:color="000000" w:sz="4" w:space="0"/>
                  </w:tcBorders>
                  <w:vAlign w:val="center"/>
                </w:tcPr>
                <w:p w14:paraId="27D74382">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1862" w:type="pct"/>
                  <w:gridSpan w:val="2"/>
                  <w:tcBorders>
                    <w:top w:val="single" w:color="000000" w:sz="4" w:space="0"/>
                    <w:left w:val="single" w:color="000000" w:sz="4" w:space="0"/>
                    <w:bottom w:val="single" w:color="000000" w:sz="4" w:space="0"/>
                    <w:right w:val="single" w:color="000000" w:sz="4" w:space="0"/>
                  </w:tcBorders>
                  <w:vAlign w:val="center"/>
                </w:tcPr>
                <w:p w14:paraId="54A82DD0">
                  <w:pPr>
                    <w:keepNext w:val="0"/>
                    <w:keepLines w:val="0"/>
                    <w:pageBreakBefore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747" w:type="pct"/>
                  <w:tcBorders>
                    <w:top w:val="single" w:color="000000" w:sz="4" w:space="0"/>
                    <w:left w:val="single" w:color="000000" w:sz="4" w:space="0"/>
                    <w:bottom w:val="single" w:color="000000" w:sz="4" w:space="0"/>
                    <w:right w:val="single" w:color="000000" w:sz="4" w:space="0"/>
                  </w:tcBorders>
                  <w:vAlign w:val="center"/>
                </w:tcPr>
                <w:p w14:paraId="2FEDB0EB">
                  <w:pPr>
                    <w:keepNext w:val="0"/>
                    <w:keepLines w:val="0"/>
                    <w:pageBreakBefore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rPr>
                  </w:pPr>
                  <w:r>
                    <w:rPr>
                      <w:rFonts w:hint="eastAsia" w:cs="Times New Roman"/>
                      <w:color w:val="auto"/>
                      <w:sz w:val="21"/>
                      <w:szCs w:val="21"/>
                      <w:lang w:eastAsia="zh-CN"/>
                    </w:rPr>
                    <w:t>扩建</w:t>
                  </w:r>
                  <w:r>
                    <w:rPr>
                      <w:rFonts w:hint="default" w:ascii="Times New Roman" w:hAnsi="Times New Roman" w:eastAsia="宋体" w:cs="Times New Roman"/>
                      <w:color w:val="auto"/>
                      <w:sz w:val="21"/>
                      <w:szCs w:val="21"/>
                    </w:rPr>
                    <w:t>项目位于</w:t>
                  </w:r>
                  <w:r>
                    <w:rPr>
                      <w:rFonts w:hint="eastAsia"/>
                      <w:color w:val="auto"/>
                      <w:sz w:val="22"/>
                      <w:szCs w:val="22"/>
                      <w:lang w:val="en-US" w:eastAsia="zh-CN"/>
                    </w:rPr>
                    <w:t>江苏涟水经济开发区涟水路3号</w:t>
                  </w:r>
                  <w:r>
                    <w:rPr>
                      <w:rFonts w:hint="default" w:ascii="Times New Roman" w:hAnsi="Times New Roman" w:eastAsia="宋体" w:cs="Times New Roman"/>
                      <w:color w:val="auto"/>
                      <w:sz w:val="21"/>
                      <w:szCs w:val="21"/>
                    </w:rPr>
                    <w:t>，未利用、占用长江流域河湖岸线。</w:t>
                  </w:r>
                </w:p>
              </w:tc>
              <w:tc>
                <w:tcPr>
                  <w:tcW w:w="320" w:type="pct"/>
                  <w:vMerge w:val="continue"/>
                  <w:tcBorders>
                    <w:left w:val="single" w:color="000000" w:sz="4" w:space="0"/>
                    <w:right w:val="nil"/>
                  </w:tcBorders>
                  <w:vAlign w:val="center"/>
                </w:tcPr>
                <w:p w14:paraId="35529856">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r>
            <w:tr w14:paraId="4B312E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1069" w:type="pct"/>
                  <w:vMerge w:val="continue"/>
                  <w:tcBorders>
                    <w:left w:val="nil"/>
                    <w:right w:val="single" w:color="000000" w:sz="4" w:space="0"/>
                  </w:tcBorders>
                  <w:vAlign w:val="center"/>
                </w:tcPr>
                <w:p w14:paraId="41BDEFF4">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1862" w:type="pct"/>
                  <w:gridSpan w:val="2"/>
                  <w:tcBorders>
                    <w:top w:val="single" w:color="000000" w:sz="4" w:space="0"/>
                    <w:left w:val="single" w:color="000000" w:sz="4" w:space="0"/>
                    <w:bottom w:val="single" w:color="000000" w:sz="4" w:space="0"/>
                    <w:right w:val="single" w:color="000000" w:sz="4" w:space="0"/>
                  </w:tcBorders>
                  <w:vAlign w:val="center"/>
                </w:tcPr>
                <w:p w14:paraId="15731F80">
                  <w:pPr>
                    <w:keepNext w:val="0"/>
                    <w:keepLines w:val="0"/>
                    <w:pageBreakBefore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禁止未经许可在长江干支流及湖泊新设、改设或扩大排污口。</w:t>
                  </w:r>
                </w:p>
              </w:tc>
              <w:tc>
                <w:tcPr>
                  <w:tcW w:w="1747" w:type="pct"/>
                  <w:vMerge w:val="restart"/>
                  <w:tcBorders>
                    <w:top w:val="single" w:color="000000" w:sz="4" w:space="0"/>
                    <w:left w:val="single" w:color="000000" w:sz="4" w:space="0"/>
                    <w:right w:val="single" w:color="000000" w:sz="4" w:space="0"/>
                  </w:tcBorders>
                  <w:vAlign w:val="center"/>
                </w:tcPr>
                <w:p w14:paraId="299A5866">
                  <w:pPr>
                    <w:keepNext w:val="0"/>
                    <w:keepLines w:val="0"/>
                    <w:pageBreakBefore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rPr>
                  </w:pPr>
                  <w:r>
                    <w:rPr>
                      <w:rFonts w:hint="eastAsia" w:cs="Times New Roman"/>
                      <w:color w:val="auto"/>
                      <w:sz w:val="21"/>
                      <w:szCs w:val="21"/>
                      <w:lang w:eastAsia="zh-CN"/>
                    </w:rPr>
                    <w:t>扩建</w:t>
                  </w:r>
                  <w:r>
                    <w:rPr>
                      <w:rFonts w:hint="default" w:ascii="Times New Roman" w:hAnsi="Times New Roman" w:eastAsia="宋体" w:cs="Times New Roman"/>
                      <w:color w:val="auto"/>
                      <w:sz w:val="21"/>
                      <w:szCs w:val="21"/>
                    </w:rPr>
                    <w:t>项目不在长江干支流、重要湖泊岸线一公里范围内，且不涉及化工园区和化工项目，不涉及尾矿库、冶炼渣库和磷石膏库。</w:t>
                  </w:r>
                </w:p>
              </w:tc>
              <w:tc>
                <w:tcPr>
                  <w:tcW w:w="320" w:type="pct"/>
                  <w:vMerge w:val="continue"/>
                  <w:tcBorders>
                    <w:left w:val="single" w:color="000000" w:sz="4" w:space="0"/>
                    <w:right w:val="nil"/>
                  </w:tcBorders>
                  <w:vAlign w:val="center"/>
                </w:tcPr>
                <w:p w14:paraId="56B8BFE3">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r>
            <w:tr w14:paraId="3591D67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1069" w:type="pct"/>
                  <w:vMerge w:val="continue"/>
                  <w:tcBorders>
                    <w:left w:val="nil"/>
                    <w:right w:val="single" w:color="000000" w:sz="4" w:space="0"/>
                  </w:tcBorders>
                  <w:vAlign w:val="center"/>
                </w:tcPr>
                <w:p w14:paraId="4CDA7C1B">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1862" w:type="pct"/>
                  <w:gridSpan w:val="2"/>
                  <w:tcBorders>
                    <w:top w:val="single" w:color="000000" w:sz="4" w:space="0"/>
                    <w:left w:val="single" w:color="000000" w:sz="4" w:space="0"/>
                    <w:bottom w:val="single" w:color="000000" w:sz="4" w:space="0"/>
                    <w:right w:val="single" w:color="000000" w:sz="4" w:space="0"/>
                  </w:tcBorders>
                  <w:vAlign w:val="center"/>
                </w:tcPr>
                <w:p w14:paraId="39E52905">
                  <w:pPr>
                    <w:keepNext w:val="0"/>
                    <w:keepLines w:val="0"/>
                    <w:pageBreakBefore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禁止在“一江一口两湖七河”和332个水生生物保护区开展生产性捕捞。</w:t>
                  </w:r>
                </w:p>
              </w:tc>
              <w:tc>
                <w:tcPr>
                  <w:tcW w:w="1747" w:type="pct"/>
                  <w:vMerge w:val="continue"/>
                  <w:tcBorders>
                    <w:left w:val="single" w:color="000000" w:sz="4" w:space="0"/>
                    <w:right w:val="single" w:color="000000" w:sz="4" w:space="0"/>
                  </w:tcBorders>
                  <w:vAlign w:val="center"/>
                </w:tcPr>
                <w:p w14:paraId="4261B77D">
                  <w:pPr>
                    <w:keepNext w:val="0"/>
                    <w:keepLines w:val="0"/>
                    <w:pageBreakBefore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rPr>
                  </w:pPr>
                </w:p>
              </w:tc>
              <w:tc>
                <w:tcPr>
                  <w:tcW w:w="320" w:type="pct"/>
                  <w:vMerge w:val="continue"/>
                  <w:tcBorders>
                    <w:left w:val="single" w:color="000000" w:sz="4" w:space="0"/>
                    <w:right w:val="nil"/>
                  </w:tcBorders>
                  <w:vAlign w:val="center"/>
                </w:tcPr>
                <w:p w14:paraId="5FF80982">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r>
            <w:tr w14:paraId="3F1DDBD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1069" w:type="pct"/>
                  <w:vMerge w:val="continue"/>
                  <w:tcBorders>
                    <w:left w:val="nil"/>
                    <w:right w:val="single" w:color="000000" w:sz="4" w:space="0"/>
                  </w:tcBorders>
                  <w:vAlign w:val="center"/>
                </w:tcPr>
                <w:p w14:paraId="61A1DB4B">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1862" w:type="pct"/>
                  <w:gridSpan w:val="2"/>
                  <w:tcBorders>
                    <w:top w:val="single" w:color="000000" w:sz="4" w:space="0"/>
                    <w:left w:val="single" w:color="000000" w:sz="4" w:space="0"/>
                    <w:bottom w:val="single" w:color="000000" w:sz="4" w:space="0"/>
                    <w:right w:val="single" w:color="000000" w:sz="4" w:space="0"/>
                  </w:tcBorders>
                  <w:vAlign w:val="center"/>
                </w:tcPr>
                <w:p w14:paraId="5DA72251">
                  <w:pPr>
                    <w:keepNext w:val="0"/>
                    <w:keepLines w:val="0"/>
                    <w:pageBreakBefore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在长江干支流、重要湖泊岸线一公里范围内新建、改建化工园区和化工项目。禁止在长江干流岸线三公里范围内和重要支流岸线一公里范围内新建、改建、改建尾矿库、冶炼渣库和磷石膏库，以提升安全、生态环境保护水平为目的的改建除外。</w:t>
                  </w:r>
                </w:p>
              </w:tc>
              <w:tc>
                <w:tcPr>
                  <w:tcW w:w="1747" w:type="pct"/>
                  <w:vMerge w:val="continue"/>
                  <w:tcBorders>
                    <w:left w:val="single" w:color="000000" w:sz="4" w:space="0"/>
                    <w:bottom w:val="single" w:color="000000" w:sz="4" w:space="0"/>
                    <w:right w:val="single" w:color="000000" w:sz="4" w:space="0"/>
                  </w:tcBorders>
                  <w:vAlign w:val="center"/>
                </w:tcPr>
                <w:p w14:paraId="4D353B71">
                  <w:pPr>
                    <w:keepNext w:val="0"/>
                    <w:keepLines w:val="0"/>
                    <w:pageBreakBefore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rPr>
                  </w:pPr>
                </w:p>
              </w:tc>
              <w:tc>
                <w:tcPr>
                  <w:tcW w:w="320" w:type="pct"/>
                  <w:vMerge w:val="continue"/>
                  <w:tcBorders>
                    <w:left w:val="single" w:color="000000" w:sz="4" w:space="0"/>
                    <w:right w:val="nil"/>
                  </w:tcBorders>
                  <w:vAlign w:val="center"/>
                </w:tcPr>
                <w:p w14:paraId="46EFB40E">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r>
            <w:tr w14:paraId="4A01FE2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1069" w:type="pct"/>
                  <w:vMerge w:val="continue"/>
                  <w:tcBorders>
                    <w:left w:val="nil"/>
                    <w:right w:val="single" w:color="000000" w:sz="4" w:space="0"/>
                  </w:tcBorders>
                  <w:vAlign w:val="center"/>
                </w:tcPr>
                <w:p w14:paraId="40FBA2B1">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1862" w:type="pct"/>
                  <w:gridSpan w:val="2"/>
                  <w:tcBorders>
                    <w:top w:val="single" w:color="000000" w:sz="4" w:space="0"/>
                    <w:left w:val="single" w:color="000000" w:sz="4" w:space="0"/>
                    <w:bottom w:val="single" w:color="000000" w:sz="4" w:space="0"/>
                    <w:right w:val="single" w:color="000000" w:sz="4" w:space="0"/>
                  </w:tcBorders>
                  <w:vAlign w:val="center"/>
                </w:tcPr>
                <w:p w14:paraId="02202E09">
                  <w:pPr>
                    <w:keepNext w:val="0"/>
                    <w:keepLines w:val="0"/>
                    <w:pageBreakBefore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禁止在合规园区外新建、扩建钢铁、石化、化工、焦化、建材、有色、制浆造纸等高污染项目。</w:t>
                  </w:r>
                </w:p>
              </w:tc>
              <w:tc>
                <w:tcPr>
                  <w:tcW w:w="1747" w:type="pct"/>
                  <w:vMerge w:val="restart"/>
                  <w:tcBorders>
                    <w:left w:val="single" w:color="000000" w:sz="4" w:space="0"/>
                    <w:right w:val="single" w:color="000000" w:sz="4" w:space="0"/>
                  </w:tcBorders>
                  <w:vAlign w:val="center"/>
                </w:tcPr>
                <w:p w14:paraId="1395BB22">
                  <w:pPr>
                    <w:keepNext w:val="0"/>
                    <w:keepLines w:val="0"/>
                    <w:pageBreakBefore w:val="0"/>
                    <w:kinsoku/>
                    <w:wordWrap/>
                    <w:overflowPunct/>
                    <w:topLinePunct w:val="0"/>
                    <w:autoSpaceDE/>
                    <w:autoSpaceDN/>
                    <w:bidi w:val="0"/>
                    <w:jc w:val="left"/>
                    <w:textAlignment w:val="auto"/>
                    <w:rPr>
                      <w:rFonts w:hint="default" w:ascii="Times New Roman" w:hAnsi="Times New Roman" w:eastAsia="宋体" w:cs="Times New Roman"/>
                      <w:color w:val="auto"/>
                      <w:sz w:val="21"/>
                      <w:szCs w:val="21"/>
                    </w:rPr>
                  </w:pPr>
                  <w:r>
                    <w:rPr>
                      <w:rFonts w:hint="eastAsia" w:cs="Times New Roman"/>
                      <w:color w:val="auto"/>
                      <w:sz w:val="21"/>
                      <w:szCs w:val="21"/>
                      <w:lang w:eastAsia="zh-CN"/>
                    </w:rPr>
                    <w:t>扩建</w:t>
                  </w:r>
                  <w:r>
                    <w:rPr>
                      <w:rFonts w:hint="default" w:ascii="Times New Roman" w:hAnsi="Times New Roman" w:eastAsia="宋体" w:cs="Times New Roman"/>
                      <w:color w:val="auto"/>
                      <w:sz w:val="21"/>
                      <w:szCs w:val="21"/>
                    </w:rPr>
                    <w:t>项目位于</w:t>
                  </w:r>
                  <w:r>
                    <w:rPr>
                      <w:rFonts w:hint="eastAsia"/>
                      <w:color w:val="auto"/>
                      <w:sz w:val="22"/>
                      <w:szCs w:val="22"/>
                      <w:lang w:val="en-US" w:eastAsia="zh-CN"/>
                    </w:rPr>
                    <w:t>江苏涟水经济开发区涟水路3号</w:t>
                  </w:r>
                  <w:r>
                    <w:rPr>
                      <w:rFonts w:hint="default" w:ascii="Times New Roman" w:hAnsi="Times New Roman" w:eastAsia="宋体" w:cs="Times New Roman"/>
                      <w:color w:val="auto"/>
                      <w:sz w:val="21"/>
                      <w:szCs w:val="21"/>
                    </w:rPr>
                    <w:t>，属于合规园区，且不属于所列高污染项目。</w:t>
                  </w:r>
                </w:p>
              </w:tc>
              <w:tc>
                <w:tcPr>
                  <w:tcW w:w="320" w:type="pct"/>
                  <w:vMerge w:val="continue"/>
                  <w:tcBorders>
                    <w:left w:val="single" w:color="000000" w:sz="4" w:space="0"/>
                    <w:right w:val="nil"/>
                  </w:tcBorders>
                  <w:vAlign w:val="center"/>
                </w:tcPr>
                <w:p w14:paraId="29B24558">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r>
            <w:tr w14:paraId="76CF743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958" w:hRule="atLeast"/>
                <w:jc w:val="center"/>
              </w:trPr>
              <w:tc>
                <w:tcPr>
                  <w:tcW w:w="1069" w:type="pct"/>
                  <w:vMerge w:val="continue"/>
                  <w:tcBorders>
                    <w:left w:val="nil"/>
                    <w:right w:val="single" w:color="000000" w:sz="4" w:space="0"/>
                  </w:tcBorders>
                  <w:vAlign w:val="center"/>
                </w:tcPr>
                <w:p w14:paraId="0690B1BF">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1862" w:type="pct"/>
                  <w:gridSpan w:val="2"/>
                  <w:tcBorders>
                    <w:top w:val="single" w:color="000000" w:sz="4" w:space="0"/>
                    <w:left w:val="single" w:color="000000" w:sz="4" w:space="0"/>
                    <w:right w:val="single" w:color="000000" w:sz="4" w:space="0"/>
                  </w:tcBorders>
                  <w:vAlign w:val="center"/>
                </w:tcPr>
                <w:p w14:paraId="4D2C7740">
                  <w:pPr>
                    <w:keepNext w:val="0"/>
                    <w:keepLines w:val="0"/>
                    <w:pageBreakBefore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在合规园区外新建、改建钢铁、石化、化工、焦化、建材、有色等高污染项目。名录按照《江苏省长江经济带发展负面清单实施细则(试行)合规园区名录》执行。高污染项目应严格按照《环境保护综合名录》等有关要求执行。</w:t>
                  </w:r>
                </w:p>
              </w:tc>
              <w:tc>
                <w:tcPr>
                  <w:tcW w:w="1747" w:type="pct"/>
                  <w:vMerge w:val="continue"/>
                  <w:tcBorders>
                    <w:left w:val="single" w:color="000000" w:sz="4" w:space="0"/>
                    <w:right w:val="single" w:color="000000" w:sz="4" w:space="0"/>
                  </w:tcBorders>
                  <w:vAlign w:val="center"/>
                </w:tcPr>
                <w:p w14:paraId="70F8B3D1">
                  <w:pPr>
                    <w:keepNext w:val="0"/>
                    <w:keepLines w:val="0"/>
                    <w:pageBreakBefore w:val="0"/>
                    <w:kinsoku/>
                    <w:wordWrap/>
                    <w:overflowPunct/>
                    <w:topLinePunct w:val="0"/>
                    <w:autoSpaceDE/>
                    <w:autoSpaceDN/>
                    <w:bidi w:val="0"/>
                    <w:jc w:val="left"/>
                    <w:textAlignment w:val="auto"/>
                    <w:rPr>
                      <w:rFonts w:hint="default" w:ascii="Times New Roman" w:hAnsi="Times New Roman" w:eastAsia="宋体" w:cs="Times New Roman"/>
                      <w:color w:val="auto"/>
                      <w:sz w:val="21"/>
                      <w:szCs w:val="21"/>
                    </w:rPr>
                  </w:pPr>
                </w:p>
              </w:tc>
              <w:tc>
                <w:tcPr>
                  <w:tcW w:w="320" w:type="pct"/>
                  <w:vMerge w:val="continue"/>
                  <w:tcBorders>
                    <w:left w:val="single" w:color="000000" w:sz="4" w:space="0"/>
                    <w:right w:val="nil"/>
                  </w:tcBorders>
                  <w:vAlign w:val="center"/>
                </w:tcPr>
                <w:p w14:paraId="295739C5">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r>
            <w:tr w14:paraId="68C90CF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1069" w:type="pct"/>
                  <w:vMerge w:val="continue"/>
                  <w:tcBorders>
                    <w:left w:val="nil"/>
                    <w:right w:val="single" w:color="000000" w:sz="4" w:space="0"/>
                  </w:tcBorders>
                  <w:vAlign w:val="center"/>
                </w:tcPr>
                <w:p w14:paraId="0757CED4">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1862" w:type="pct"/>
                  <w:gridSpan w:val="2"/>
                  <w:tcBorders>
                    <w:top w:val="single" w:color="000000" w:sz="4" w:space="0"/>
                    <w:left w:val="single" w:color="000000" w:sz="4" w:space="0"/>
                    <w:bottom w:val="single" w:color="000000" w:sz="4" w:space="0"/>
                    <w:right w:val="single" w:color="000000" w:sz="4" w:space="0"/>
                  </w:tcBorders>
                  <w:vAlign w:val="center"/>
                </w:tcPr>
                <w:p w14:paraId="1019A1CA">
                  <w:pPr>
                    <w:keepNext w:val="0"/>
                    <w:keepLines w:val="0"/>
                    <w:pageBreakBefore w:val="0"/>
                    <w:kinsoku/>
                    <w:wordWrap/>
                    <w:overflowPunct/>
                    <w:topLinePunct w:val="0"/>
                    <w:autoSpaceDE/>
                    <w:autoSpaceDN/>
                    <w:bidi w:val="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禁止新建、扩建不符合国家石化、现代煤化工等产业布局规划的项目，禁止新建独立焦化项目。</w:t>
                  </w:r>
                </w:p>
              </w:tc>
              <w:tc>
                <w:tcPr>
                  <w:tcW w:w="1747" w:type="pct"/>
                  <w:tcBorders>
                    <w:left w:val="single" w:color="000000" w:sz="4" w:space="0"/>
                    <w:bottom w:val="single" w:color="000000" w:sz="4" w:space="0"/>
                    <w:right w:val="single" w:color="000000" w:sz="4" w:space="0"/>
                  </w:tcBorders>
                  <w:vAlign w:val="center"/>
                </w:tcPr>
                <w:p w14:paraId="77372092">
                  <w:pPr>
                    <w:keepNext w:val="0"/>
                    <w:keepLines w:val="0"/>
                    <w:pageBreakBefore w:val="0"/>
                    <w:kinsoku/>
                    <w:wordWrap/>
                    <w:overflowPunct/>
                    <w:topLinePunct w:val="0"/>
                    <w:autoSpaceDE/>
                    <w:autoSpaceDN/>
                    <w:bidi w:val="0"/>
                    <w:jc w:val="left"/>
                    <w:textAlignment w:val="auto"/>
                    <w:rPr>
                      <w:rFonts w:hint="default" w:ascii="Times New Roman" w:hAnsi="Times New Roman" w:eastAsia="宋体" w:cs="Times New Roman"/>
                      <w:color w:val="auto"/>
                      <w:sz w:val="21"/>
                      <w:szCs w:val="21"/>
                    </w:rPr>
                  </w:pPr>
                  <w:r>
                    <w:rPr>
                      <w:rFonts w:hint="eastAsia" w:cs="Times New Roman"/>
                      <w:color w:val="auto"/>
                      <w:sz w:val="21"/>
                      <w:szCs w:val="21"/>
                      <w:lang w:eastAsia="zh-CN"/>
                    </w:rPr>
                    <w:t>扩建</w:t>
                  </w:r>
                  <w:r>
                    <w:rPr>
                      <w:rFonts w:hint="default" w:ascii="Times New Roman" w:hAnsi="Times New Roman" w:eastAsia="宋体" w:cs="Times New Roman"/>
                      <w:color w:val="auto"/>
                      <w:sz w:val="21"/>
                      <w:szCs w:val="21"/>
                    </w:rPr>
                    <w:t>项目为预制水产及肉类</w:t>
                  </w:r>
                  <w:r>
                    <w:rPr>
                      <w:rFonts w:hint="eastAsia" w:ascii="Times New Roman" w:hAnsi="Times New Roman" w:eastAsia="宋体" w:cs="Times New Roman"/>
                      <w:color w:val="auto"/>
                      <w:sz w:val="21"/>
                      <w:szCs w:val="21"/>
                      <w:lang w:eastAsia="zh-CN"/>
                    </w:rPr>
                    <w:t>生产</w:t>
                  </w:r>
                  <w:r>
                    <w:rPr>
                      <w:rFonts w:hint="eastAsia" w:cs="Times New Roman"/>
                      <w:color w:val="auto"/>
                      <w:sz w:val="21"/>
                      <w:szCs w:val="21"/>
                      <w:lang w:eastAsia="zh-CN"/>
                    </w:rPr>
                    <w:t>项目</w:t>
                  </w:r>
                  <w:r>
                    <w:rPr>
                      <w:rFonts w:hint="default" w:ascii="Times New Roman" w:hAnsi="Times New Roman" w:eastAsia="宋体" w:cs="Times New Roman"/>
                      <w:color w:val="auto"/>
                      <w:sz w:val="21"/>
                      <w:szCs w:val="21"/>
                    </w:rPr>
                    <w:t>，不属于国家石化、现代煤化工等产业。</w:t>
                  </w:r>
                </w:p>
              </w:tc>
              <w:tc>
                <w:tcPr>
                  <w:tcW w:w="320" w:type="pct"/>
                  <w:vMerge w:val="continue"/>
                  <w:tcBorders>
                    <w:left w:val="single" w:color="000000" w:sz="4" w:space="0"/>
                    <w:right w:val="nil"/>
                  </w:tcBorders>
                  <w:vAlign w:val="center"/>
                </w:tcPr>
                <w:p w14:paraId="283DD690">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r>
            <w:tr w14:paraId="700E35A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1069" w:type="pct"/>
                  <w:vMerge w:val="continue"/>
                  <w:tcBorders>
                    <w:left w:val="nil"/>
                    <w:right w:val="single" w:color="000000" w:sz="4" w:space="0"/>
                  </w:tcBorders>
                  <w:vAlign w:val="center"/>
                </w:tcPr>
                <w:p w14:paraId="63375F0D">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1862" w:type="pct"/>
                  <w:gridSpan w:val="2"/>
                  <w:tcBorders>
                    <w:top w:val="single" w:color="000000" w:sz="4" w:space="0"/>
                    <w:left w:val="single" w:color="000000" w:sz="4" w:space="0"/>
                    <w:bottom w:val="single" w:color="000000" w:sz="4" w:space="0"/>
                    <w:right w:val="single" w:color="000000" w:sz="4" w:space="0"/>
                  </w:tcBorders>
                  <w:vAlign w:val="center"/>
                </w:tcPr>
                <w:p w14:paraId="2A83EB73">
                  <w:pPr>
                    <w:keepNext w:val="0"/>
                    <w:keepLines w:val="0"/>
                    <w:pageBreakBefore w:val="0"/>
                    <w:kinsoku/>
                    <w:wordWrap/>
                    <w:overflowPunct/>
                    <w:topLinePunct w:val="0"/>
                    <w:autoSpaceDE/>
                    <w:autoSpaceDN/>
                    <w:bidi w:val="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禁止新建、扩建法律法规和相关政策明令禁止的落后产能项目。禁止新建、扩建不符合国家产能置换要求的严重过剩产能行业的项目。禁止新建、扩建不符合要求的高耗能高排放项目。</w:t>
                  </w:r>
                </w:p>
              </w:tc>
              <w:tc>
                <w:tcPr>
                  <w:tcW w:w="1747" w:type="pct"/>
                  <w:tcBorders>
                    <w:left w:val="single" w:color="000000" w:sz="4" w:space="0"/>
                    <w:bottom w:val="single" w:color="000000" w:sz="4" w:space="0"/>
                    <w:right w:val="single" w:color="000000" w:sz="4" w:space="0"/>
                  </w:tcBorders>
                  <w:vAlign w:val="center"/>
                </w:tcPr>
                <w:p w14:paraId="4FDCC07D">
                  <w:pPr>
                    <w:keepNext w:val="0"/>
                    <w:keepLines w:val="0"/>
                    <w:pageBreakBefore w:val="0"/>
                    <w:kinsoku/>
                    <w:wordWrap/>
                    <w:overflowPunct/>
                    <w:topLinePunct w:val="0"/>
                    <w:autoSpaceDE/>
                    <w:autoSpaceDN/>
                    <w:bidi w:val="0"/>
                    <w:jc w:val="left"/>
                    <w:textAlignment w:val="auto"/>
                    <w:rPr>
                      <w:rFonts w:hint="default" w:ascii="Times New Roman" w:hAnsi="Times New Roman" w:eastAsia="宋体" w:cs="Times New Roman"/>
                      <w:color w:val="auto"/>
                      <w:sz w:val="21"/>
                      <w:szCs w:val="21"/>
                    </w:rPr>
                  </w:pPr>
                  <w:r>
                    <w:rPr>
                      <w:rFonts w:hint="eastAsia" w:cs="Times New Roman"/>
                      <w:color w:val="auto"/>
                      <w:sz w:val="21"/>
                      <w:szCs w:val="21"/>
                      <w:lang w:eastAsia="zh-CN"/>
                    </w:rPr>
                    <w:t>扩建</w:t>
                  </w:r>
                  <w:r>
                    <w:rPr>
                      <w:rFonts w:hint="default" w:ascii="Times New Roman" w:hAnsi="Times New Roman" w:eastAsia="宋体" w:cs="Times New Roman"/>
                      <w:color w:val="auto"/>
                      <w:sz w:val="21"/>
                      <w:szCs w:val="21"/>
                    </w:rPr>
                    <w:t>项目不属于落后产能项目，不涉及产能置换行业，不属于高耗能高排放项目。</w:t>
                  </w:r>
                </w:p>
              </w:tc>
              <w:tc>
                <w:tcPr>
                  <w:tcW w:w="320" w:type="pct"/>
                  <w:vMerge w:val="continue"/>
                  <w:tcBorders>
                    <w:left w:val="single" w:color="000000" w:sz="4" w:space="0"/>
                    <w:right w:val="nil"/>
                  </w:tcBorders>
                  <w:vAlign w:val="center"/>
                </w:tcPr>
                <w:p w14:paraId="1E315212">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r>
            <w:tr w14:paraId="6A130F2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1069" w:type="pct"/>
                  <w:vMerge w:val="continue"/>
                  <w:tcBorders>
                    <w:left w:val="nil"/>
                    <w:bottom w:val="single" w:color="000000" w:sz="4" w:space="0"/>
                    <w:right w:val="single" w:color="000000" w:sz="4" w:space="0"/>
                  </w:tcBorders>
                  <w:vAlign w:val="center"/>
                </w:tcPr>
                <w:p w14:paraId="70DC8F52">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1862" w:type="pct"/>
                  <w:gridSpan w:val="2"/>
                  <w:tcBorders>
                    <w:top w:val="single" w:color="000000" w:sz="4" w:space="0"/>
                    <w:left w:val="single" w:color="000000" w:sz="4" w:space="0"/>
                    <w:bottom w:val="single" w:color="000000" w:sz="4" w:space="0"/>
                    <w:right w:val="single" w:color="000000" w:sz="4" w:space="0"/>
                  </w:tcBorders>
                  <w:vAlign w:val="center"/>
                </w:tcPr>
                <w:p w14:paraId="35DD52CC">
                  <w:pPr>
                    <w:keepNext w:val="0"/>
                    <w:keepLines w:val="0"/>
                    <w:pageBreakBefore w:val="0"/>
                    <w:kinsoku/>
                    <w:wordWrap/>
                    <w:overflowPunct/>
                    <w:topLinePunct w:val="0"/>
                    <w:autoSpaceDE/>
                    <w:autoSpaceDN/>
                    <w:bidi w:val="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新建、改建国家《产业结构调整指导目录》《江苏省产业结构调整限制、淘汰和禁止目录》明确的限制类、淘汰类、禁止类项目，法律法规和相关政策明令禁止的落后产能项目，以及明令淘汰的安全生产落后工艺及装备项目。</w:t>
                  </w:r>
                </w:p>
              </w:tc>
              <w:tc>
                <w:tcPr>
                  <w:tcW w:w="1747" w:type="pct"/>
                  <w:tcBorders>
                    <w:left w:val="single" w:color="000000" w:sz="4" w:space="0"/>
                    <w:bottom w:val="single" w:color="000000" w:sz="4" w:space="0"/>
                    <w:right w:val="single" w:color="000000" w:sz="4" w:space="0"/>
                  </w:tcBorders>
                  <w:vAlign w:val="center"/>
                </w:tcPr>
                <w:p w14:paraId="65103DB7">
                  <w:pPr>
                    <w:keepNext w:val="0"/>
                    <w:keepLines w:val="0"/>
                    <w:pageBreakBefore w:val="0"/>
                    <w:kinsoku/>
                    <w:wordWrap/>
                    <w:overflowPunct/>
                    <w:topLinePunct w:val="0"/>
                    <w:autoSpaceDE/>
                    <w:autoSpaceDN/>
                    <w:bidi w:val="0"/>
                    <w:jc w:val="left"/>
                    <w:textAlignment w:val="auto"/>
                    <w:rPr>
                      <w:rFonts w:hint="default" w:ascii="Times New Roman" w:hAnsi="Times New Roman" w:eastAsia="宋体" w:cs="Times New Roman"/>
                      <w:color w:val="auto"/>
                      <w:sz w:val="21"/>
                      <w:szCs w:val="21"/>
                    </w:rPr>
                  </w:pPr>
                  <w:r>
                    <w:rPr>
                      <w:rFonts w:hint="eastAsia" w:cs="Times New Roman"/>
                      <w:color w:val="auto"/>
                      <w:sz w:val="21"/>
                      <w:szCs w:val="21"/>
                      <w:lang w:eastAsia="zh-CN"/>
                    </w:rPr>
                    <w:t>扩建</w:t>
                  </w:r>
                  <w:r>
                    <w:rPr>
                      <w:rFonts w:hint="default" w:ascii="Times New Roman" w:hAnsi="Times New Roman" w:eastAsia="宋体" w:cs="Times New Roman"/>
                      <w:color w:val="auto"/>
                      <w:sz w:val="21"/>
                      <w:szCs w:val="21"/>
                    </w:rPr>
                    <w:t>项目不属于国家《产业结构调整指导目录》（2024年本）明确的限制类、淘汰类项目，不属于法律法规和相关政策明令禁止的落后产能以及明令淘汰的安全生产落后工艺及装备项目。</w:t>
                  </w:r>
                </w:p>
              </w:tc>
              <w:tc>
                <w:tcPr>
                  <w:tcW w:w="320" w:type="pct"/>
                  <w:vMerge w:val="continue"/>
                  <w:tcBorders>
                    <w:left w:val="single" w:color="000000" w:sz="4" w:space="0"/>
                    <w:bottom w:val="single" w:color="000000" w:sz="4" w:space="0"/>
                    <w:right w:val="nil"/>
                  </w:tcBorders>
                  <w:vAlign w:val="center"/>
                </w:tcPr>
                <w:p w14:paraId="5C883986">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r>
            <w:tr w14:paraId="3161808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1069" w:type="pct"/>
                  <w:vMerge w:val="restart"/>
                  <w:tcBorders>
                    <w:top w:val="single" w:color="auto" w:sz="4" w:space="0"/>
                    <w:left w:val="nil"/>
                    <w:bottom w:val="single" w:color="auto" w:sz="4" w:space="0"/>
                    <w:right w:val="single" w:color="auto" w:sz="4" w:space="0"/>
                  </w:tcBorders>
                  <w:vAlign w:val="center"/>
                </w:tcPr>
                <w:p w14:paraId="4ADB5508">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《江苏省生态环境厅关于进一步做好建设项目环评审批工作的通知》</w:t>
                  </w:r>
                </w:p>
              </w:tc>
              <w:tc>
                <w:tcPr>
                  <w:tcW w:w="471" w:type="pct"/>
                  <w:vMerge w:val="restart"/>
                  <w:tcBorders>
                    <w:top w:val="single" w:color="000000" w:sz="4" w:space="0"/>
                    <w:left w:val="single" w:color="auto" w:sz="4" w:space="0"/>
                    <w:bottom w:val="single" w:color="000000" w:sz="4" w:space="0"/>
                    <w:right w:val="single" w:color="auto" w:sz="4" w:space="0"/>
                  </w:tcBorders>
                  <w:vAlign w:val="center"/>
                </w:tcPr>
                <w:p w14:paraId="258511C2">
                  <w:pPr>
                    <w:keepNext w:val="0"/>
                    <w:keepLines w:val="0"/>
                    <w:pageBreakBefore w:val="0"/>
                    <w:tabs>
                      <w:tab w:val="left" w:pos="1418"/>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以下情形不予审批</w:t>
                  </w:r>
                </w:p>
              </w:tc>
              <w:tc>
                <w:tcPr>
                  <w:tcW w:w="1391" w:type="pct"/>
                  <w:tcBorders>
                    <w:top w:val="single" w:color="000000" w:sz="4" w:space="0"/>
                    <w:left w:val="single" w:color="auto" w:sz="4" w:space="0"/>
                    <w:bottom w:val="single" w:color="000000" w:sz="4" w:space="0"/>
                    <w:right w:val="single" w:color="000000" w:sz="4" w:space="0"/>
                  </w:tcBorders>
                  <w:vAlign w:val="center"/>
                </w:tcPr>
                <w:p w14:paraId="782BB935">
                  <w:pPr>
                    <w:keepNext w:val="0"/>
                    <w:keepLines w:val="0"/>
                    <w:pageBreakBefore w:val="0"/>
                    <w:tabs>
                      <w:tab w:val="left" w:pos="1418"/>
                    </w:tabs>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建设项目类型及其选址、布局、规模等不符合环境保护法律法规和相关法定规划</w:t>
                  </w:r>
                </w:p>
              </w:tc>
              <w:tc>
                <w:tcPr>
                  <w:tcW w:w="1747" w:type="pct"/>
                  <w:tcBorders>
                    <w:top w:val="single" w:color="000000" w:sz="4" w:space="0"/>
                    <w:left w:val="single" w:color="000000" w:sz="4" w:space="0"/>
                    <w:bottom w:val="single" w:color="000000" w:sz="4" w:space="0"/>
                    <w:right w:val="single" w:color="auto" w:sz="4" w:space="0"/>
                  </w:tcBorders>
                  <w:vAlign w:val="center"/>
                </w:tcPr>
                <w:p w14:paraId="49DFE9AE">
                  <w:pPr>
                    <w:keepNext w:val="0"/>
                    <w:keepLines w:val="0"/>
                    <w:pageBreakBefore w:val="0"/>
                    <w:kinsoku/>
                    <w:wordWrap/>
                    <w:overflowPunct/>
                    <w:topLinePunct w:val="0"/>
                    <w:autoSpaceDE/>
                    <w:autoSpaceDN/>
                    <w:bidi w:val="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经过与“三线一单”及规划相符性分析可知，建设项目类型及其选址、布局、规模等均符合环境保护法律法规和相关法定规划。</w:t>
                  </w:r>
                </w:p>
              </w:tc>
              <w:tc>
                <w:tcPr>
                  <w:tcW w:w="320" w:type="pct"/>
                  <w:vMerge w:val="restart"/>
                  <w:tcBorders>
                    <w:top w:val="single" w:color="auto" w:sz="4" w:space="0"/>
                    <w:left w:val="single" w:color="auto" w:sz="4" w:space="0"/>
                    <w:bottom w:val="single" w:color="auto" w:sz="4" w:space="0"/>
                    <w:right w:val="nil"/>
                  </w:tcBorders>
                  <w:vAlign w:val="center"/>
                </w:tcPr>
                <w:p w14:paraId="1D37EEEE">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28F96FE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1069" w:type="pct"/>
                  <w:vMerge w:val="continue"/>
                  <w:tcBorders>
                    <w:top w:val="single" w:color="auto" w:sz="4" w:space="0"/>
                    <w:left w:val="nil"/>
                    <w:bottom w:val="single" w:color="auto" w:sz="4" w:space="0"/>
                    <w:right w:val="single" w:color="auto" w:sz="4" w:space="0"/>
                  </w:tcBorders>
                  <w:vAlign w:val="center"/>
                </w:tcPr>
                <w:p w14:paraId="53926275">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471" w:type="pct"/>
                  <w:vMerge w:val="continue"/>
                  <w:tcBorders>
                    <w:top w:val="single" w:color="000000" w:sz="4" w:space="0"/>
                    <w:left w:val="single" w:color="auto" w:sz="4" w:space="0"/>
                    <w:bottom w:val="single" w:color="000000" w:sz="4" w:space="0"/>
                    <w:right w:val="single" w:color="auto" w:sz="4" w:space="0"/>
                  </w:tcBorders>
                  <w:vAlign w:val="center"/>
                </w:tcPr>
                <w:p w14:paraId="5C211780">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1391" w:type="pct"/>
                  <w:tcBorders>
                    <w:top w:val="single" w:color="000000" w:sz="4" w:space="0"/>
                    <w:left w:val="single" w:color="auto" w:sz="4" w:space="0"/>
                    <w:bottom w:val="single" w:color="000000" w:sz="4" w:space="0"/>
                    <w:right w:val="single" w:color="000000" w:sz="4" w:space="0"/>
                  </w:tcBorders>
                  <w:vAlign w:val="center"/>
                </w:tcPr>
                <w:p w14:paraId="6AA575FF">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所在区域环境质量未达到国家或者地方环境质量标准，且建设项目拟采取的措施不能满足区域环境质量改善目标管理要求</w:t>
                  </w:r>
                </w:p>
              </w:tc>
              <w:tc>
                <w:tcPr>
                  <w:tcW w:w="1747" w:type="pct"/>
                  <w:tcBorders>
                    <w:top w:val="single" w:color="000000" w:sz="4" w:space="0"/>
                    <w:left w:val="single" w:color="000000" w:sz="4" w:space="0"/>
                    <w:bottom w:val="single" w:color="000000" w:sz="4" w:space="0"/>
                    <w:right w:val="single" w:color="auto" w:sz="4" w:space="0"/>
                  </w:tcBorders>
                  <w:vAlign w:val="center"/>
                </w:tcPr>
                <w:p w14:paraId="64371BD8">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所在区域</w:t>
                  </w:r>
                  <w:r>
                    <w:rPr>
                      <w:rFonts w:hint="eastAsia" w:eastAsia="宋体" w:cs="Times New Roman"/>
                      <w:color w:val="auto"/>
                      <w:sz w:val="21"/>
                      <w:szCs w:val="21"/>
                      <w:lang w:val="en-US" w:eastAsia="zh-CN"/>
                    </w:rPr>
                    <w:t>属于</w:t>
                  </w:r>
                  <w:r>
                    <w:rPr>
                      <w:rFonts w:hint="default" w:ascii="Times New Roman" w:hAnsi="Times New Roman" w:eastAsia="宋体" w:cs="Times New Roman"/>
                      <w:color w:val="auto"/>
                      <w:sz w:val="21"/>
                      <w:szCs w:val="21"/>
                      <w:lang w:val="en-US" w:eastAsia="zh-CN"/>
                    </w:rPr>
                    <w:t>环境空气</w:t>
                  </w:r>
                  <w:r>
                    <w:rPr>
                      <w:rFonts w:hint="eastAsia" w:eastAsia="宋体" w:cs="Times New Roman"/>
                      <w:color w:val="auto"/>
                      <w:sz w:val="21"/>
                      <w:szCs w:val="21"/>
                      <w:lang w:val="en-US" w:eastAsia="zh-CN"/>
                    </w:rPr>
                    <w:t>不达标区</w:t>
                  </w:r>
                  <w:r>
                    <w:rPr>
                      <w:rFonts w:hint="default" w:ascii="Times New Roman" w:hAnsi="Times New Roman" w:eastAsia="宋体" w:cs="Times New Roman"/>
                      <w:color w:val="auto"/>
                      <w:sz w:val="21"/>
                      <w:szCs w:val="21"/>
                      <w:lang w:val="en-US" w:eastAsia="zh-CN"/>
                    </w:rPr>
                    <w:t>，其他污染物非甲烷总烃未超过环境质量标准</w:t>
                  </w:r>
                  <w:r>
                    <w:rPr>
                      <w:rFonts w:hint="eastAsia" w:eastAsia="宋体" w:cs="Times New Roman"/>
                      <w:color w:val="auto"/>
                      <w:sz w:val="21"/>
                      <w:szCs w:val="21"/>
                      <w:lang w:val="en-US" w:eastAsia="zh-CN"/>
                    </w:rPr>
                    <w:t>，随着《关于印发&lt;淮安市2024年大气污染防治工作计划&gt;&lt;淮安市2024年水生态环境保护工作计划&gt;的通知》（淮污防攻坚指办</w:t>
                  </w:r>
                  <w:r>
                    <w:rPr>
                      <w:rFonts w:hint="eastAsia" w:cs="Times New Roman"/>
                      <w:color w:val="auto"/>
                      <w:sz w:val="21"/>
                      <w:szCs w:val="21"/>
                      <w:lang w:val="en-US" w:eastAsia="zh-CN"/>
                    </w:rPr>
                    <w:t>〔2024〕50号</w:t>
                  </w:r>
                  <w:r>
                    <w:rPr>
                      <w:rFonts w:hint="eastAsia" w:eastAsia="宋体" w:cs="Times New Roman"/>
                      <w:color w:val="auto"/>
                      <w:sz w:val="21"/>
                      <w:szCs w:val="21"/>
                      <w:lang w:val="en-US" w:eastAsia="zh-CN"/>
                    </w:rPr>
                    <w:t>）等防治计划的落实，淮安市持续开展空气质量改善行动以及“开展三源整治、留住蓝天白云”扬尘管控集中整治行动，深入推进“48小时+12天”大气环境质量改善专项攻坚，预期淮安市环境空气质量状况会进一步改善</w:t>
                  </w:r>
                  <w:r>
                    <w:rPr>
                      <w:rFonts w:hint="default" w:ascii="Times New Roman" w:hAnsi="Times New Roman" w:eastAsia="宋体" w:cs="Times New Roman"/>
                      <w:color w:val="auto"/>
                      <w:sz w:val="21"/>
                      <w:szCs w:val="21"/>
                      <w:lang w:val="en-US" w:eastAsia="zh-CN"/>
                    </w:rPr>
                    <w:t>；根据《202</w:t>
                  </w: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lang w:val="en-US" w:eastAsia="zh-CN"/>
                    </w:rPr>
                    <w:t>年淮安市生态环境状况公报》</w:t>
                  </w:r>
                  <w:r>
                    <w:rPr>
                      <w:rFonts w:hint="eastAsia" w:ascii="Times New Roman" w:hAnsi="Times New Roman" w:eastAsia="宋体" w:cs="Times New Roman"/>
                      <w:color w:val="auto"/>
                      <w:sz w:val="21"/>
                      <w:szCs w:val="21"/>
                      <w:lang w:val="en-US" w:eastAsia="zh-CN"/>
                    </w:rPr>
                    <w:t>，盐河</w:t>
                  </w:r>
                  <w:r>
                    <w:rPr>
                      <w:rFonts w:hint="default" w:ascii="Times New Roman" w:hAnsi="Times New Roman" w:eastAsia="宋体" w:cs="Times New Roman"/>
                      <w:color w:val="auto"/>
                      <w:sz w:val="21"/>
                      <w:szCs w:val="21"/>
                      <w:lang w:val="en-US" w:eastAsia="zh-CN"/>
                    </w:rPr>
                    <w:t>水质能够满足《地表水环境质量标准》（GB3838-2002》</w:t>
                  </w:r>
                  <w:r>
                    <w:rPr>
                      <w:rFonts w:hint="eastAsia" w:ascii="宋体" w:hAnsi="宋体" w:eastAsia="宋体" w:cs="宋体"/>
                      <w:color w:val="auto"/>
                      <w:sz w:val="21"/>
                      <w:szCs w:val="21"/>
                      <w:lang w:val="en-US" w:eastAsia="zh-CN"/>
                    </w:rPr>
                    <w:t>Ⅲ</w:t>
                  </w:r>
                  <w:r>
                    <w:rPr>
                      <w:rFonts w:hint="default" w:ascii="Times New Roman" w:hAnsi="Times New Roman" w:eastAsia="宋体" w:cs="Times New Roman"/>
                      <w:color w:val="auto"/>
                      <w:sz w:val="21"/>
                      <w:szCs w:val="21"/>
                      <w:lang w:val="en-US" w:eastAsia="zh-CN"/>
                    </w:rPr>
                    <w:t>类水标准，水质状况良好，项目所在地噪声环境质量达标</w:t>
                  </w:r>
                  <w:r>
                    <w:rPr>
                      <w:rFonts w:hint="default" w:ascii="Times New Roman" w:hAnsi="Times New Roman" w:eastAsia="宋体" w:cs="Times New Roman"/>
                      <w:color w:val="auto"/>
                      <w:sz w:val="21"/>
                      <w:szCs w:val="21"/>
                    </w:rPr>
                    <w:t>。</w:t>
                  </w:r>
                </w:p>
              </w:tc>
              <w:tc>
                <w:tcPr>
                  <w:tcW w:w="320" w:type="pct"/>
                  <w:vMerge w:val="continue"/>
                  <w:tcBorders>
                    <w:top w:val="single" w:color="auto" w:sz="4" w:space="0"/>
                    <w:left w:val="single" w:color="auto" w:sz="4" w:space="0"/>
                    <w:bottom w:val="single" w:color="auto" w:sz="4" w:space="0"/>
                    <w:right w:val="nil"/>
                  </w:tcBorders>
                  <w:vAlign w:val="center"/>
                </w:tcPr>
                <w:p w14:paraId="39136F78">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r>
            <w:tr w14:paraId="1D2E7C6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1069" w:type="pct"/>
                  <w:vMerge w:val="continue"/>
                  <w:tcBorders>
                    <w:top w:val="single" w:color="auto" w:sz="4" w:space="0"/>
                    <w:left w:val="nil"/>
                    <w:bottom w:val="single" w:color="auto" w:sz="4" w:space="0"/>
                    <w:right w:val="single" w:color="auto" w:sz="4" w:space="0"/>
                  </w:tcBorders>
                  <w:vAlign w:val="center"/>
                </w:tcPr>
                <w:p w14:paraId="49EE0C18">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471" w:type="pct"/>
                  <w:vMerge w:val="continue"/>
                  <w:tcBorders>
                    <w:top w:val="single" w:color="000000" w:sz="4" w:space="0"/>
                    <w:left w:val="single" w:color="auto" w:sz="4" w:space="0"/>
                    <w:bottom w:val="single" w:color="000000" w:sz="4" w:space="0"/>
                    <w:right w:val="single" w:color="auto" w:sz="4" w:space="0"/>
                  </w:tcBorders>
                  <w:vAlign w:val="center"/>
                </w:tcPr>
                <w:p w14:paraId="024E7B56">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1391" w:type="pct"/>
                  <w:tcBorders>
                    <w:top w:val="single" w:color="000000" w:sz="4" w:space="0"/>
                    <w:left w:val="single" w:color="auto" w:sz="4" w:space="0"/>
                    <w:bottom w:val="single" w:color="000000" w:sz="4" w:space="0"/>
                    <w:right w:val="single" w:color="000000" w:sz="4" w:space="0"/>
                  </w:tcBorders>
                  <w:vAlign w:val="center"/>
                </w:tcPr>
                <w:p w14:paraId="34732E3B">
                  <w:pPr>
                    <w:keepNext w:val="0"/>
                    <w:keepLines w:val="0"/>
                    <w:pageBreakBefore w:val="0"/>
                    <w:kinsoku/>
                    <w:wordWrap/>
                    <w:overflowPunct/>
                    <w:topLinePunct w:val="0"/>
                    <w:autoSpaceDE/>
                    <w:autoSpaceDN/>
                    <w:bidi w:val="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建设项目采取的污染防治措施无法确保污染物排放达到国家和地方排放标准，或者未采取必要措施预防和控制生态破坏</w:t>
                  </w:r>
                </w:p>
              </w:tc>
              <w:tc>
                <w:tcPr>
                  <w:tcW w:w="1747" w:type="pct"/>
                  <w:tcBorders>
                    <w:top w:val="single" w:color="000000" w:sz="4" w:space="0"/>
                    <w:left w:val="single" w:color="000000" w:sz="4" w:space="0"/>
                    <w:bottom w:val="single" w:color="000000" w:sz="4" w:space="0"/>
                    <w:right w:val="single" w:color="auto" w:sz="4" w:space="0"/>
                  </w:tcBorders>
                  <w:vAlign w:val="center"/>
                </w:tcPr>
                <w:p w14:paraId="6705396A">
                  <w:pPr>
                    <w:keepNext w:val="0"/>
                    <w:keepLines w:val="0"/>
                    <w:pageBreakBefore w:val="0"/>
                    <w:kinsoku/>
                    <w:wordWrap/>
                    <w:overflowPunct/>
                    <w:topLinePunct w:val="0"/>
                    <w:autoSpaceDE/>
                    <w:autoSpaceDN/>
                    <w:bidi w:val="0"/>
                    <w:jc w:val="left"/>
                    <w:textAlignment w:val="auto"/>
                    <w:rPr>
                      <w:rFonts w:hint="default" w:ascii="Times New Roman" w:hAnsi="Times New Roman" w:eastAsia="宋体" w:cs="Times New Roman"/>
                      <w:color w:val="auto"/>
                      <w:sz w:val="21"/>
                      <w:szCs w:val="21"/>
                    </w:rPr>
                  </w:pPr>
                  <w:r>
                    <w:rPr>
                      <w:rFonts w:hint="eastAsia" w:cs="Times New Roman"/>
                      <w:color w:val="auto"/>
                      <w:sz w:val="21"/>
                      <w:szCs w:val="21"/>
                      <w:lang w:eastAsia="zh-CN"/>
                    </w:rPr>
                    <w:t>扩建</w:t>
                  </w:r>
                  <w:r>
                    <w:rPr>
                      <w:rFonts w:hint="default" w:ascii="Times New Roman" w:hAnsi="Times New Roman" w:eastAsia="宋体" w:cs="Times New Roman"/>
                      <w:color w:val="auto"/>
                      <w:sz w:val="21"/>
                      <w:szCs w:val="21"/>
                    </w:rPr>
                    <w:t>项目废气、废水和噪声采取污染防治措施，确保排放达标，固废零排放，生态影响较小。</w:t>
                  </w:r>
                </w:p>
              </w:tc>
              <w:tc>
                <w:tcPr>
                  <w:tcW w:w="320" w:type="pct"/>
                  <w:vMerge w:val="continue"/>
                  <w:tcBorders>
                    <w:top w:val="single" w:color="auto" w:sz="4" w:space="0"/>
                    <w:left w:val="single" w:color="auto" w:sz="4" w:space="0"/>
                    <w:bottom w:val="single" w:color="auto" w:sz="4" w:space="0"/>
                    <w:right w:val="nil"/>
                  </w:tcBorders>
                  <w:vAlign w:val="center"/>
                </w:tcPr>
                <w:p w14:paraId="38C2140A">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r>
            <w:tr w14:paraId="38A1F22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1069" w:type="pct"/>
                  <w:vMerge w:val="continue"/>
                  <w:tcBorders>
                    <w:top w:val="single" w:color="auto" w:sz="4" w:space="0"/>
                    <w:left w:val="nil"/>
                    <w:bottom w:val="single" w:color="auto" w:sz="4" w:space="0"/>
                    <w:right w:val="single" w:color="auto" w:sz="4" w:space="0"/>
                  </w:tcBorders>
                  <w:vAlign w:val="center"/>
                </w:tcPr>
                <w:p w14:paraId="4D6A526A">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471" w:type="pct"/>
                  <w:vMerge w:val="continue"/>
                  <w:tcBorders>
                    <w:top w:val="single" w:color="000000" w:sz="4" w:space="0"/>
                    <w:left w:val="single" w:color="auto" w:sz="4" w:space="0"/>
                    <w:bottom w:val="single" w:color="000000" w:sz="4" w:space="0"/>
                    <w:right w:val="single" w:color="auto" w:sz="4" w:space="0"/>
                  </w:tcBorders>
                  <w:vAlign w:val="center"/>
                </w:tcPr>
                <w:p w14:paraId="4F48D583">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1391" w:type="pct"/>
                  <w:tcBorders>
                    <w:top w:val="single" w:color="000000" w:sz="4" w:space="0"/>
                    <w:left w:val="single" w:color="auto" w:sz="4" w:space="0"/>
                    <w:bottom w:val="single" w:color="000000" w:sz="4" w:space="0"/>
                    <w:right w:val="single" w:color="000000" w:sz="4" w:space="0"/>
                  </w:tcBorders>
                  <w:vAlign w:val="center"/>
                </w:tcPr>
                <w:p w14:paraId="4077AD7A">
                  <w:pPr>
                    <w:keepNext w:val="0"/>
                    <w:keepLines w:val="0"/>
                    <w:pageBreakBefore w:val="0"/>
                    <w:kinsoku/>
                    <w:wordWrap/>
                    <w:overflowPunct/>
                    <w:topLinePunct w:val="0"/>
                    <w:autoSpaceDE/>
                    <w:autoSpaceDN/>
                    <w:bidi w:val="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改建、扩建和技术改造项目，未针对项目原有环境污染和生态破坏提出有效</w:t>
                  </w:r>
                  <w:r>
                    <w:rPr>
                      <w:rFonts w:hint="eastAsia" w:cs="Times New Roman"/>
                      <w:color w:val="auto"/>
                      <w:sz w:val="21"/>
                      <w:szCs w:val="21"/>
                      <w:lang w:eastAsia="zh-CN"/>
                    </w:rPr>
                    <w:t>防治</w:t>
                  </w:r>
                  <w:r>
                    <w:rPr>
                      <w:rFonts w:hint="default" w:ascii="Times New Roman" w:hAnsi="Times New Roman" w:eastAsia="宋体" w:cs="Times New Roman"/>
                      <w:color w:val="auto"/>
                      <w:sz w:val="21"/>
                      <w:szCs w:val="21"/>
                    </w:rPr>
                    <w:t>措施</w:t>
                  </w:r>
                </w:p>
              </w:tc>
              <w:tc>
                <w:tcPr>
                  <w:tcW w:w="1747" w:type="pct"/>
                  <w:tcBorders>
                    <w:top w:val="single" w:color="000000" w:sz="4" w:space="0"/>
                    <w:left w:val="single" w:color="000000" w:sz="4" w:space="0"/>
                    <w:bottom w:val="single" w:color="000000" w:sz="4" w:space="0"/>
                    <w:right w:val="single" w:color="auto" w:sz="4" w:space="0"/>
                  </w:tcBorders>
                  <w:vAlign w:val="center"/>
                </w:tcPr>
                <w:p w14:paraId="6D4E5792">
                  <w:pPr>
                    <w:keepNext w:val="0"/>
                    <w:keepLines w:val="0"/>
                    <w:pageBreakBefore w:val="0"/>
                    <w:kinsoku/>
                    <w:wordWrap/>
                    <w:overflowPunct/>
                    <w:topLinePunct w:val="0"/>
                    <w:autoSpaceDE/>
                    <w:autoSpaceDN/>
                    <w:bidi w:val="0"/>
                    <w:jc w:val="left"/>
                    <w:textAlignment w:val="auto"/>
                    <w:rPr>
                      <w:rFonts w:hint="default" w:ascii="Times New Roman" w:hAnsi="Times New Roman" w:eastAsia="宋体" w:cs="Times New Roman"/>
                      <w:color w:val="auto"/>
                      <w:sz w:val="21"/>
                      <w:szCs w:val="21"/>
                    </w:rPr>
                  </w:pPr>
                  <w:r>
                    <w:rPr>
                      <w:rFonts w:hint="eastAsia" w:cs="Times New Roman"/>
                      <w:color w:val="auto"/>
                      <w:sz w:val="21"/>
                      <w:szCs w:val="21"/>
                      <w:lang w:eastAsia="zh-CN"/>
                    </w:rPr>
                    <w:t>本项目为扩建</w:t>
                  </w:r>
                  <w:r>
                    <w:rPr>
                      <w:rFonts w:hint="default" w:ascii="Times New Roman" w:hAnsi="Times New Roman" w:eastAsia="宋体" w:cs="Times New Roman"/>
                      <w:color w:val="auto"/>
                      <w:sz w:val="21"/>
                      <w:szCs w:val="21"/>
                    </w:rPr>
                    <w:t>项目</w:t>
                  </w:r>
                  <w:r>
                    <w:rPr>
                      <w:rFonts w:hint="default" w:ascii="Times New Roman" w:hAnsi="Times New Roman" w:eastAsia="宋体" w:cs="Times New Roman"/>
                      <w:bCs/>
                      <w:color w:val="auto"/>
                      <w:sz w:val="21"/>
                      <w:szCs w:val="21"/>
                    </w:rPr>
                    <w:t>，项目目前为</w:t>
                  </w:r>
                  <w:r>
                    <w:rPr>
                      <w:rFonts w:hint="eastAsia" w:cs="Times New Roman"/>
                      <w:color w:val="auto"/>
                      <w:sz w:val="21"/>
                      <w:szCs w:val="21"/>
                      <w:lang w:eastAsia="zh-CN"/>
                    </w:rPr>
                    <w:t>空地</w:t>
                  </w:r>
                  <w:r>
                    <w:rPr>
                      <w:rFonts w:hint="default" w:ascii="Times New Roman" w:hAnsi="Times New Roman" w:eastAsia="宋体" w:cs="Times New Roman"/>
                      <w:bCs/>
                      <w:color w:val="auto"/>
                      <w:sz w:val="21"/>
                      <w:szCs w:val="21"/>
                    </w:rPr>
                    <w:t>，无与项目有关的原有污染情况及主要环境问题</w:t>
                  </w:r>
                  <w:r>
                    <w:rPr>
                      <w:rFonts w:hint="default" w:ascii="Times New Roman" w:hAnsi="Times New Roman" w:eastAsia="宋体" w:cs="Times New Roman"/>
                      <w:color w:val="auto"/>
                      <w:sz w:val="21"/>
                      <w:szCs w:val="21"/>
                    </w:rPr>
                    <w:t>。</w:t>
                  </w:r>
                </w:p>
              </w:tc>
              <w:tc>
                <w:tcPr>
                  <w:tcW w:w="320" w:type="pct"/>
                  <w:vMerge w:val="continue"/>
                  <w:tcBorders>
                    <w:top w:val="single" w:color="auto" w:sz="4" w:space="0"/>
                    <w:left w:val="single" w:color="auto" w:sz="4" w:space="0"/>
                    <w:bottom w:val="single" w:color="auto" w:sz="4" w:space="0"/>
                    <w:right w:val="nil"/>
                  </w:tcBorders>
                  <w:vAlign w:val="center"/>
                </w:tcPr>
                <w:p w14:paraId="730A8EDE">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r>
            <w:tr w14:paraId="376A5E8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1069" w:type="pct"/>
                  <w:vMerge w:val="continue"/>
                  <w:tcBorders>
                    <w:top w:val="single" w:color="auto" w:sz="4" w:space="0"/>
                    <w:left w:val="nil"/>
                    <w:bottom w:val="single" w:color="auto" w:sz="4" w:space="0"/>
                    <w:right w:val="single" w:color="auto" w:sz="4" w:space="0"/>
                  </w:tcBorders>
                  <w:vAlign w:val="center"/>
                </w:tcPr>
                <w:p w14:paraId="7E692407">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471" w:type="pct"/>
                  <w:vMerge w:val="continue"/>
                  <w:tcBorders>
                    <w:top w:val="single" w:color="000000" w:sz="4" w:space="0"/>
                    <w:left w:val="single" w:color="auto" w:sz="4" w:space="0"/>
                    <w:bottom w:val="single" w:color="000000" w:sz="4" w:space="0"/>
                    <w:right w:val="single" w:color="000000" w:sz="4" w:space="0"/>
                  </w:tcBorders>
                  <w:vAlign w:val="center"/>
                </w:tcPr>
                <w:p w14:paraId="65C21FA8">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1391" w:type="pct"/>
                  <w:tcBorders>
                    <w:top w:val="single" w:color="000000" w:sz="4" w:space="0"/>
                    <w:left w:val="single" w:color="000000" w:sz="4" w:space="0"/>
                    <w:bottom w:val="single" w:color="000000" w:sz="4" w:space="0"/>
                    <w:right w:val="single" w:color="auto" w:sz="4" w:space="0"/>
                  </w:tcBorders>
                  <w:vAlign w:val="center"/>
                </w:tcPr>
                <w:p w14:paraId="686DE613">
                  <w:pPr>
                    <w:keepNext w:val="0"/>
                    <w:keepLines w:val="0"/>
                    <w:pageBreakBefore w:val="0"/>
                    <w:kinsoku/>
                    <w:wordWrap/>
                    <w:overflowPunct/>
                    <w:topLinePunct w:val="0"/>
                    <w:autoSpaceDE/>
                    <w:autoSpaceDN/>
                    <w:bidi w:val="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建设项目的环境影响报告书、环境影响报告表的基础资料数据明显不实，内容存在重大缺陷、遗漏，或者环境影响评价结论不明确、不合理</w:t>
                  </w:r>
                </w:p>
              </w:tc>
              <w:tc>
                <w:tcPr>
                  <w:tcW w:w="1747" w:type="pct"/>
                  <w:tcBorders>
                    <w:top w:val="single" w:color="000000" w:sz="4" w:space="0"/>
                    <w:left w:val="single" w:color="000000" w:sz="4" w:space="0"/>
                    <w:bottom w:val="single" w:color="000000" w:sz="4" w:space="0"/>
                    <w:right w:val="single" w:color="auto" w:sz="4" w:space="0"/>
                  </w:tcBorders>
                  <w:vAlign w:val="center"/>
                </w:tcPr>
                <w:p w14:paraId="10EEFDDD">
                  <w:pPr>
                    <w:keepNext w:val="0"/>
                    <w:keepLines w:val="0"/>
                    <w:pageBreakBefore w:val="0"/>
                    <w:kinsoku/>
                    <w:wordWrap/>
                    <w:overflowPunct/>
                    <w:topLinePunct w:val="0"/>
                    <w:autoSpaceDE/>
                    <w:autoSpaceDN/>
                    <w:bidi w:val="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本次评价以企业实际提供资料为前提，核实后进行报告编制，环境影响评价结论明确，经初步审查不存在重大缺陷、遗漏。</w:t>
                  </w:r>
                </w:p>
              </w:tc>
              <w:tc>
                <w:tcPr>
                  <w:tcW w:w="320" w:type="pct"/>
                  <w:vMerge w:val="continue"/>
                  <w:tcBorders>
                    <w:top w:val="single" w:color="auto" w:sz="4" w:space="0"/>
                    <w:left w:val="single" w:color="auto" w:sz="4" w:space="0"/>
                    <w:bottom w:val="single" w:color="auto" w:sz="4" w:space="0"/>
                    <w:right w:val="nil"/>
                  </w:tcBorders>
                  <w:vAlign w:val="center"/>
                </w:tcPr>
                <w:p w14:paraId="71CB4F65">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r>
            <w:tr w14:paraId="378988F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1069" w:type="pct"/>
                  <w:vMerge w:val="continue"/>
                  <w:tcBorders>
                    <w:top w:val="single" w:color="auto" w:sz="4" w:space="0"/>
                    <w:left w:val="nil"/>
                    <w:bottom w:val="single" w:color="auto" w:sz="4" w:space="0"/>
                    <w:right w:val="single" w:color="auto" w:sz="4" w:space="0"/>
                  </w:tcBorders>
                  <w:vAlign w:val="center"/>
                </w:tcPr>
                <w:p w14:paraId="7A3C5F96">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1862" w:type="pct"/>
                  <w:gridSpan w:val="2"/>
                  <w:tcBorders>
                    <w:top w:val="single" w:color="000000" w:sz="4" w:space="0"/>
                    <w:left w:val="single" w:color="auto" w:sz="4" w:space="0"/>
                    <w:bottom w:val="single" w:color="000000" w:sz="4" w:space="0"/>
                    <w:right w:val="single" w:color="000000" w:sz="4" w:space="0"/>
                  </w:tcBorders>
                  <w:vAlign w:val="center"/>
                </w:tcPr>
                <w:p w14:paraId="77FD8382">
                  <w:pPr>
                    <w:keepNext w:val="0"/>
                    <w:keepLines w:val="0"/>
                    <w:pageBreakBefore w:val="0"/>
                    <w:kinsoku/>
                    <w:wordWrap/>
                    <w:overflowPunct/>
                    <w:topLinePunct w:val="0"/>
                    <w:autoSpaceDE/>
                    <w:autoSpaceDN/>
                    <w:bidi w:val="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严格控制在优先保护类耕地集中区域新建有色金属冶炼、石油加工、化工、焦化、电镀、制革等行业企业，有关环境保护主管部门依法不予审批可能造成耕地土壤污染的建设项目环境影响报告书或者报告表。</w:t>
                  </w:r>
                </w:p>
              </w:tc>
              <w:tc>
                <w:tcPr>
                  <w:tcW w:w="1747" w:type="pct"/>
                  <w:tcBorders>
                    <w:top w:val="single" w:color="000000" w:sz="4" w:space="0"/>
                    <w:left w:val="single" w:color="000000" w:sz="4" w:space="0"/>
                    <w:bottom w:val="single" w:color="000000" w:sz="4" w:space="0"/>
                    <w:right w:val="single" w:color="auto" w:sz="4" w:space="0"/>
                  </w:tcBorders>
                  <w:vAlign w:val="center"/>
                </w:tcPr>
                <w:p w14:paraId="3C6C79DF">
                  <w:pPr>
                    <w:keepNext w:val="0"/>
                    <w:keepLines w:val="0"/>
                    <w:pageBreakBefore w:val="0"/>
                    <w:kinsoku/>
                    <w:wordWrap/>
                    <w:overflowPunct/>
                    <w:topLinePunct w:val="0"/>
                    <w:autoSpaceDE/>
                    <w:autoSpaceDN/>
                    <w:bidi w:val="0"/>
                    <w:jc w:val="left"/>
                    <w:textAlignment w:val="auto"/>
                    <w:rPr>
                      <w:rFonts w:hint="default" w:ascii="Times New Roman" w:hAnsi="Times New Roman" w:eastAsia="宋体" w:cs="Times New Roman"/>
                      <w:color w:val="auto"/>
                      <w:sz w:val="21"/>
                      <w:szCs w:val="21"/>
                    </w:rPr>
                  </w:pPr>
                  <w:r>
                    <w:rPr>
                      <w:rFonts w:hint="eastAsia" w:cs="Times New Roman"/>
                      <w:color w:val="auto"/>
                      <w:sz w:val="21"/>
                      <w:szCs w:val="21"/>
                      <w:lang w:eastAsia="zh-CN"/>
                    </w:rPr>
                    <w:t>扩建</w:t>
                  </w:r>
                  <w:r>
                    <w:rPr>
                      <w:rFonts w:hint="default" w:ascii="Times New Roman" w:hAnsi="Times New Roman" w:eastAsia="宋体" w:cs="Times New Roman"/>
                      <w:color w:val="auto"/>
                      <w:sz w:val="21"/>
                      <w:szCs w:val="21"/>
                    </w:rPr>
                    <w:t>项目位于</w:t>
                  </w:r>
                  <w:r>
                    <w:rPr>
                      <w:rFonts w:hint="eastAsia"/>
                      <w:color w:val="auto"/>
                      <w:sz w:val="22"/>
                      <w:szCs w:val="22"/>
                      <w:lang w:val="en-US" w:eastAsia="zh-CN"/>
                    </w:rPr>
                    <w:t>江苏涟水经济开发区涟水路3号</w:t>
                  </w:r>
                  <w:r>
                    <w:rPr>
                      <w:rFonts w:hint="default" w:ascii="Times New Roman" w:hAnsi="Times New Roman" w:eastAsia="宋体" w:cs="Times New Roman"/>
                      <w:color w:val="auto"/>
                      <w:sz w:val="21"/>
                      <w:szCs w:val="21"/>
                    </w:rPr>
                    <w:t>，属于工业用地。</w:t>
                  </w:r>
                </w:p>
              </w:tc>
              <w:tc>
                <w:tcPr>
                  <w:tcW w:w="320" w:type="pct"/>
                  <w:vMerge w:val="continue"/>
                  <w:tcBorders>
                    <w:top w:val="single" w:color="auto" w:sz="4" w:space="0"/>
                    <w:left w:val="single" w:color="auto" w:sz="4" w:space="0"/>
                    <w:bottom w:val="single" w:color="auto" w:sz="4" w:space="0"/>
                    <w:right w:val="nil"/>
                  </w:tcBorders>
                  <w:vAlign w:val="center"/>
                </w:tcPr>
                <w:p w14:paraId="08E8C615">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r>
            <w:tr w14:paraId="337D5F5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1069" w:type="pct"/>
                  <w:vMerge w:val="continue"/>
                  <w:tcBorders>
                    <w:top w:val="single" w:color="auto" w:sz="4" w:space="0"/>
                    <w:left w:val="nil"/>
                    <w:bottom w:val="single" w:color="auto" w:sz="4" w:space="0"/>
                    <w:right w:val="single" w:color="auto" w:sz="4" w:space="0"/>
                  </w:tcBorders>
                  <w:vAlign w:val="center"/>
                </w:tcPr>
                <w:p w14:paraId="057A548C">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1862" w:type="pct"/>
                  <w:gridSpan w:val="2"/>
                  <w:tcBorders>
                    <w:top w:val="single" w:color="000000" w:sz="4" w:space="0"/>
                    <w:left w:val="single" w:color="auto" w:sz="4" w:space="0"/>
                    <w:bottom w:val="single" w:color="000000" w:sz="4" w:space="0"/>
                    <w:right w:val="single" w:color="000000" w:sz="4" w:space="0"/>
                  </w:tcBorders>
                  <w:vAlign w:val="center"/>
                </w:tcPr>
                <w:p w14:paraId="036D6B52">
                  <w:pPr>
                    <w:keepNext w:val="0"/>
                    <w:keepLines w:val="0"/>
                    <w:pageBreakBefore w:val="0"/>
                    <w:kinsoku/>
                    <w:wordWrap/>
                    <w:overflowPunct/>
                    <w:topLinePunct w:val="0"/>
                    <w:autoSpaceDE/>
                    <w:autoSpaceDN/>
                    <w:bidi w:val="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严格落实污染物排放总量控制制度，把主要污染物排放总量指标作为建设项目环境影响评价审批的前置条件。排放主要污染物的建设项目，在环境影响评价文件审批前，须取得主要污染物排放总量指标</w:t>
                  </w:r>
                </w:p>
              </w:tc>
              <w:tc>
                <w:tcPr>
                  <w:tcW w:w="1747" w:type="pct"/>
                  <w:tcBorders>
                    <w:top w:val="single" w:color="000000" w:sz="4" w:space="0"/>
                    <w:left w:val="single" w:color="000000" w:sz="4" w:space="0"/>
                    <w:bottom w:val="single" w:color="000000" w:sz="4" w:space="0"/>
                    <w:right w:val="single" w:color="auto" w:sz="4" w:space="0"/>
                  </w:tcBorders>
                  <w:vAlign w:val="center"/>
                </w:tcPr>
                <w:p w14:paraId="20447788">
                  <w:pPr>
                    <w:keepNext w:val="0"/>
                    <w:keepLines w:val="0"/>
                    <w:pageBreakBefore w:val="0"/>
                    <w:kinsoku/>
                    <w:wordWrap/>
                    <w:overflowPunct/>
                    <w:topLinePunct w:val="0"/>
                    <w:autoSpaceDE/>
                    <w:autoSpaceDN/>
                    <w:bidi w:val="0"/>
                    <w:jc w:val="left"/>
                    <w:textAlignment w:val="auto"/>
                    <w:rPr>
                      <w:rFonts w:hint="default" w:ascii="Times New Roman" w:hAnsi="Times New Roman" w:eastAsia="宋体" w:cs="Times New Roman"/>
                      <w:color w:val="auto"/>
                      <w:sz w:val="21"/>
                      <w:szCs w:val="21"/>
                    </w:rPr>
                  </w:pPr>
                  <w:r>
                    <w:rPr>
                      <w:rFonts w:hint="eastAsia" w:cs="Times New Roman"/>
                      <w:color w:val="auto"/>
                      <w:sz w:val="21"/>
                      <w:szCs w:val="21"/>
                      <w:lang w:eastAsia="zh-CN"/>
                    </w:rPr>
                    <w:t>扩建</w:t>
                  </w:r>
                  <w:r>
                    <w:rPr>
                      <w:rFonts w:hint="default" w:ascii="Times New Roman" w:hAnsi="Times New Roman" w:eastAsia="宋体" w:cs="Times New Roman"/>
                      <w:color w:val="auto"/>
                      <w:sz w:val="21"/>
                      <w:szCs w:val="21"/>
                    </w:rPr>
                    <w:t>项目将按要求严格落实污染物排放总量控制制度，把主要污染物排放总量指标作为建设项目环境影响评价审批的前置条件。在环境影响评价文件审批前，须取得主要污染物排放总量指标。</w:t>
                  </w:r>
                </w:p>
              </w:tc>
              <w:tc>
                <w:tcPr>
                  <w:tcW w:w="320" w:type="pct"/>
                  <w:vMerge w:val="continue"/>
                  <w:tcBorders>
                    <w:top w:val="single" w:color="auto" w:sz="4" w:space="0"/>
                    <w:left w:val="single" w:color="auto" w:sz="4" w:space="0"/>
                    <w:bottom w:val="single" w:color="auto" w:sz="4" w:space="0"/>
                    <w:right w:val="nil"/>
                  </w:tcBorders>
                  <w:vAlign w:val="center"/>
                </w:tcPr>
                <w:p w14:paraId="4BBCCA7A">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r>
            <w:tr w14:paraId="57E14F8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1069" w:type="pct"/>
                  <w:vMerge w:val="continue"/>
                  <w:tcBorders>
                    <w:top w:val="single" w:color="auto" w:sz="4" w:space="0"/>
                    <w:left w:val="nil"/>
                    <w:bottom w:val="single" w:color="auto" w:sz="4" w:space="0"/>
                    <w:right w:val="single" w:color="auto" w:sz="4" w:space="0"/>
                  </w:tcBorders>
                  <w:vAlign w:val="center"/>
                </w:tcPr>
                <w:p w14:paraId="70562FE1">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1862" w:type="pct"/>
                  <w:gridSpan w:val="2"/>
                  <w:tcBorders>
                    <w:top w:val="single" w:color="000000" w:sz="4" w:space="0"/>
                    <w:left w:val="single" w:color="auto" w:sz="4" w:space="0"/>
                    <w:bottom w:val="single" w:color="000000" w:sz="4" w:space="0"/>
                    <w:right w:val="single" w:color="000000" w:sz="4" w:space="0"/>
                  </w:tcBorders>
                  <w:vAlign w:val="center"/>
                </w:tcPr>
                <w:p w14:paraId="1D93B508">
                  <w:pPr>
                    <w:keepNext w:val="0"/>
                    <w:keepLines w:val="0"/>
                    <w:pageBreakBefore w:val="0"/>
                    <w:kinsoku/>
                    <w:wordWrap/>
                    <w:overflowPunct/>
                    <w:topLinePunct w:val="0"/>
                    <w:autoSpaceDE/>
                    <w:autoSpaceDN/>
                    <w:bidi w:val="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对环境质量现状超标的地区，项目拟采取的措施不能满足区域环境质量改善目标管理要求的，依法不予审批其环评文件。</w:t>
                  </w:r>
                </w:p>
              </w:tc>
              <w:tc>
                <w:tcPr>
                  <w:tcW w:w="1747" w:type="pct"/>
                  <w:tcBorders>
                    <w:top w:val="single" w:color="000000" w:sz="4" w:space="0"/>
                    <w:left w:val="single" w:color="000000" w:sz="4" w:space="0"/>
                    <w:bottom w:val="single" w:color="000000" w:sz="4" w:space="0"/>
                    <w:right w:val="single" w:color="auto" w:sz="4" w:space="0"/>
                  </w:tcBorders>
                  <w:vAlign w:val="center"/>
                </w:tcPr>
                <w:p w14:paraId="74E1E258">
                  <w:pPr>
                    <w:keepNext w:val="0"/>
                    <w:keepLines w:val="0"/>
                    <w:pageBreakBefore w:val="0"/>
                    <w:kinsoku/>
                    <w:wordWrap/>
                    <w:overflowPunct/>
                    <w:topLinePunct w:val="0"/>
                    <w:autoSpaceDE/>
                    <w:autoSpaceDN/>
                    <w:bidi w:val="0"/>
                    <w:jc w:val="left"/>
                    <w:textAlignment w:val="auto"/>
                    <w:rPr>
                      <w:rFonts w:hint="default" w:ascii="Times New Roman" w:hAnsi="Times New Roman" w:eastAsia="宋体" w:cs="Times New Roman"/>
                      <w:color w:val="auto"/>
                      <w:sz w:val="21"/>
                      <w:szCs w:val="21"/>
                    </w:rPr>
                  </w:pPr>
                  <w:r>
                    <w:rPr>
                      <w:rFonts w:hint="eastAsia" w:cs="Times New Roman"/>
                      <w:color w:val="auto"/>
                      <w:sz w:val="21"/>
                      <w:szCs w:val="21"/>
                      <w:lang w:eastAsia="zh-CN"/>
                    </w:rPr>
                    <w:t>扩建</w:t>
                  </w:r>
                  <w:r>
                    <w:rPr>
                      <w:rFonts w:hint="default" w:ascii="Times New Roman" w:hAnsi="Times New Roman" w:eastAsia="宋体" w:cs="Times New Roman"/>
                      <w:color w:val="auto"/>
                      <w:sz w:val="21"/>
                      <w:szCs w:val="21"/>
                    </w:rPr>
                    <w:t>项目所在区域</w:t>
                  </w:r>
                  <w:r>
                    <w:rPr>
                      <w:rFonts w:hint="eastAsia" w:eastAsia="宋体" w:cs="Times New Roman"/>
                      <w:color w:val="auto"/>
                      <w:sz w:val="21"/>
                      <w:szCs w:val="21"/>
                      <w:lang w:val="en-US" w:eastAsia="zh-CN"/>
                    </w:rPr>
                    <w:t>属于</w:t>
                  </w:r>
                  <w:r>
                    <w:rPr>
                      <w:rFonts w:hint="default" w:ascii="Times New Roman" w:hAnsi="Times New Roman" w:eastAsia="宋体" w:cs="Times New Roman"/>
                      <w:color w:val="auto"/>
                      <w:sz w:val="21"/>
                      <w:szCs w:val="21"/>
                      <w:lang w:val="en-US" w:eastAsia="zh-CN"/>
                    </w:rPr>
                    <w:t>环境空气</w:t>
                  </w:r>
                  <w:r>
                    <w:rPr>
                      <w:rFonts w:hint="eastAsia" w:eastAsia="宋体" w:cs="Times New Roman"/>
                      <w:color w:val="auto"/>
                      <w:sz w:val="21"/>
                      <w:szCs w:val="21"/>
                      <w:lang w:val="en-US" w:eastAsia="zh-CN"/>
                    </w:rPr>
                    <w:t>不达标区</w:t>
                  </w:r>
                  <w:r>
                    <w:rPr>
                      <w:rFonts w:hint="default" w:ascii="Times New Roman" w:hAnsi="Times New Roman" w:eastAsia="宋体" w:cs="Times New Roman"/>
                      <w:color w:val="auto"/>
                      <w:sz w:val="21"/>
                      <w:szCs w:val="21"/>
                      <w:lang w:val="en-US" w:eastAsia="zh-CN"/>
                    </w:rPr>
                    <w:t>，其他污染物非甲烷总烃未超过环境质量标准</w:t>
                  </w:r>
                  <w:r>
                    <w:rPr>
                      <w:rFonts w:hint="eastAsia" w:eastAsia="宋体" w:cs="Times New Roman"/>
                      <w:color w:val="auto"/>
                      <w:sz w:val="21"/>
                      <w:szCs w:val="21"/>
                      <w:lang w:val="en-US" w:eastAsia="zh-CN"/>
                    </w:rPr>
                    <w:t>，随着《关于印发&lt;淮安市2024年大气污染防治工作计划&gt;&lt;淮安市2024年水生态环境保护工作计划&gt;的通知》（淮污防攻坚指办</w:t>
                  </w:r>
                  <w:r>
                    <w:rPr>
                      <w:rFonts w:hint="eastAsia" w:cs="Times New Roman"/>
                      <w:color w:val="auto"/>
                      <w:sz w:val="21"/>
                      <w:szCs w:val="21"/>
                      <w:lang w:val="en-US" w:eastAsia="zh-CN"/>
                    </w:rPr>
                    <w:t>〔2024〕50号</w:t>
                  </w:r>
                  <w:r>
                    <w:rPr>
                      <w:rFonts w:hint="eastAsia" w:eastAsia="宋体" w:cs="Times New Roman"/>
                      <w:color w:val="auto"/>
                      <w:sz w:val="21"/>
                      <w:szCs w:val="21"/>
                      <w:lang w:val="en-US" w:eastAsia="zh-CN"/>
                    </w:rPr>
                    <w:t>）等防治计划的落实，淮安市持续开展空气质量改善行动以及“开展三源整治、留住蓝天白云”扬尘管控集中整治行动，深入推进“48小时+12天”大气环境质量改善专项攻坚，预期淮安市环境空气质量状况会进一步改善</w:t>
                  </w:r>
                  <w:r>
                    <w:rPr>
                      <w:rFonts w:hint="default" w:ascii="Times New Roman" w:hAnsi="Times New Roman" w:eastAsia="宋体" w:cs="Times New Roman"/>
                      <w:color w:val="auto"/>
                      <w:sz w:val="21"/>
                      <w:szCs w:val="21"/>
                      <w:lang w:val="en-US" w:eastAsia="zh-CN"/>
                    </w:rPr>
                    <w:t>；根据《202</w:t>
                  </w: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lang w:val="en-US" w:eastAsia="zh-CN"/>
                    </w:rPr>
                    <w:t>年淮安市生态环境状况公报》</w:t>
                  </w:r>
                  <w:r>
                    <w:rPr>
                      <w:rFonts w:hint="eastAsia" w:ascii="Times New Roman" w:hAnsi="Times New Roman" w:eastAsia="宋体" w:cs="Times New Roman"/>
                      <w:color w:val="auto"/>
                      <w:sz w:val="21"/>
                      <w:szCs w:val="21"/>
                      <w:lang w:val="en-US" w:eastAsia="zh-CN"/>
                    </w:rPr>
                    <w:t>，盐河</w:t>
                  </w:r>
                  <w:r>
                    <w:rPr>
                      <w:rFonts w:hint="default" w:ascii="Times New Roman" w:hAnsi="Times New Roman" w:eastAsia="宋体" w:cs="Times New Roman"/>
                      <w:color w:val="auto"/>
                      <w:sz w:val="21"/>
                      <w:szCs w:val="21"/>
                      <w:lang w:val="en-US" w:eastAsia="zh-CN"/>
                    </w:rPr>
                    <w:t>水质能够满足《地表水环境质量标准》（GB3838-2002》</w:t>
                  </w:r>
                  <w:r>
                    <w:rPr>
                      <w:rFonts w:hint="eastAsia" w:ascii="宋体" w:hAnsi="宋体" w:eastAsia="宋体" w:cs="宋体"/>
                      <w:color w:val="auto"/>
                      <w:sz w:val="21"/>
                      <w:szCs w:val="21"/>
                      <w:lang w:val="en-US" w:eastAsia="zh-CN"/>
                    </w:rPr>
                    <w:t>Ⅲ</w:t>
                  </w:r>
                  <w:r>
                    <w:rPr>
                      <w:rFonts w:hint="default" w:ascii="Times New Roman" w:hAnsi="Times New Roman" w:eastAsia="宋体" w:cs="Times New Roman"/>
                      <w:color w:val="auto"/>
                      <w:sz w:val="21"/>
                      <w:szCs w:val="21"/>
                      <w:lang w:val="en-US" w:eastAsia="zh-CN"/>
                    </w:rPr>
                    <w:t>类水标准，水质状况良好，项目所在地噪声环境质量达标</w:t>
                  </w:r>
                  <w:r>
                    <w:rPr>
                      <w:rFonts w:hint="default" w:ascii="Times New Roman" w:hAnsi="Times New Roman" w:eastAsia="宋体" w:cs="Times New Roman"/>
                      <w:color w:val="auto"/>
                      <w:sz w:val="21"/>
                      <w:szCs w:val="21"/>
                    </w:rPr>
                    <w:t>。</w:t>
                  </w:r>
                </w:p>
              </w:tc>
              <w:tc>
                <w:tcPr>
                  <w:tcW w:w="320" w:type="pct"/>
                  <w:vMerge w:val="continue"/>
                  <w:tcBorders>
                    <w:top w:val="single" w:color="auto" w:sz="4" w:space="0"/>
                    <w:left w:val="single" w:color="auto" w:sz="4" w:space="0"/>
                    <w:bottom w:val="single" w:color="auto" w:sz="4" w:space="0"/>
                    <w:right w:val="nil"/>
                  </w:tcBorders>
                  <w:vAlign w:val="center"/>
                </w:tcPr>
                <w:p w14:paraId="16F6498F">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r>
            <w:tr w14:paraId="4875BB6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1069" w:type="pct"/>
                  <w:vMerge w:val="continue"/>
                  <w:tcBorders>
                    <w:top w:val="single" w:color="auto" w:sz="4" w:space="0"/>
                    <w:left w:val="nil"/>
                    <w:bottom w:val="single" w:color="auto" w:sz="4" w:space="0"/>
                    <w:right w:val="single" w:color="auto" w:sz="4" w:space="0"/>
                  </w:tcBorders>
                  <w:vAlign w:val="center"/>
                </w:tcPr>
                <w:p w14:paraId="4016E964">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1862" w:type="pct"/>
                  <w:gridSpan w:val="2"/>
                  <w:tcBorders>
                    <w:top w:val="single" w:color="000000" w:sz="4" w:space="0"/>
                    <w:left w:val="single" w:color="auto" w:sz="4" w:space="0"/>
                    <w:bottom w:val="single" w:color="000000" w:sz="4" w:space="0"/>
                    <w:right w:val="single" w:color="000000" w:sz="4" w:space="0"/>
                  </w:tcBorders>
                  <w:vAlign w:val="center"/>
                </w:tcPr>
                <w:p w14:paraId="20435A17">
                  <w:pPr>
                    <w:keepNext w:val="0"/>
                    <w:keepLines w:val="0"/>
                    <w:pageBreakBefore w:val="0"/>
                    <w:kinsoku/>
                    <w:wordWrap/>
                    <w:overflowPunct/>
                    <w:topLinePunct w:val="0"/>
                    <w:autoSpaceDE/>
                    <w:autoSpaceDN/>
                    <w:bidi w:val="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生态保护红线原则上按禁止开发区域的要求进行管理，严禁不符合主体功能定位的各类开发活动，严禁任意改变用途。</w:t>
                  </w:r>
                </w:p>
              </w:tc>
              <w:tc>
                <w:tcPr>
                  <w:tcW w:w="1747" w:type="pct"/>
                  <w:tcBorders>
                    <w:top w:val="single" w:color="000000" w:sz="4" w:space="0"/>
                    <w:left w:val="single" w:color="000000" w:sz="4" w:space="0"/>
                    <w:bottom w:val="single" w:color="000000" w:sz="4" w:space="0"/>
                    <w:right w:val="single" w:color="auto" w:sz="4" w:space="0"/>
                  </w:tcBorders>
                  <w:vAlign w:val="center"/>
                </w:tcPr>
                <w:p w14:paraId="4757E6C4">
                  <w:pPr>
                    <w:keepNext w:val="0"/>
                    <w:keepLines w:val="0"/>
                    <w:pageBreakBefore w:val="0"/>
                    <w:kinsoku/>
                    <w:wordWrap/>
                    <w:overflowPunct/>
                    <w:topLinePunct w:val="0"/>
                    <w:autoSpaceDE/>
                    <w:autoSpaceDN/>
                    <w:bidi w:val="0"/>
                    <w:jc w:val="left"/>
                    <w:textAlignment w:val="auto"/>
                    <w:rPr>
                      <w:rFonts w:hint="default" w:ascii="Times New Roman" w:hAnsi="Times New Roman" w:eastAsia="宋体" w:cs="Times New Roman"/>
                      <w:color w:val="auto"/>
                      <w:sz w:val="21"/>
                      <w:szCs w:val="21"/>
                    </w:rPr>
                  </w:pPr>
                  <w:r>
                    <w:rPr>
                      <w:rFonts w:hint="eastAsia" w:cs="Times New Roman"/>
                      <w:color w:val="auto"/>
                      <w:sz w:val="21"/>
                      <w:szCs w:val="21"/>
                      <w:lang w:eastAsia="zh-CN"/>
                    </w:rPr>
                    <w:t>扩建</w:t>
                  </w:r>
                  <w:r>
                    <w:rPr>
                      <w:rFonts w:hint="default" w:ascii="Times New Roman" w:hAnsi="Times New Roman" w:eastAsia="宋体" w:cs="Times New Roman"/>
                      <w:color w:val="auto"/>
                      <w:sz w:val="21"/>
                      <w:szCs w:val="21"/>
                    </w:rPr>
                    <w:t>项目位于</w:t>
                  </w:r>
                  <w:r>
                    <w:rPr>
                      <w:rFonts w:hint="eastAsia" w:cs="Times New Roman"/>
                      <w:color w:val="auto"/>
                      <w:sz w:val="21"/>
                      <w:szCs w:val="21"/>
                      <w:lang w:eastAsia="zh-CN"/>
                    </w:rPr>
                    <w:t>涟水湖东北</w:t>
                  </w:r>
                  <w:r>
                    <w:rPr>
                      <w:rFonts w:hint="default" w:ascii="Times New Roman" w:hAnsi="Times New Roman" w:eastAsia="宋体" w:cs="Times New Roman"/>
                      <w:color w:val="auto"/>
                      <w:sz w:val="21"/>
                      <w:szCs w:val="21"/>
                    </w:rPr>
                    <w:t>侧</w:t>
                  </w:r>
                  <w:r>
                    <w:rPr>
                      <w:rFonts w:hint="eastAsia" w:cs="Times New Roman"/>
                      <w:color w:val="auto"/>
                      <w:sz w:val="21"/>
                      <w:szCs w:val="21"/>
                      <w:lang w:val="en-US" w:eastAsia="zh-CN"/>
                    </w:rPr>
                    <w:t>1.01</w:t>
                  </w:r>
                  <w:r>
                    <w:rPr>
                      <w:rFonts w:hint="default" w:ascii="Times New Roman" w:hAnsi="Times New Roman" w:eastAsia="宋体" w:cs="Times New Roman"/>
                      <w:color w:val="auto"/>
                      <w:sz w:val="21"/>
                      <w:szCs w:val="21"/>
                    </w:rPr>
                    <w:t>km左右，不在管控范围之内</w:t>
                  </w:r>
                </w:p>
              </w:tc>
              <w:tc>
                <w:tcPr>
                  <w:tcW w:w="320" w:type="pct"/>
                  <w:vMerge w:val="continue"/>
                  <w:tcBorders>
                    <w:top w:val="single" w:color="auto" w:sz="4" w:space="0"/>
                    <w:left w:val="single" w:color="auto" w:sz="4" w:space="0"/>
                    <w:bottom w:val="single" w:color="auto" w:sz="4" w:space="0"/>
                    <w:right w:val="nil"/>
                  </w:tcBorders>
                  <w:vAlign w:val="center"/>
                </w:tcPr>
                <w:p w14:paraId="5ADB8464">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r>
            <w:tr w14:paraId="79A6BE9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1069" w:type="pct"/>
                  <w:vMerge w:val="continue"/>
                  <w:tcBorders>
                    <w:top w:val="single" w:color="auto" w:sz="4" w:space="0"/>
                    <w:left w:val="nil"/>
                    <w:bottom w:val="single" w:color="auto" w:sz="4" w:space="0"/>
                    <w:right w:val="single" w:color="auto" w:sz="4" w:space="0"/>
                  </w:tcBorders>
                  <w:vAlign w:val="center"/>
                </w:tcPr>
                <w:p w14:paraId="07712D12">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1862" w:type="pct"/>
                  <w:gridSpan w:val="2"/>
                  <w:tcBorders>
                    <w:top w:val="single" w:color="000000" w:sz="4" w:space="0"/>
                    <w:left w:val="single" w:color="auto" w:sz="4" w:space="0"/>
                    <w:bottom w:val="single" w:color="000000" w:sz="4" w:space="0"/>
                    <w:right w:val="single" w:color="000000" w:sz="4" w:space="0"/>
                  </w:tcBorders>
                  <w:vAlign w:val="center"/>
                </w:tcPr>
                <w:p w14:paraId="1BECBB00">
                  <w:pPr>
                    <w:keepNext w:val="0"/>
                    <w:keepLines w:val="0"/>
                    <w:pageBreakBefore w:val="0"/>
                    <w:kinsoku/>
                    <w:wordWrap/>
                    <w:overflowPunct/>
                    <w:topLinePunct w:val="0"/>
                    <w:autoSpaceDE/>
                    <w:autoSpaceDN/>
                    <w:bidi w:val="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禁止审批无法落实危险废物利用、处置途径的项目，从严审批危险废物产生量大、本地无配套利用处置能力</w:t>
                  </w:r>
                  <w:r>
                    <w:rPr>
                      <w:rFonts w:hint="eastAsia" w:cs="Times New Roman"/>
                      <w:color w:val="auto"/>
                      <w:sz w:val="21"/>
                      <w:szCs w:val="21"/>
                      <w:lang w:eastAsia="zh-CN"/>
                    </w:rPr>
                    <w:t>且</w:t>
                  </w:r>
                  <w:r>
                    <w:rPr>
                      <w:rFonts w:hint="default" w:ascii="Times New Roman" w:hAnsi="Times New Roman" w:eastAsia="宋体" w:cs="Times New Roman"/>
                      <w:color w:val="auto"/>
                      <w:sz w:val="21"/>
                      <w:szCs w:val="21"/>
                    </w:rPr>
                    <w:t>需设区市统筹解决的项目</w:t>
                  </w:r>
                </w:p>
              </w:tc>
              <w:tc>
                <w:tcPr>
                  <w:tcW w:w="1747" w:type="pct"/>
                  <w:tcBorders>
                    <w:top w:val="single" w:color="000000" w:sz="4" w:space="0"/>
                    <w:left w:val="single" w:color="000000" w:sz="4" w:space="0"/>
                    <w:bottom w:val="single" w:color="000000" w:sz="4" w:space="0"/>
                    <w:right w:val="single" w:color="auto" w:sz="4" w:space="0"/>
                  </w:tcBorders>
                  <w:vAlign w:val="center"/>
                </w:tcPr>
                <w:p w14:paraId="545CDA5F">
                  <w:pPr>
                    <w:keepNext w:val="0"/>
                    <w:keepLines w:val="0"/>
                    <w:pageBreakBefore w:val="0"/>
                    <w:kinsoku/>
                    <w:wordWrap/>
                    <w:overflowPunct/>
                    <w:topLinePunct w:val="0"/>
                    <w:autoSpaceDE/>
                    <w:autoSpaceDN/>
                    <w:bidi w:val="0"/>
                    <w:jc w:val="left"/>
                    <w:textAlignment w:val="auto"/>
                    <w:rPr>
                      <w:rFonts w:hint="default" w:ascii="Times New Roman" w:hAnsi="Times New Roman" w:eastAsia="宋体" w:cs="Times New Roman"/>
                      <w:color w:val="auto"/>
                      <w:sz w:val="21"/>
                      <w:szCs w:val="21"/>
                    </w:rPr>
                  </w:pPr>
                  <w:r>
                    <w:rPr>
                      <w:rFonts w:hint="eastAsia" w:cs="Times New Roman"/>
                      <w:color w:val="auto"/>
                      <w:sz w:val="21"/>
                      <w:szCs w:val="21"/>
                      <w:lang w:eastAsia="zh-CN"/>
                    </w:rPr>
                    <w:t>扩建</w:t>
                  </w:r>
                  <w:r>
                    <w:rPr>
                      <w:rFonts w:hint="default" w:ascii="Times New Roman" w:hAnsi="Times New Roman" w:eastAsia="宋体" w:cs="Times New Roman"/>
                      <w:color w:val="auto"/>
                      <w:sz w:val="21"/>
                      <w:szCs w:val="21"/>
                    </w:rPr>
                    <w:t>项目危险废物委托有资质单位安全处置，危险废物处置可行性论证详见相关章节。</w:t>
                  </w:r>
                </w:p>
              </w:tc>
              <w:tc>
                <w:tcPr>
                  <w:tcW w:w="320" w:type="pct"/>
                  <w:vMerge w:val="continue"/>
                  <w:tcBorders>
                    <w:top w:val="single" w:color="auto" w:sz="4" w:space="0"/>
                    <w:left w:val="single" w:color="auto" w:sz="4" w:space="0"/>
                    <w:bottom w:val="single" w:color="auto" w:sz="4" w:space="0"/>
                    <w:right w:val="nil"/>
                  </w:tcBorders>
                  <w:vAlign w:val="center"/>
                </w:tcPr>
                <w:p w14:paraId="2C5C9C57">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r>
            <w:tr w14:paraId="7503603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1069" w:type="pct"/>
                  <w:vMerge w:val="continue"/>
                  <w:tcBorders>
                    <w:top w:val="single" w:color="auto" w:sz="4" w:space="0"/>
                    <w:left w:val="nil"/>
                    <w:bottom w:val="single" w:color="auto" w:sz="4" w:space="0"/>
                    <w:right w:val="single" w:color="auto" w:sz="4" w:space="0"/>
                  </w:tcBorders>
                  <w:vAlign w:val="center"/>
                </w:tcPr>
                <w:p w14:paraId="14968ACC">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1862" w:type="pct"/>
                  <w:gridSpan w:val="2"/>
                  <w:tcBorders>
                    <w:top w:val="single" w:color="000000" w:sz="4" w:space="0"/>
                    <w:left w:val="single" w:color="auto" w:sz="4" w:space="0"/>
                    <w:bottom w:val="single" w:color="000000" w:sz="4" w:space="0"/>
                    <w:right w:val="single" w:color="000000" w:sz="4" w:space="0"/>
                  </w:tcBorders>
                  <w:vAlign w:val="center"/>
                </w:tcPr>
                <w:p w14:paraId="61C148E4">
                  <w:pPr>
                    <w:keepNext w:val="0"/>
                    <w:keepLines w:val="0"/>
                    <w:pageBreakBefore w:val="0"/>
                    <w:kinsoku/>
                    <w:wordWrap/>
                    <w:overflowPunct/>
                    <w:topLinePunct w:val="0"/>
                    <w:autoSpaceDE/>
                    <w:autoSpaceDN/>
                    <w:bidi w:val="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禁止新建、扩建不符合国家产能置换要求的严重过剩产能行业的项目</w:t>
                  </w:r>
                </w:p>
              </w:tc>
              <w:tc>
                <w:tcPr>
                  <w:tcW w:w="1747" w:type="pct"/>
                  <w:vMerge w:val="restart"/>
                  <w:tcBorders>
                    <w:top w:val="single" w:color="000000" w:sz="4" w:space="0"/>
                    <w:left w:val="single" w:color="000000" w:sz="4" w:space="0"/>
                    <w:bottom w:val="single" w:color="000000" w:sz="4" w:space="0"/>
                    <w:right w:val="single" w:color="auto" w:sz="4" w:space="0"/>
                  </w:tcBorders>
                  <w:vAlign w:val="center"/>
                </w:tcPr>
                <w:p w14:paraId="3A76783A">
                  <w:pPr>
                    <w:keepNext w:val="0"/>
                    <w:keepLines w:val="0"/>
                    <w:pageBreakBefore w:val="0"/>
                    <w:kinsoku/>
                    <w:wordWrap/>
                    <w:overflowPunct/>
                    <w:topLinePunct w:val="0"/>
                    <w:autoSpaceDE/>
                    <w:autoSpaceDN/>
                    <w:bidi w:val="0"/>
                    <w:jc w:val="left"/>
                    <w:textAlignment w:val="auto"/>
                    <w:rPr>
                      <w:rFonts w:hint="default" w:ascii="Times New Roman" w:hAnsi="Times New Roman" w:eastAsia="宋体" w:cs="Times New Roman"/>
                      <w:color w:val="auto"/>
                      <w:sz w:val="21"/>
                      <w:szCs w:val="21"/>
                    </w:rPr>
                  </w:pPr>
                  <w:r>
                    <w:rPr>
                      <w:rFonts w:hint="eastAsia" w:cs="Times New Roman"/>
                      <w:color w:val="auto"/>
                      <w:sz w:val="21"/>
                      <w:szCs w:val="21"/>
                      <w:lang w:eastAsia="zh-CN"/>
                    </w:rPr>
                    <w:t>扩建</w:t>
                  </w:r>
                  <w:r>
                    <w:rPr>
                      <w:rFonts w:hint="default" w:ascii="Times New Roman" w:hAnsi="Times New Roman" w:eastAsia="宋体" w:cs="Times New Roman"/>
                      <w:color w:val="auto"/>
                      <w:sz w:val="21"/>
                      <w:szCs w:val="21"/>
                    </w:rPr>
                    <w:t>项目为预制水产及肉类</w:t>
                  </w:r>
                  <w:r>
                    <w:rPr>
                      <w:rFonts w:hint="eastAsia" w:ascii="Times New Roman" w:hAnsi="Times New Roman" w:cs="Times New Roman"/>
                      <w:color w:val="auto"/>
                      <w:sz w:val="21"/>
                      <w:szCs w:val="21"/>
                      <w:lang w:eastAsia="zh-CN"/>
                    </w:rPr>
                    <w:t>生产</w:t>
                  </w:r>
                  <w:r>
                    <w:rPr>
                      <w:rFonts w:hint="eastAsia" w:cs="Times New Roman"/>
                      <w:color w:val="auto"/>
                      <w:sz w:val="21"/>
                      <w:szCs w:val="21"/>
                      <w:lang w:eastAsia="zh-CN"/>
                    </w:rPr>
                    <w:t>项目</w:t>
                  </w:r>
                  <w:r>
                    <w:rPr>
                      <w:rFonts w:hint="default" w:ascii="Times New Roman" w:hAnsi="Times New Roman" w:eastAsia="宋体" w:cs="Times New Roman"/>
                      <w:color w:val="auto"/>
                      <w:sz w:val="21"/>
                      <w:szCs w:val="21"/>
                    </w:rPr>
                    <w:t>，不属于法律法规和相关政策明令禁止的落后产能项目，不属于国家产能置换要求的过剩产能行业的项目。</w:t>
                  </w:r>
                </w:p>
              </w:tc>
              <w:tc>
                <w:tcPr>
                  <w:tcW w:w="320" w:type="pct"/>
                  <w:vMerge w:val="continue"/>
                  <w:tcBorders>
                    <w:top w:val="single" w:color="auto" w:sz="4" w:space="0"/>
                    <w:left w:val="single" w:color="auto" w:sz="4" w:space="0"/>
                    <w:bottom w:val="single" w:color="auto" w:sz="4" w:space="0"/>
                    <w:right w:val="nil"/>
                  </w:tcBorders>
                  <w:vAlign w:val="center"/>
                </w:tcPr>
                <w:p w14:paraId="0E0AD2C4">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r>
            <w:tr w14:paraId="594191C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1069" w:type="pct"/>
                  <w:vMerge w:val="continue"/>
                  <w:tcBorders>
                    <w:top w:val="single" w:color="auto" w:sz="4" w:space="0"/>
                    <w:left w:val="nil"/>
                    <w:bottom w:val="single" w:color="auto" w:sz="4" w:space="0"/>
                    <w:right w:val="single" w:color="auto" w:sz="4" w:space="0"/>
                  </w:tcBorders>
                  <w:vAlign w:val="center"/>
                </w:tcPr>
                <w:p w14:paraId="361B74A6">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1862" w:type="pct"/>
                  <w:gridSpan w:val="2"/>
                  <w:tcBorders>
                    <w:top w:val="single" w:color="000000" w:sz="4" w:space="0"/>
                    <w:left w:val="single" w:color="auto" w:sz="4" w:space="0"/>
                    <w:bottom w:val="single" w:color="000000" w:sz="4" w:space="0"/>
                    <w:right w:val="single" w:color="000000" w:sz="4" w:space="0"/>
                  </w:tcBorders>
                  <w:vAlign w:val="center"/>
                </w:tcPr>
                <w:p w14:paraId="5008552C">
                  <w:pPr>
                    <w:keepNext w:val="0"/>
                    <w:keepLines w:val="0"/>
                    <w:pageBreakBefore w:val="0"/>
                    <w:kinsoku/>
                    <w:wordWrap/>
                    <w:overflowPunct/>
                    <w:topLinePunct w:val="0"/>
                    <w:autoSpaceDE/>
                    <w:autoSpaceDN/>
                    <w:bidi w:val="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禁止新建、扩建法律法规和相关政策明令禁止的落后产能项目</w:t>
                  </w:r>
                </w:p>
              </w:tc>
              <w:tc>
                <w:tcPr>
                  <w:tcW w:w="1747" w:type="pct"/>
                  <w:vMerge w:val="continue"/>
                  <w:tcBorders>
                    <w:top w:val="single" w:color="000000" w:sz="4" w:space="0"/>
                    <w:left w:val="single" w:color="000000" w:sz="4" w:space="0"/>
                    <w:bottom w:val="single" w:color="000000" w:sz="4" w:space="0"/>
                    <w:right w:val="single" w:color="auto" w:sz="4" w:space="0"/>
                  </w:tcBorders>
                  <w:vAlign w:val="center"/>
                </w:tcPr>
                <w:p w14:paraId="23509CA9">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320" w:type="pct"/>
                  <w:vMerge w:val="continue"/>
                  <w:tcBorders>
                    <w:top w:val="single" w:color="auto" w:sz="4" w:space="0"/>
                    <w:left w:val="single" w:color="auto" w:sz="4" w:space="0"/>
                    <w:bottom w:val="single" w:color="auto" w:sz="4" w:space="0"/>
                    <w:right w:val="nil"/>
                  </w:tcBorders>
                  <w:vAlign w:val="center"/>
                </w:tcPr>
                <w:p w14:paraId="0F33D12B">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r>
            <w:tr w14:paraId="76738F5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1069" w:type="pct"/>
                  <w:tcBorders>
                    <w:top w:val="single" w:color="auto" w:sz="4" w:space="0"/>
                    <w:left w:val="nil"/>
                    <w:bottom w:val="single" w:color="auto" w:sz="4" w:space="0"/>
                    <w:right w:val="single" w:color="auto" w:sz="4" w:space="0"/>
                  </w:tcBorders>
                  <w:vAlign w:val="center"/>
                </w:tcPr>
                <w:p w14:paraId="5912D69D">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《省政府关于印发大运河江苏段核心监控区国土空间管控暂行办法的通知》（苏政发</w:t>
                  </w:r>
                  <w:r>
                    <w:rPr>
                      <w:rFonts w:hint="eastAsia" w:cs="Times New Roman"/>
                      <w:color w:val="auto"/>
                      <w:sz w:val="21"/>
                      <w:szCs w:val="21"/>
                      <w:lang w:eastAsia="zh-CN"/>
                    </w:rPr>
                    <w:t>〔2021〕20号</w:t>
                  </w:r>
                  <w:r>
                    <w:rPr>
                      <w:rFonts w:hint="default" w:ascii="Times New Roman" w:hAnsi="Times New Roman" w:eastAsia="宋体" w:cs="Times New Roman"/>
                      <w:color w:val="auto"/>
                      <w:sz w:val="21"/>
                      <w:szCs w:val="21"/>
                    </w:rPr>
                    <w:t>）</w:t>
                  </w:r>
                </w:p>
              </w:tc>
              <w:tc>
                <w:tcPr>
                  <w:tcW w:w="1862" w:type="pct"/>
                  <w:gridSpan w:val="2"/>
                  <w:tcBorders>
                    <w:top w:val="single" w:color="000000" w:sz="4" w:space="0"/>
                    <w:left w:val="single" w:color="auto" w:sz="4" w:space="0"/>
                    <w:bottom w:val="single" w:color="000000" w:sz="4" w:space="0"/>
                    <w:right w:val="single" w:color="000000" w:sz="4" w:space="0"/>
                  </w:tcBorders>
                  <w:vAlign w:val="center"/>
                </w:tcPr>
                <w:p w14:paraId="3A470E40">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第二条</w:t>
                  </w:r>
                  <w:r>
                    <w:rPr>
                      <w:rFonts w:hint="default" w:ascii="Times New Roman" w:hAnsi="Times New Roman" w:eastAsia="宋体" w:cs="Times New Roman"/>
                      <w:color w:val="auto"/>
                      <w:sz w:val="21"/>
                      <w:szCs w:val="21"/>
                    </w:rPr>
                    <w:t>在大运河江苏段核心监控区内从事各类国土空间保护与开发利用活动，应遵守本办法。</w:t>
                  </w:r>
                </w:p>
                <w:p w14:paraId="736E3BE5">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第三条</w:t>
                  </w:r>
                  <w:r>
                    <w:rPr>
                      <w:rFonts w:hint="default" w:ascii="Times New Roman" w:hAnsi="Times New Roman" w:eastAsia="宋体" w:cs="Times New Roman"/>
                      <w:color w:val="auto"/>
                      <w:sz w:val="21"/>
                      <w:szCs w:val="21"/>
                    </w:rPr>
                    <w:t>本办法所称核心监控区，是指大运河江苏段主河道两岸各2千米的范围。滨河生态空间，是指核心监控区内，原则上除建成区（城市、建制镇）外，大运河江苏段主河道两岸各1千米的范围。</w:t>
                  </w:r>
                </w:p>
              </w:tc>
              <w:tc>
                <w:tcPr>
                  <w:tcW w:w="1747" w:type="pct"/>
                  <w:tcBorders>
                    <w:top w:val="single" w:color="000000" w:sz="4" w:space="0"/>
                    <w:left w:val="single" w:color="000000" w:sz="4" w:space="0"/>
                    <w:bottom w:val="single" w:color="000000" w:sz="4" w:space="0"/>
                    <w:right w:val="single" w:color="auto" w:sz="4" w:space="0"/>
                  </w:tcBorders>
                  <w:vAlign w:val="center"/>
                </w:tcPr>
                <w:p w14:paraId="416D8F61">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lang w:eastAsia="zh-CN"/>
                    </w:rPr>
                    <w:t>扩建</w:t>
                  </w:r>
                  <w:r>
                    <w:rPr>
                      <w:rFonts w:hint="default" w:ascii="Times New Roman" w:hAnsi="Times New Roman" w:eastAsia="宋体" w:cs="Times New Roman"/>
                      <w:color w:val="auto"/>
                      <w:sz w:val="21"/>
                      <w:szCs w:val="21"/>
                    </w:rPr>
                    <w:t>项目位于大运河东北侧</w:t>
                  </w:r>
                  <w:r>
                    <w:rPr>
                      <w:rFonts w:hint="default" w:ascii="Times New Roman" w:hAnsi="Times New Roman" w:eastAsia="宋体" w:cs="Times New Roman"/>
                      <w:color w:val="auto"/>
                      <w:sz w:val="21"/>
                      <w:szCs w:val="21"/>
                      <w:lang w:val="en-US" w:eastAsia="zh-CN"/>
                    </w:rPr>
                    <w:t>2</w:t>
                  </w:r>
                  <w:r>
                    <w:rPr>
                      <w:rFonts w:hint="eastAsia" w:cs="Times New Roman"/>
                      <w:color w:val="auto"/>
                      <w:sz w:val="21"/>
                      <w:szCs w:val="21"/>
                      <w:lang w:val="en-US" w:eastAsia="zh-CN"/>
                    </w:rPr>
                    <w:t>4</w:t>
                  </w:r>
                  <w:r>
                    <w:rPr>
                      <w:rFonts w:hint="default" w:ascii="Times New Roman" w:hAnsi="Times New Roman" w:eastAsia="宋体" w:cs="Times New Roman"/>
                      <w:color w:val="auto"/>
                      <w:sz w:val="21"/>
                      <w:szCs w:val="21"/>
                    </w:rPr>
                    <w:t>km左右，不在核心监控区、滨河生态空间范围内。</w:t>
                  </w:r>
                </w:p>
              </w:tc>
              <w:tc>
                <w:tcPr>
                  <w:tcW w:w="320" w:type="pct"/>
                  <w:tcBorders>
                    <w:top w:val="single" w:color="auto" w:sz="4" w:space="0"/>
                    <w:left w:val="single" w:color="auto" w:sz="4" w:space="0"/>
                    <w:bottom w:val="single" w:color="auto" w:sz="4" w:space="0"/>
                    <w:right w:val="nil"/>
                  </w:tcBorders>
                  <w:vAlign w:val="center"/>
                </w:tcPr>
                <w:p w14:paraId="28131787">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572815B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1069" w:type="pct"/>
                  <w:tcBorders>
                    <w:top w:val="single" w:color="auto" w:sz="4" w:space="0"/>
                    <w:left w:val="nil"/>
                    <w:bottom w:val="single" w:color="auto" w:sz="4" w:space="0"/>
                    <w:right w:val="single" w:color="auto" w:sz="4" w:space="0"/>
                  </w:tcBorders>
                  <w:vAlign w:val="center"/>
                </w:tcPr>
                <w:p w14:paraId="0D4EBBE0">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《市政府关于印发大运河淮安段核心监控区国土空间管控细则的通知》（淮政规</w:t>
                  </w:r>
                  <w:r>
                    <w:rPr>
                      <w:rFonts w:hint="eastAsia" w:cs="Times New Roman"/>
                      <w:color w:val="auto"/>
                      <w:sz w:val="21"/>
                      <w:szCs w:val="21"/>
                      <w:lang w:eastAsia="zh-CN"/>
                    </w:rPr>
                    <w:t>〔2022〕8号</w:t>
                  </w:r>
                  <w:r>
                    <w:rPr>
                      <w:rFonts w:hint="default" w:ascii="Times New Roman" w:hAnsi="Times New Roman" w:eastAsia="宋体" w:cs="Times New Roman"/>
                      <w:color w:val="auto"/>
                      <w:sz w:val="21"/>
                      <w:szCs w:val="21"/>
                    </w:rPr>
                    <w:t>）</w:t>
                  </w:r>
                </w:p>
              </w:tc>
              <w:tc>
                <w:tcPr>
                  <w:tcW w:w="1862" w:type="pct"/>
                  <w:gridSpan w:val="2"/>
                  <w:tcBorders>
                    <w:top w:val="single" w:color="000000" w:sz="4" w:space="0"/>
                    <w:left w:val="single" w:color="auto" w:sz="4" w:space="0"/>
                    <w:bottom w:val="single" w:color="000000" w:sz="4" w:space="0"/>
                    <w:right w:val="single" w:color="000000" w:sz="4" w:space="0"/>
                  </w:tcBorders>
                  <w:vAlign w:val="center"/>
                </w:tcPr>
                <w:p w14:paraId="0D7B7635">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第二条</w:t>
                  </w:r>
                  <w:r>
                    <w:rPr>
                      <w:rFonts w:hint="default" w:ascii="Times New Roman" w:hAnsi="Times New Roman" w:eastAsia="宋体" w:cs="Times New Roman"/>
                      <w:color w:val="auto"/>
                      <w:sz w:val="21"/>
                      <w:szCs w:val="21"/>
                    </w:rPr>
                    <w:t>在大运河淮安段核心监控区内从事各类国土空间保护与开发利用活动，应当遵守本细则。本细则所称大运河淮安段核心监控区，是指大运河淮安段、张福河两侧河道岸线临水边界线外各2千米的范围。</w:t>
                  </w:r>
                </w:p>
                <w:p w14:paraId="6F40D33C">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第四条</w:t>
                  </w:r>
                  <w:r>
                    <w:rPr>
                      <w:rFonts w:hint="default" w:ascii="Times New Roman" w:hAnsi="Times New Roman" w:eastAsia="宋体" w:cs="Times New Roman"/>
                      <w:color w:val="auto"/>
                      <w:sz w:val="21"/>
                      <w:szCs w:val="21"/>
                    </w:rPr>
                    <w:t>本细则所称滨河生态空间，是指核心监控区内，原则上除建成区（城市、建制镇）外，大运河淮安段、张福河两侧河道岸线临水边界线外各1千米的范围。</w:t>
                  </w:r>
                </w:p>
              </w:tc>
              <w:tc>
                <w:tcPr>
                  <w:tcW w:w="1747" w:type="pct"/>
                  <w:tcBorders>
                    <w:top w:val="single" w:color="000000" w:sz="4" w:space="0"/>
                    <w:left w:val="single" w:color="000000" w:sz="4" w:space="0"/>
                    <w:bottom w:val="single" w:color="000000" w:sz="4" w:space="0"/>
                    <w:right w:val="single" w:color="auto" w:sz="4" w:space="0"/>
                  </w:tcBorders>
                  <w:vAlign w:val="center"/>
                </w:tcPr>
                <w:p w14:paraId="7F122C58">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lang w:eastAsia="zh-CN"/>
                    </w:rPr>
                    <w:t>扩建</w:t>
                  </w:r>
                  <w:r>
                    <w:rPr>
                      <w:rFonts w:hint="default" w:ascii="Times New Roman" w:hAnsi="Times New Roman" w:eastAsia="宋体" w:cs="Times New Roman"/>
                      <w:color w:val="auto"/>
                      <w:sz w:val="21"/>
                      <w:szCs w:val="21"/>
                    </w:rPr>
                    <w:t>项目位于大运河东北侧</w:t>
                  </w:r>
                  <w:r>
                    <w:rPr>
                      <w:rFonts w:hint="default" w:ascii="Times New Roman" w:hAnsi="Times New Roman" w:eastAsia="宋体" w:cs="Times New Roman"/>
                      <w:color w:val="auto"/>
                      <w:sz w:val="21"/>
                      <w:szCs w:val="21"/>
                      <w:lang w:val="en-US" w:eastAsia="zh-CN"/>
                    </w:rPr>
                    <w:t>2</w:t>
                  </w:r>
                  <w:r>
                    <w:rPr>
                      <w:rFonts w:hint="eastAsia" w:cs="Times New Roman"/>
                      <w:color w:val="auto"/>
                      <w:sz w:val="21"/>
                      <w:szCs w:val="21"/>
                      <w:lang w:val="en-US" w:eastAsia="zh-CN"/>
                    </w:rPr>
                    <w:t>4</w:t>
                  </w:r>
                  <w:r>
                    <w:rPr>
                      <w:rFonts w:hint="default" w:ascii="Times New Roman" w:hAnsi="Times New Roman" w:eastAsia="宋体" w:cs="Times New Roman"/>
                      <w:color w:val="auto"/>
                      <w:sz w:val="21"/>
                      <w:szCs w:val="21"/>
                    </w:rPr>
                    <w:t>km左右，不在核心监控区、滨河生态空间范围内。</w:t>
                  </w:r>
                </w:p>
              </w:tc>
              <w:tc>
                <w:tcPr>
                  <w:tcW w:w="320" w:type="pct"/>
                  <w:tcBorders>
                    <w:top w:val="single" w:color="auto" w:sz="4" w:space="0"/>
                    <w:left w:val="single" w:color="auto" w:sz="4" w:space="0"/>
                    <w:bottom w:val="single" w:color="auto" w:sz="4" w:space="0"/>
                    <w:right w:val="nil"/>
                  </w:tcBorders>
                  <w:vAlign w:val="center"/>
                </w:tcPr>
                <w:p w14:paraId="6CAC74BA">
                  <w:pPr>
                    <w:keepNext w:val="0"/>
                    <w:keepLines w:val="0"/>
                    <w:pageBreakBefore w:val="0"/>
                    <w:widowControl/>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3F91061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1069" w:type="pct"/>
                  <w:vMerge w:val="restart"/>
                  <w:tcBorders>
                    <w:top w:val="single" w:color="auto" w:sz="4" w:space="0"/>
                    <w:left w:val="nil"/>
                    <w:right w:val="single" w:color="auto" w:sz="4" w:space="0"/>
                  </w:tcBorders>
                  <w:vAlign w:val="center"/>
                </w:tcPr>
                <w:p w14:paraId="3E671C80">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《江苏省生态环境厅关于进一步做好建设项目环评审批工作的通知》（苏环办</w:t>
                  </w:r>
                  <w:r>
                    <w:rPr>
                      <w:rFonts w:hint="eastAsia" w:cs="Times New Roman"/>
                      <w:color w:val="auto"/>
                      <w:sz w:val="21"/>
                      <w:szCs w:val="21"/>
                      <w:lang w:val="en-US" w:eastAsia="zh-CN"/>
                    </w:rPr>
                    <w:t>〔2019〕36号</w:t>
                  </w:r>
                  <w:r>
                    <w:rPr>
                      <w:rFonts w:hint="default" w:ascii="Times New Roman" w:hAnsi="Times New Roman" w:eastAsia="宋体" w:cs="Times New Roman"/>
                      <w:color w:val="auto"/>
                      <w:sz w:val="21"/>
                      <w:szCs w:val="21"/>
                      <w:lang w:val="en-US" w:eastAsia="zh-CN"/>
                    </w:rPr>
                    <w:t>）</w:t>
                  </w:r>
                </w:p>
              </w:tc>
              <w:tc>
                <w:tcPr>
                  <w:tcW w:w="1862" w:type="pct"/>
                  <w:gridSpan w:val="2"/>
                  <w:tcBorders>
                    <w:top w:val="single" w:color="000000" w:sz="4" w:space="0"/>
                    <w:left w:val="single" w:color="auto" w:sz="4" w:space="0"/>
                    <w:bottom w:val="single" w:color="000000" w:sz="4" w:space="0"/>
                    <w:right w:val="single" w:color="000000" w:sz="4" w:space="0"/>
                  </w:tcBorders>
                  <w:vAlign w:val="center"/>
                </w:tcPr>
                <w:p w14:paraId="5ED9D537">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建设项目类型及其选址、布局、</w:t>
                  </w:r>
                </w:p>
                <w:p w14:paraId="3114E37D">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规模等不符合环境保护法律法规</w:t>
                  </w:r>
                </w:p>
                <w:p w14:paraId="7D4ADB7A">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和相关法定规划</w:t>
                  </w:r>
                </w:p>
              </w:tc>
              <w:tc>
                <w:tcPr>
                  <w:tcW w:w="1747" w:type="pct"/>
                  <w:tcBorders>
                    <w:top w:val="single" w:color="000000" w:sz="4" w:space="0"/>
                    <w:left w:val="single" w:color="000000" w:sz="4" w:space="0"/>
                    <w:bottom w:val="single" w:color="000000" w:sz="4" w:space="0"/>
                    <w:right w:val="single" w:color="auto" w:sz="4" w:space="0"/>
                  </w:tcBorders>
                  <w:vAlign w:val="center"/>
                </w:tcPr>
                <w:p w14:paraId="12E19FB3">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经过与“三线一单”及规划相符性分析可知，项目类型及其选址、布局、规模等均符合环境保护法律法规和相关法定规划</w:t>
                  </w:r>
                </w:p>
              </w:tc>
              <w:tc>
                <w:tcPr>
                  <w:tcW w:w="320" w:type="pct"/>
                  <w:tcBorders>
                    <w:top w:val="single" w:color="auto" w:sz="4" w:space="0"/>
                    <w:left w:val="single" w:color="auto" w:sz="4" w:space="0"/>
                    <w:bottom w:val="single" w:color="auto" w:sz="4" w:space="0"/>
                    <w:right w:val="nil"/>
                  </w:tcBorders>
                  <w:vAlign w:val="center"/>
                </w:tcPr>
                <w:p w14:paraId="582933D5">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3176197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1069" w:type="pct"/>
                  <w:vMerge w:val="continue"/>
                  <w:tcBorders>
                    <w:left w:val="nil"/>
                    <w:right w:val="single" w:color="auto" w:sz="4" w:space="0"/>
                  </w:tcBorders>
                  <w:vAlign w:val="center"/>
                </w:tcPr>
                <w:p w14:paraId="07888E1D">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lang w:val="en-US" w:eastAsia="zh-CN"/>
                    </w:rPr>
                  </w:pPr>
                </w:p>
              </w:tc>
              <w:tc>
                <w:tcPr>
                  <w:tcW w:w="1862" w:type="pct"/>
                  <w:gridSpan w:val="2"/>
                  <w:tcBorders>
                    <w:top w:val="single" w:color="000000" w:sz="4" w:space="0"/>
                    <w:left w:val="single" w:color="auto" w:sz="4" w:space="0"/>
                    <w:bottom w:val="single" w:color="000000" w:sz="4" w:space="0"/>
                    <w:right w:val="single" w:color="000000" w:sz="4" w:space="0"/>
                  </w:tcBorders>
                  <w:vAlign w:val="center"/>
                </w:tcPr>
                <w:p w14:paraId="1A012CD9">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所在区域环境质量未达到国家或</w:t>
                  </w:r>
                </w:p>
                <w:p w14:paraId="05EFCAF9">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者地方环境质量标准，且建设</w:t>
                  </w:r>
                  <w:r>
                    <w:rPr>
                      <w:rFonts w:hint="eastAsia" w:cs="Times New Roman"/>
                      <w:color w:val="auto"/>
                      <w:sz w:val="21"/>
                      <w:szCs w:val="21"/>
                      <w:lang w:val="en-US" w:eastAsia="zh-CN"/>
                    </w:rPr>
                    <w:t>项目</w:t>
                  </w:r>
                </w:p>
                <w:p w14:paraId="5D1AA5C5">
                  <w:pPr>
                    <w:keepNext w:val="0"/>
                    <w:keepLines w:val="0"/>
                    <w:pageBreakBefore w:val="0"/>
                    <w:kinsoku/>
                    <w:wordWrap/>
                    <w:overflowPunct/>
                    <w:topLinePunct w:val="0"/>
                    <w:autoSpaceDE/>
                    <w:autoSpaceDN/>
                    <w:bidi w:val="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拟采取的措施不能满足区域环境质量改善目标管理要求</w:t>
                  </w:r>
                </w:p>
                <w:p w14:paraId="626B0A6F">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1747" w:type="pct"/>
                  <w:tcBorders>
                    <w:top w:val="single" w:color="000000" w:sz="4" w:space="0"/>
                    <w:left w:val="single" w:color="000000" w:sz="4" w:space="0"/>
                    <w:bottom w:val="single" w:color="000000" w:sz="4" w:space="0"/>
                    <w:right w:val="single" w:color="auto" w:sz="4" w:space="0"/>
                  </w:tcBorders>
                  <w:vAlign w:val="center"/>
                </w:tcPr>
                <w:p w14:paraId="6C3E9E7B">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lang w:eastAsia="zh-CN"/>
                    </w:rPr>
                    <w:t>扩建</w:t>
                  </w:r>
                  <w:r>
                    <w:rPr>
                      <w:rFonts w:hint="default" w:ascii="Times New Roman" w:hAnsi="Times New Roman" w:eastAsia="宋体" w:cs="Times New Roman"/>
                      <w:color w:val="auto"/>
                      <w:sz w:val="21"/>
                      <w:szCs w:val="21"/>
                    </w:rPr>
                    <w:t>项目所在区域</w:t>
                  </w:r>
                  <w:r>
                    <w:rPr>
                      <w:rFonts w:hint="eastAsia" w:eastAsia="宋体" w:cs="Times New Roman"/>
                      <w:color w:val="auto"/>
                      <w:sz w:val="21"/>
                      <w:szCs w:val="21"/>
                      <w:lang w:val="en-US" w:eastAsia="zh-CN"/>
                    </w:rPr>
                    <w:t>属于</w:t>
                  </w:r>
                  <w:r>
                    <w:rPr>
                      <w:rFonts w:hint="default" w:ascii="Times New Roman" w:hAnsi="Times New Roman" w:eastAsia="宋体" w:cs="Times New Roman"/>
                      <w:color w:val="auto"/>
                      <w:sz w:val="21"/>
                      <w:szCs w:val="21"/>
                      <w:lang w:val="en-US" w:eastAsia="zh-CN"/>
                    </w:rPr>
                    <w:t>环境空气</w:t>
                  </w:r>
                  <w:r>
                    <w:rPr>
                      <w:rFonts w:hint="eastAsia" w:eastAsia="宋体" w:cs="Times New Roman"/>
                      <w:color w:val="auto"/>
                      <w:sz w:val="21"/>
                      <w:szCs w:val="21"/>
                      <w:lang w:val="en-US" w:eastAsia="zh-CN"/>
                    </w:rPr>
                    <w:t>不达标区</w:t>
                  </w:r>
                  <w:r>
                    <w:rPr>
                      <w:rFonts w:hint="default" w:ascii="Times New Roman" w:hAnsi="Times New Roman" w:eastAsia="宋体" w:cs="Times New Roman"/>
                      <w:color w:val="auto"/>
                      <w:sz w:val="21"/>
                      <w:szCs w:val="21"/>
                      <w:lang w:val="en-US" w:eastAsia="zh-CN"/>
                    </w:rPr>
                    <w:t>，其他污染物非甲烷总烃未超过环境质量标准</w:t>
                  </w:r>
                  <w:r>
                    <w:rPr>
                      <w:rFonts w:hint="eastAsia" w:eastAsia="宋体" w:cs="Times New Roman"/>
                      <w:color w:val="auto"/>
                      <w:sz w:val="21"/>
                      <w:szCs w:val="21"/>
                      <w:lang w:val="en-US" w:eastAsia="zh-CN"/>
                    </w:rPr>
                    <w:t>，随着《关于印发&lt;淮安市2024年大气污染防治工作计划&gt;&lt;淮安市2024年水生态环境保护工作计划&gt;的通知》（淮污防攻坚指办</w:t>
                  </w:r>
                  <w:r>
                    <w:rPr>
                      <w:rFonts w:hint="eastAsia" w:cs="Times New Roman"/>
                      <w:color w:val="auto"/>
                      <w:sz w:val="21"/>
                      <w:szCs w:val="21"/>
                      <w:lang w:val="en-US" w:eastAsia="zh-CN"/>
                    </w:rPr>
                    <w:t>〔2024〕50号</w:t>
                  </w:r>
                  <w:r>
                    <w:rPr>
                      <w:rFonts w:hint="eastAsia" w:eastAsia="宋体" w:cs="Times New Roman"/>
                      <w:color w:val="auto"/>
                      <w:sz w:val="21"/>
                      <w:szCs w:val="21"/>
                      <w:lang w:val="en-US" w:eastAsia="zh-CN"/>
                    </w:rPr>
                    <w:t>）等防治计划的落实，淮安市持续开展空气质量改善行动以及“开展三源整治、留住蓝天白云”扬尘管控集中整治行动，深入推进“48小时+12天”大气环境质量改善专项攻坚，预期淮安市环境空气质量状况会进一步改善</w:t>
                  </w:r>
                  <w:r>
                    <w:rPr>
                      <w:rFonts w:hint="default" w:ascii="Times New Roman" w:hAnsi="Times New Roman" w:eastAsia="宋体" w:cs="Times New Roman"/>
                      <w:color w:val="auto"/>
                      <w:sz w:val="21"/>
                      <w:szCs w:val="21"/>
                      <w:lang w:val="en-US" w:eastAsia="zh-CN"/>
                    </w:rPr>
                    <w:t>；根据《202</w:t>
                  </w: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lang w:val="en-US" w:eastAsia="zh-CN"/>
                    </w:rPr>
                    <w:t>年淮安市生态环境状况公报》</w:t>
                  </w:r>
                  <w:r>
                    <w:rPr>
                      <w:rFonts w:hint="eastAsia" w:ascii="Times New Roman" w:hAnsi="Times New Roman" w:eastAsia="宋体" w:cs="Times New Roman"/>
                      <w:color w:val="auto"/>
                      <w:sz w:val="21"/>
                      <w:szCs w:val="21"/>
                      <w:lang w:val="en-US" w:eastAsia="zh-CN"/>
                    </w:rPr>
                    <w:t>，盐河</w:t>
                  </w:r>
                  <w:r>
                    <w:rPr>
                      <w:rFonts w:hint="default" w:ascii="Times New Roman" w:hAnsi="Times New Roman" w:eastAsia="宋体" w:cs="Times New Roman"/>
                      <w:color w:val="auto"/>
                      <w:sz w:val="21"/>
                      <w:szCs w:val="21"/>
                      <w:lang w:val="en-US" w:eastAsia="zh-CN"/>
                    </w:rPr>
                    <w:t>水质能够满足《地表水环境质量标准》（GB3838-2002》</w:t>
                  </w:r>
                  <w:r>
                    <w:rPr>
                      <w:rFonts w:hint="eastAsia" w:ascii="宋体" w:hAnsi="宋体" w:eastAsia="宋体" w:cs="宋体"/>
                      <w:color w:val="auto"/>
                      <w:sz w:val="21"/>
                      <w:szCs w:val="21"/>
                      <w:lang w:val="en-US" w:eastAsia="zh-CN"/>
                    </w:rPr>
                    <w:t>Ⅲ</w:t>
                  </w:r>
                  <w:r>
                    <w:rPr>
                      <w:rFonts w:hint="default" w:ascii="Times New Roman" w:hAnsi="Times New Roman" w:eastAsia="宋体" w:cs="Times New Roman"/>
                      <w:color w:val="auto"/>
                      <w:sz w:val="21"/>
                      <w:szCs w:val="21"/>
                      <w:lang w:val="en-US" w:eastAsia="zh-CN"/>
                    </w:rPr>
                    <w:t>类水标准，水质状况良好，项目所在地噪声环境质量达标</w:t>
                  </w:r>
                  <w:r>
                    <w:rPr>
                      <w:rFonts w:hint="default" w:ascii="Times New Roman" w:hAnsi="Times New Roman" w:eastAsia="宋体" w:cs="Times New Roman"/>
                      <w:color w:val="auto"/>
                      <w:sz w:val="21"/>
                      <w:szCs w:val="21"/>
                    </w:rPr>
                    <w:t>。</w:t>
                  </w:r>
                </w:p>
              </w:tc>
              <w:tc>
                <w:tcPr>
                  <w:tcW w:w="320" w:type="pct"/>
                  <w:tcBorders>
                    <w:top w:val="single" w:color="auto" w:sz="4" w:space="0"/>
                    <w:left w:val="single" w:color="auto" w:sz="4" w:space="0"/>
                    <w:bottom w:val="single" w:color="auto" w:sz="4" w:space="0"/>
                    <w:right w:val="nil"/>
                  </w:tcBorders>
                  <w:vAlign w:val="center"/>
                </w:tcPr>
                <w:p w14:paraId="2D2C7247">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11AB399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1069" w:type="pct"/>
                  <w:vMerge w:val="continue"/>
                  <w:tcBorders>
                    <w:left w:val="nil"/>
                    <w:right w:val="single" w:color="auto" w:sz="4" w:space="0"/>
                  </w:tcBorders>
                  <w:vAlign w:val="center"/>
                </w:tcPr>
                <w:p w14:paraId="4CC47EC4">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lang w:val="en-US" w:eastAsia="zh-CN"/>
                    </w:rPr>
                  </w:pPr>
                </w:p>
              </w:tc>
              <w:tc>
                <w:tcPr>
                  <w:tcW w:w="1862" w:type="pct"/>
                  <w:gridSpan w:val="2"/>
                  <w:tcBorders>
                    <w:top w:val="single" w:color="000000" w:sz="4" w:space="0"/>
                    <w:left w:val="single" w:color="auto" w:sz="4" w:space="0"/>
                    <w:bottom w:val="single" w:color="000000" w:sz="4" w:space="0"/>
                    <w:right w:val="single" w:color="000000" w:sz="4" w:space="0"/>
                  </w:tcBorders>
                  <w:vAlign w:val="center"/>
                </w:tcPr>
                <w:p w14:paraId="0192FFC2">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建设项目采取的污染防治措施无</w:t>
                  </w:r>
                </w:p>
                <w:p w14:paraId="2904AB65">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法确保污染物排放达到国家和地</w:t>
                  </w:r>
                </w:p>
                <w:p w14:paraId="21495488">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方排放标准，或者未采取必要措施预防和控制生态破坏</w:t>
                  </w:r>
                </w:p>
              </w:tc>
              <w:tc>
                <w:tcPr>
                  <w:tcW w:w="1747" w:type="pct"/>
                  <w:tcBorders>
                    <w:top w:val="single" w:color="000000" w:sz="4" w:space="0"/>
                    <w:left w:val="single" w:color="000000" w:sz="4" w:space="0"/>
                    <w:bottom w:val="single" w:color="000000" w:sz="4" w:space="0"/>
                    <w:right w:val="single" w:color="auto" w:sz="4" w:space="0"/>
                  </w:tcBorders>
                  <w:vAlign w:val="center"/>
                </w:tcPr>
                <w:p w14:paraId="6D12D678">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lang w:eastAsia="zh-CN"/>
                    </w:rPr>
                    <w:t>扩建</w:t>
                  </w:r>
                  <w:r>
                    <w:rPr>
                      <w:rFonts w:hint="default" w:ascii="Times New Roman" w:hAnsi="Times New Roman" w:eastAsia="宋体" w:cs="Times New Roman"/>
                      <w:color w:val="auto"/>
                      <w:sz w:val="21"/>
                      <w:szCs w:val="21"/>
                    </w:rPr>
                    <w:t>项目</w:t>
                  </w:r>
                  <w:r>
                    <w:rPr>
                      <w:rFonts w:hint="default" w:ascii="Times New Roman" w:hAnsi="Times New Roman" w:eastAsia="宋体" w:cs="Times New Roman"/>
                      <w:color w:val="auto"/>
                      <w:sz w:val="21"/>
                      <w:szCs w:val="21"/>
                      <w:lang w:val="en-US" w:eastAsia="zh-CN"/>
                    </w:rPr>
                    <w:t>废气、废水、噪声、固废采取污染防治措施，确保排放达标，生态影响较小。</w:t>
                  </w:r>
                </w:p>
              </w:tc>
              <w:tc>
                <w:tcPr>
                  <w:tcW w:w="320" w:type="pct"/>
                  <w:tcBorders>
                    <w:top w:val="single" w:color="auto" w:sz="4" w:space="0"/>
                    <w:left w:val="single" w:color="auto" w:sz="4" w:space="0"/>
                    <w:bottom w:val="single" w:color="auto" w:sz="4" w:space="0"/>
                    <w:right w:val="nil"/>
                  </w:tcBorders>
                  <w:vAlign w:val="center"/>
                </w:tcPr>
                <w:p w14:paraId="08D0D5F1">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5F306C5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1069" w:type="pct"/>
                  <w:vMerge w:val="continue"/>
                  <w:tcBorders>
                    <w:left w:val="nil"/>
                    <w:right w:val="single" w:color="auto" w:sz="4" w:space="0"/>
                  </w:tcBorders>
                  <w:vAlign w:val="center"/>
                </w:tcPr>
                <w:p w14:paraId="7490E369">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lang w:val="en-US" w:eastAsia="zh-CN"/>
                    </w:rPr>
                  </w:pPr>
                </w:p>
              </w:tc>
              <w:tc>
                <w:tcPr>
                  <w:tcW w:w="1862" w:type="pct"/>
                  <w:gridSpan w:val="2"/>
                  <w:tcBorders>
                    <w:top w:val="single" w:color="000000" w:sz="4" w:space="0"/>
                    <w:left w:val="single" w:color="auto" w:sz="4" w:space="0"/>
                    <w:bottom w:val="single" w:color="000000" w:sz="4" w:space="0"/>
                    <w:right w:val="single" w:color="000000" w:sz="4" w:space="0"/>
                  </w:tcBorders>
                  <w:vAlign w:val="center"/>
                </w:tcPr>
                <w:p w14:paraId="52DA6803">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改建、扩建和技术改造项目，未</w:t>
                  </w:r>
                </w:p>
                <w:p w14:paraId="767D7587">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针对项目原有环境污染和生态破坏提出有效防止措施</w:t>
                  </w:r>
                </w:p>
              </w:tc>
              <w:tc>
                <w:tcPr>
                  <w:tcW w:w="1747" w:type="pct"/>
                  <w:tcBorders>
                    <w:top w:val="single" w:color="000000" w:sz="4" w:space="0"/>
                    <w:left w:val="single" w:color="000000" w:sz="4" w:space="0"/>
                    <w:bottom w:val="single" w:color="000000" w:sz="4" w:space="0"/>
                    <w:right w:val="single" w:color="auto" w:sz="4" w:space="0"/>
                  </w:tcBorders>
                  <w:vAlign w:val="center"/>
                </w:tcPr>
                <w:p w14:paraId="3B41292B">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lang w:eastAsia="zh-CN"/>
                    </w:rPr>
                    <w:t>扩建</w:t>
                  </w:r>
                  <w:r>
                    <w:rPr>
                      <w:rFonts w:hint="default" w:ascii="Times New Roman" w:hAnsi="Times New Roman" w:eastAsia="宋体" w:cs="Times New Roman"/>
                      <w:color w:val="auto"/>
                      <w:sz w:val="21"/>
                      <w:szCs w:val="21"/>
                    </w:rPr>
                    <w:t>项目</w:t>
                  </w:r>
                  <w:r>
                    <w:rPr>
                      <w:rFonts w:hint="default" w:ascii="Times New Roman" w:hAnsi="Times New Roman" w:eastAsia="宋体" w:cs="Times New Roman"/>
                      <w:color w:val="auto"/>
                      <w:sz w:val="21"/>
                      <w:szCs w:val="21"/>
                      <w:lang w:val="en-US" w:eastAsia="zh-CN"/>
                    </w:rPr>
                    <w:t>不存在遗留环境污染问题，目前企业尚未建设，不存在未批先建行为，无与项目有关的原有污染情况及主要环境问题</w:t>
                  </w:r>
                </w:p>
              </w:tc>
              <w:tc>
                <w:tcPr>
                  <w:tcW w:w="320" w:type="pct"/>
                  <w:tcBorders>
                    <w:top w:val="single" w:color="auto" w:sz="4" w:space="0"/>
                    <w:left w:val="single" w:color="auto" w:sz="4" w:space="0"/>
                    <w:bottom w:val="single" w:color="auto" w:sz="4" w:space="0"/>
                    <w:right w:val="nil"/>
                  </w:tcBorders>
                  <w:vAlign w:val="center"/>
                </w:tcPr>
                <w:p w14:paraId="5FD4BA03">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3058E5C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1069" w:type="pct"/>
                  <w:vMerge w:val="continue"/>
                  <w:tcBorders>
                    <w:left w:val="nil"/>
                    <w:right w:val="single" w:color="auto" w:sz="4" w:space="0"/>
                  </w:tcBorders>
                  <w:vAlign w:val="center"/>
                </w:tcPr>
                <w:p w14:paraId="381E2861">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lang w:val="en-US" w:eastAsia="zh-CN"/>
                    </w:rPr>
                  </w:pPr>
                </w:p>
              </w:tc>
              <w:tc>
                <w:tcPr>
                  <w:tcW w:w="1862" w:type="pct"/>
                  <w:gridSpan w:val="2"/>
                  <w:tcBorders>
                    <w:top w:val="single" w:color="000000" w:sz="4" w:space="0"/>
                    <w:left w:val="single" w:color="auto" w:sz="4" w:space="0"/>
                    <w:bottom w:val="single" w:color="000000" w:sz="4" w:space="0"/>
                    <w:right w:val="single" w:color="000000" w:sz="4" w:space="0"/>
                  </w:tcBorders>
                  <w:vAlign w:val="center"/>
                </w:tcPr>
                <w:p w14:paraId="610BE34D">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建设项目的环境影响报告书、环</w:t>
                  </w:r>
                </w:p>
                <w:p w14:paraId="34DE50FF">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境影响报告表的基础资料数据明</w:t>
                  </w:r>
                </w:p>
                <w:p w14:paraId="25EDE300">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显不实，内容存在重大缺陷、遗</w:t>
                  </w:r>
                </w:p>
                <w:p w14:paraId="35E4B302">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漏，或者环境影响评价结论不明</w:t>
                  </w:r>
                </w:p>
                <w:p w14:paraId="10B851E0">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确、不合理</w:t>
                  </w:r>
                </w:p>
              </w:tc>
              <w:tc>
                <w:tcPr>
                  <w:tcW w:w="1747" w:type="pct"/>
                  <w:tcBorders>
                    <w:top w:val="single" w:color="000000" w:sz="4" w:space="0"/>
                    <w:left w:val="single" w:color="000000" w:sz="4" w:space="0"/>
                    <w:bottom w:val="single" w:color="000000" w:sz="4" w:space="0"/>
                    <w:right w:val="single" w:color="auto" w:sz="4" w:space="0"/>
                  </w:tcBorders>
                  <w:vAlign w:val="center"/>
                </w:tcPr>
                <w:p w14:paraId="3A653CD4">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本次评价以企业实际提供资料为前提，核实后进行报告编制，环境影响评价结论明确，经初步审查不存在重大缺陷、遗漏</w:t>
                  </w:r>
                </w:p>
              </w:tc>
              <w:tc>
                <w:tcPr>
                  <w:tcW w:w="320" w:type="pct"/>
                  <w:tcBorders>
                    <w:top w:val="single" w:color="auto" w:sz="4" w:space="0"/>
                    <w:left w:val="single" w:color="auto" w:sz="4" w:space="0"/>
                    <w:bottom w:val="single" w:color="auto" w:sz="4" w:space="0"/>
                    <w:right w:val="nil"/>
                  </w:tcBorders>
                  <w:vAlign w:val="center"/>
                </w:tcPr>
                <w:p w14:paraId="0F0FB4A7">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bl>
          <w:p w14:paraId="46798AC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cs="Times New Roman" w:hAnsiTheme="minorEastAsia" w:eastAsiaTheme="minorEastAsia"/>
                <w:b/>
                <w:bCs/>
                <w:color w:val="auto"/>
                <w:sz w:val="24"/>
              </w:rPr>
            </w:pPr>
            <w:r>
              <w:rPr>
                <w:rFonts w:hAnsi="宋体"/>
                <w:color w:val="auto"/>
                <w:sz w:val="24"/>
              </w:rPr>
              <w:t>对照</w:t>
            </w:r>
            <w:r>
              <w:rPr>
                <w:rFonts w:hint="default" w:hAnsi="宋体"/>
                <w:color w:val="auto"/>
                <w:sz w:val="24"/>
              </w:rPr>
              <w:t>苏环办</w:t>
            </w:r>
            <w:r>
              <w:rPr>
                <w:rFonts w:hint="eastAsia" w:hAnsi="宋体"/>
                <w:color w:val="auto"/>
                <w:sz w:val="24"/>
                <w:lang w:eastAsia="zh-CN"/>
              </w:rPr>
              <w:t>〔2023〕154号</w:t>
            </w:r>
            <w:r>
              <w:rPr>
                <w:rFonts w:hint="default" w:hAnsi="宋体"/>
                <w:color w:val="auto"/>
                <w:sz w:val="24"/>
              </w:rPr>
              <w:t>省生态环境厅关于做好《危险废物贮存污染控制标准》等标准规范实施后危险废物环境管理衔接工作的通知</w:t>
            </w:r>
            <w:r>
              <w:rPr>
                <w:rFonts w:hint="eastAsia" w:hAnsi="宋体"/>
                <w:color w:val="auto"/>
                <w:sz w:val="24"/>
                <w:lang w:eastAsia="zh-CN"/>
              </w:rPr>
              <w:t>，</w:t>
            </w:r>
            <w:r>
              <w:rPr>
                <w:rFonts w:hint="default" w:hAnsi="宋体"/>
                <w:color w:val="auto"/>
                <w:sz w:val="24"/>
              </w:rPr>
              <w:t>省生态环境厅关于印发《江苏省固体废物全过程环境监管工作意见》的通知苏环办</w:t>
            </w:r>
            <w:r>
              <w:rPr>
                <w:rFonts w:hint="eastAsia" w:hAnsi="宋体"/>
                <w:color w:val="auto"/>
                <w:sz w:val="24"/>
                <w:lang w:eastAsia="zh-CN"/>
              </w:rPr>
              <w:t>〔2024〕16号</w:t>
            </w:r>
            <w:r>
              <w:rPr>
                <w:rFonts w:hint="default" w:hAnsi="宋体"/>
                <w:color w:val="auto"/>
                <w:sz w:val="24"/>
                <w:lang w:eastAsia="zh-CN"/>
              </w:rPr>
              <w:t>文</w:t>
            </w:r>
            <w:r>
              <w:rPr>
                <w:rFonts w:hint="eastAsia" w:hAnsi="宋体"/>
                <w:color w:val="auto"/>
                <w:sz w:val="24"/>
                <w:lang w:eastAsia="zh-CN"/>
              </w:rPr>
              <w:t>，</w:t>
            </w:r>
            <w:r>
              <w:rPr>
                <w:rFonts w:hint="default" w:hAnsi="宋体"/>
                <w:color w:val="auto"/>
                <w:sz w:val="24"/>
                <w:lang w:eastAsia="zh-CN"/>
              </w:rPr>
              <w:t>《江苏省固体废物全过程环境监管工作意见》的通知(苏环办</w:t>
            </w:r>
            <w:r>
              <w:rPr>
                <w:rFonts w:hint="eastAsia" w:hAnsi="宋体"/>
                <w:color w:val="auto"/>
                <w:sz w:val="24"/>
                <w:lang w:eastAsia="zh-CN"/>
              </w:rPr>
              <w:t>〔2024〕16号</w:t>
            </w:r>
            <w:r>
              <w:rPr>
                <w:rFonts w:hint="default" w:hAnsi="宋体"/>
                <w:color w:val="auto"/>
                <w:sz w:val="24"/>
                <w:lang w:eastAsia="zh-CN"/>
              </w:rPr>
              <w:t>)</w:t>
            </w:r>
            <w:r>
              <w:rPr>
                <w:rFonts w:hint="eastAsia" w:hAnsi="宋体"/>
                <w:color w:val="auto"/>
                <w:sz w:val="24"/>
                <w:lang w:eastAsia="zh-CN"/>
              </w:rPr>
              <w:t>文件的相符性分析见下表。</w:t>
            </w:r>
          </w:p>
          <w:p w14:paraId="7142A5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cs="Times New Roman" w:hAnsiTheme="minorEastAsia" w:eastAsiaTheme="minorEastAsia"/>
                <w:color w:val="auto"/>
                <w:sz w:val="24"/>
                <w:lang w:val="en-US" w:eastAsia="zh-CN"/>
              </w:rPr>
            </w:pPr>
            <w:r>
              <w:rPr>
                <w:rFonts w:ascii="Times New Roman" w:cs="Times New Roman" w:hAnsiTheme="minorEastAsia" w:eastAsiaTheme="minorEastAsia"/>
                <w:b/>
                <w:bCs/>
                <w:color w:val="auto"/>
                <w:sz w:val="24"/>
              </w:rPr>
              <w:t>表1-1</w:t>
            </w:r>
            <w:r>
              <w:rPr>
                <w:rFonts w:hint="eastAsia" w:cs="Times New Roman" w:hAnsiTheme="minorEastAsia" w:eastAsiaTheme="minorEastAsia"/>
                <w:b/>
                <w:bCs/>
                <w:color w:val="auto"/>
                <w:sz w:val="24"/>
                <w:lang w:val="en-US" w:eastAsia="zh-CN"/>
              </w:rPr>
              <w:t>0</w:t>
            </w:r>
            <w:r>
              <w:rPr>
                <w:rFonts w:hint="eastAsia" w:ascii="Times New Roman" w:cs="Times New Roman" w:hAnsiTheme="minorEastAsia" w:eastAsiaTheme="minorEastAsia"/>
                <w:b/>
                <w:bCs/>
                <w:color w:val="auto"/>
                <w:sz w:val="24"/>
                <w:lang w:val="en-US" w:eastAsia="zh-CN"/>
              </w:rPr>
              <w:t>与固体危废相关文件</w:t>
            </w:r>
            <w:r>
              <w:rPr>
                <w:rFonts w:hint="eastAsia" w:cs="Times New Roman" w:hAnsiTheme="minorEastAsia" w:eastAsiaTheme="minorEastAsia"/>
                <w:b/>
                <w:bCs/>
                <w:color w:val="auto"/>
                <w:sz w:val="24"/>
                <w:lang w:val="en-US" w:eastAsia="zh-CN"/>
              </w:rPr>
              <w:t>的</w:t>
            </w:r>
            <w:r>
              <w:rPr>
                <w:rFonts w:hint="eastAsia" w:ascii="Times New Roman" w:cs="Times New Roman" w:hAnsiTheme="minorEastAsia" w:eastAsiaTheme="minorEastAsia"/>
                <w:b/>
                <w:bCs/>
                <w:color w:val="auto"/>
                <w:sz w:val="24"/>
                <w:lang w:val="en-US" w:eastAsia="zh-CN"/>
              </w:rPr>
              <w:t>相符性</w:t>
            </w:r>
          </w:p>
          <w:tbl>
            <w:tblPr>
              <w:tblStyle w:val="134"/>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387"/>
              <w:gridCol w:w="4400"/>
              <w:gridCol w:w="2304"/>
              <w:gridCol w:w="247"/>
            </w:tblGrid>
            <w:tr w14:paraId="3C47FAB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54" w:hRule="atLeast"/>
                <w:jc w:val="center"/>
              </w:trPr>
              <w:tc>
                <w:tcPr>
                  <w:tcW w:w="5788" w:type="dxa"/>
                  <w:gridSpan w:val="2"/>
                  <w:tcBorders>
                    <w:tl2br w:val="nil"/>
                    <w:tr2bl w:val="nil"/>
                  </w:tcBorders>
                  <w:vAlign w:val="center"/>
                </w:tcPr>
                <w:p w14:paraId="073F2262">
                  <w:pPr>
                    <w:pStyle w:val="1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b/>
                      <w:bCs/>
                      <w:color w:val="auto"/>
                      <w:spacing w:val="0"/>
                      <w:position w:val="0"/>
                      <w:sz w:val="21"/>
                      <w:szCs w:val="21"/>
                    </w:rPr>
                    <w:t>要求</w:t>
                  </w:r>
                </w:p>
              </w:tc>
              <w:tc>
                <w:tcPr>
                  <w:tcW w:w="2304" w:type="dxa"/>
                  <w:tcBorders>
                    <w:tl2br w:val="nil"/>
                    <w:tr2bl w:val="nil"/>
                  </w:tcBorders>
                  <w:vAlign w:val="center"/>
                </w:tcPr>
                <w:p w14:paraId="6BB3BA91">
                  <w:pPr>
                    <w:pStyle w:val="133"/>
                    <w:keepNext w:val="0"/>
                    <w:keepLines w:val="0"/>
                    <w:pageBreakBefore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b/>
                      <w:bCs/>
                      <w:color w:val="auto"/>
                      <w:spacing w:val="0"/>
                      <w:position w:val="0"/>
                      <w:sz w:val="21"/>
                      <w:szCs w:val="21"/>
                    </w:rPr>
                    <w:t>本项目情况</w:t>
                  </w:r>
                </w:p>
              </w:tc>
              <w:tc>
                <w:tcPr>
                  <w:tcW w:w="0" w:type="auto"/>
                  <w:tcBorders>
                    <w:tl2br w:val="nil"/>
                    <w:tr2bl w:val="nil"/>
                  </w:tcBorders>
                  <w:vAlign w:val="center"/>
                </w:tcPr>
                <w:p w14:paraId="505F6D72">
                  <w:pPr>
                    <w:pStyle w:val="133"/>
                    <w:keepNext w:val="0"/>
                    <w:keepLines w:val="0"/>
                    <w:pageBreakBefore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b/>
                      <w:bCs/>
                      <w:color w:val="auto"/>
                      <w:spacing w:val="0"/>
                      <w:position w:val="0"/>
                      <w:sz w:val="21"/>
                      <w:szCs w:val="21"/>
                    </w:rPr>
                    <w:t>是否符合</w:t>
                  </w:r>
                </w:p>
              </w:tc>
            </w:tr>
            <w:tr w14:paraId="10E9DDC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54" w:hRule="atLeast"/>
                <w:jc w:val="center"/>
              </w:trPr>
              <w:tc>
                <w:tcPr>
                  <w:tcW w:w="0" w:type="auto"/>
                  <w:vMerge w:val="restart"/>
                  <w:tcBorders>
                    <w:tl2br w:val="nil"/>
                    <w:tr2bl w:val="nil"/>
                  </w:tcBorders>
                  <w:vAlign w:val="center"/>
                </w:tcPr>
                <w:p w14:paraId="0243EEB2">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苏环办</w:t>
                  </w:r>
                  <w:r>
                    <w:rPr>
                      <w:rFonts w:hint="eastAsia" w:cs="Times New Roman"/>
                      <w:color w:val="auto"/>
                      <w:spacing w:val="0"/>
                      <w:position w:val="0"/>
                      <w:sz w:val="21"/>
                      <w:szCs w:val="21"/>
                      <w:lang w:eastAsia="zh-CN"/>
                    </w:rPr>
                    <w:t>〔2023〕154号</w:t>
                  </w:r>
                  <w:r>
                    <w:rPr>
                      <w:rFonts w:hint="default" w:ascii="Times New Roman" w:hAnsi="Times New Roman" w:eastAsia="宋体" w:cs="Times New Roman"/>
                      <w:color w:val="auto"/>
                      <w:spacing w:val="0"/>
                      <w:position w:val="0"/>
                      <w:sz w:val="21"/>
                      <w:szCs w:val="21"/>
                    </w:rPr>
                    <w:t>省生态环境厅关于做好《危险废物贮存污染控制标准》等标准规范实施后危险废物环境管理衔接工作的通知</w:t>
                  </w:r>
                </w:p>
                <w:p w14:paraId="02B585F1">
                  <w:pPr>
                    <w:pStyle w:val="1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rPr>
                  </w:pPr>
                </w:p>
              </w:tc>
              <w:tc>
                <w:tcPr>
                  <w:tcW w:w="4400" w:type="dxa"/>
                  <w:tcBorders>
                    <w:tl2br w:val="nil"/>
                    <w:tr2bl w:val="nil"/>
                  </w:tcBorders>
                  <w:vAlign w:val="center"/>
                </w:tcPr>
                <w:p w14:paraId="56B0979E">
                  <w:pPr>
                    <w:pStyle w:val="1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危险废物贮存设施(含贮存点)应按照《省生态环境厅关于进一步加强危险废物污染防治工作的实施意见》(苏环办</w:t>
                  </w:r>
                  <w:r>
                    <w:rPr>
                      <w:rFonts w:hint="eastAsia" w:ascii="Times New Roman" w:hAnsi="Times New Roman" w:cs="Times New Roman"/>
                      <w:color w:val="auto"/>
                      <w:spacing w:val="0"/>
                      <w:position w:val="0"/>
                      <w:sz w:val="21"/>
                      <w:szCs w:val="21"/>
                      <w:lang w:eastAsia="zh-CN"/>
                    </w:rPr>
                    <w:t>〔2023〕327号</w:t>
                  </w:r>
                  <w:r>
                    <w:rPr>
                      <w:rFonts w:hint="default" w:ascii="Times New Roman" w:hAnsi="Times New Roman" w:eastAsia="宋体" w:cs="Times New Roman"/>
                      <w:color w:val="auto"/>
                      <w:spacing w:val="0"/>
                      <w:position w:val="0"/>
                      <w:sz w:val="21"/>
                      <w:szCs w:val="21"/>
                    </w:rPr>
                    <w:t>)、《省生态环境厅关于做好江苏省危险废物全生命周期监控系统上线运行工作的通知》(苏环办</w:t>
                  </w:r>
                  <w:r>
                    <w:rPr>
                      <w:rFonts w:hint="eastAsia" w:ascii="Times New Roman" w:hAnsi="Times New Roman" w:cs="Times New Roman"/>
                      <w:color w:val="auto"/>
                      <w:spacing w:val="0"/>
                      <w:position w:val="0"/>
                      <w:sz w:val="21"/>
                      <w:szCs w:val="21"/>
                      <w:lang w:eastAsia="zh-CN"/>
                    </w:rPr>
                    <w:t>〔2020〕401号</w:t>
                  </w:r>
                  <w:r>
                    <w:rPr>
                      <w:rFonts w:hint="default" w:ascii="Times New Roman" w:hAnsi="Times New Roman" w:eastAsia="宋体" w:cs="Times New Roman"/>
                      <w:color w:val="auto"/>
                      <w:spacing w:val="0"/>
                      <w:position w:val="0"/>
                      <w:sz w:val="21"/>
                      <w:szCs w:val="21"/>
                    </w:rPr>
                    <w:t>)等文件要求设置视频监控，并与中控室联网，视频监控应确保监控画面清晰，视频记录保存时间至少为3个月。</w:t>
                  </w:r>
                </w:p>
              </w:tc>
              <w:tc>
                <w:tcPr>
                  <w:tcW w:w="2304" w:type="dxa"/>
                  <w:tcBorders>
                    <w:tl2br w:val="nil"/>
                    <w:tr2bl w:val="nil"/>
                  </w:tcBorders>
                  <w:vAlign w:val="center"/>
                </w:tcPr>
                <w:p w14:paraId="5D92AD39">
                  <w:pPr>
                    <w:pStyle w:val="1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本项目</w:t>
                  </w:r>
                  <w:r>
                    <w:rPr>
                      <w:rFonts w:hint="default" w:ascii="Times New Roman" w:hAnsi="Times New Roman" w:eastAsia="宋体" w:cs="Times New Roman"/>
                      <w:color w:val="auto"/>
                      <w:spacing w:val="0"/>
                      <w:position w:val="0"/>
                      <w:sz w:val="21"/>
                      <w:szCs w:val="21"/>
                      <w:lang w:val="en-US" w:eastAsia="zh-CN"/>
                    </w:rPr>
                    <w:t>建设后将按照</w:t>
                  </w:r>
                  <w:r>
                    <w:rPr>
                      <w:rFonts w:hint="default" w:ascii="Times New Roman" w:hAnsi="Times New Roman" w:eastAsia="宋体" w:cs="Times New Roman"/>
                      <w:color w:val="auto"/>
                      <w:spacing w:val="0"/>
                      <w:position w:val="0"/>
                      <w:sz w:val="21"/>
                      <w:szCs w:val="21"/>
                    </w:rPr>
                    <w:t>《省生态环境厅关于做好江苏省危险废物全生命周期监控系统上线运行工作的通知》(苏环办</w:t>
                  </w:r>
                  <w:r>
                    <w:rPr>
                      <w:rFonts w:hint="eastAsia" w:ascii="Times New Roman" w:hAnsi="Times New Roman" w:cs="Times New Roman"/>
                      <w:color w:val="auto"/>
                      <w:spacing w:val="0"/>
                      <w:position w:val="0"/>
                      <w:sz w:val="21"/>
                      <w:szCs w:val="21"/>
                      <w:lang w:eastAsia="zh-CN"/>
                    </w:rPr>
                    <w:t>〔2020〕401号</w:t>
                  </w:r>
                  <w:r>
                    <w:rPr>
                      <w:rFonts w:hint="default" w:ascii="Times New Roman" w:hAnsi="Times New Roman" w:eastAsia="宋体" w:cs="Times New Roman"/>
                      <w:color w:val="auto"/>
                      <w:spacing w:val="0"/>
                      <w:position w:val="0"/>
                      <w:sz w:val="21"/>
                      <w:szCs w:val="21"/>
                    </w:rPr>
                    <w:t>)等文件要求设置视频监控，并与中控室联网，监控画面清晰，视频记录保存时间至少为3个月。</w:t>
                  </w:r>
                </w:p>
              </w:tc>
              <w:tc>
                <w:tcPr>
                  <w:tcW w:w="0" w:type="auto"/>
                  <w:tcBorders>
                    <w:tl2br w:val="nil"/>
                    <w:tr2bl w:val="nil"/>
                  </w:tcBorders>
                  <w:vAlign w:val="center"/>
                </w:tcPr>
                <w:p w14:paraId="4ACB661E">
                  <w:pPr>
                    <w:keepNext w:val="0"/>
                    <w:keepLines w:val="0"/>
                    <w:pageBreakBefore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rPr>
                  </w:pPr>
                </w:p>
                <w:p w14:paraId="4515497D">
                  <w:pPr>
                    <w:keepNext w:val="0"/>
                    <w:keepLines w:val="0"/>
                    <w:pageBreakBefore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rPr>
                  </w:pPr>
                </w:p>
                <w:p w14:paraId="210CB870">
                  <w:pPr>
                    <w:keepNext w:val="0"/>
                    <w:keepLines w:val="0"/>
                    <w:pageBreakBefore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rPr>
                  </w:pPr>
                </w:p>
                <w:p w14:paraId="4698DE45">
                  <w:pPr>
                    <w:keepNext w:val="0"/>
                    <w:keepLines w:val="0"/>
                    <w:pageBreakBefore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rPr>
                  </w:pPr>
                </w:p>
                <w:p w14:paraId="1759DA1C">
                  <w:pPr>
                    <w:pStyle w:val="133"/>
                    <w:keepNext w:val="0"/>
                    <w:keepLines w:val="0"/>
                    <w:pageBreakBefore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相符</w:t>
                  </w:r>
                </w:p>
              </w:tc>
            </w:tr>
            <w:tr w14:paraId="0506E34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54" w:hRule="atLeast"/>
                <w:jc w:val="center"/>
              </w:trPr>
              <w:tc>
                <w:tcPr>
                  <w:tcW w:w="0" w:type="auto"/>
                  <w:vMerge w:val="continue"/>
                  <w:tcBorders>
                    <w:tl2br w:val="nil"/>
                    <w:tr2bl w:val="nil"/>
                  </w:tcBorders>
                  <w:vAlign w:val="center"/>
                </w:tcPr>
                <w:p w14:paraId="693B69BE">
                  <w:pPr>
                    <w:pStyle w:val="1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rPr>
                  </w:pPr>
                </w:p>
              </w:tc>
              <w:tc>
                <w:tcPr>
                  <w:tcW w:w="4400" w:type="dxa"/>
                  <w:tcBorders>
                    <w:tl2br w:val="nil"/>
                    <w:tr2bl w:val="nil"/>
                  </w:tcBorders>
                  <w:vAlign w:val="center"/>
                </w:tcPr>
                <w:p w14:paraId="4E1F174C">
                  <w:pPr>
                    <w:pStyle w:val="1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危险废物识别标志样式可由江苏省危险废物全生命周期监控系统自动生成，原贮存、利用处置设施标志牌上贮存设施环评批文、贮存设施建筑面积或容积、贮存设施环境污染防治措施环境应急物资和设备、贮存危险废物清单、利用处置方式、利用处置能力、可利用处置危废、产生危废等信息纳入识别标志二维码管理，危险废物标签备注栏需显示容器容量材质等信息。本通知印发前已设置贮存、利用、处置设施标志牌的，可直接对照附件要求在标志牌上进行修改，《规范》实施之日前已经张贴在危险废物包装上的标签不需更换。</w:t>
                  </w:r>
                </w:p>
              </w:tc>
              <w:tc>
                <w:tcPr>
                  <w:tcW w:w="2304" w:type="dxa"/>
                  <w:tcBorders>
                    <w:tl2br w:val="nil"/>
                    <w:tr2bl w:val="nil"/>
                  </w:tcBorders>
                  <w:vAlign w:val="center"/>
                </w:tcPr>
                <w:p w14:paraId="2D81464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kern w:val="2"/>
                      <w:position w:val="0"/>
                      <w:sz w:val="21"/>
                      <w:szCs w:val="21"/>
                      <w:lang w:val="en-US" w:eastAsia="en-US" w:bidi="ar-SA"/>
                    </w:rPr>
                    <w:t>固废贮存场所标志执行《危险废物识别标志设置技术规范》（HJ1276-2022）、《环境保护图形标志固体废物贮存（处置）场》（GB15562.2-1995）及修改单、《江苏省危险废物集中收集体系建设工作方案（试行）》</w:t>
                  </w:r>
                  <w:bookmarkStart w:id="8" w:name="OLE_LINK16"/>
                  <w:r>
                    <w:rPr>
                      <w:rFonts w:hint="default" w:ascii="Times New Roman" w:hAnsi="Times New Roman" w:eastAsia="宋体" w:cs="Times New Roman"/>
                      <w:color w:val="auto"/>
                      <w:spacing w:val="0"/>
                      <w:kern w:val="2"/>
                      <w:position w:val="0"/>
                      <w:sz w:val="21"/>
                      <w:szCs w:val="21"/>
                      <w:lang w:val="en-US" w:eastAsia="en-US" w:bidi="ar-SA"/>
                    </w:rPr>
                    <w:t>（苏环办</w:t>
                  </w:r>
                  <w:r>
                    <w:rPr>
                      <w:rFonts w:hint="eastAsia" w:cs="Times New Roman"/>
                      <w:color w:val="auto"/>
                      <w:spacing w:val="0"/>
                      <w:kern w:val="2"/>
                      <w:position w:val="0"/>
                      <w:sz w:val="21"/>
                      <w:szCs w:val="21"/>
                      <w:lang w:val="en-US" w:eastAsia="zh-CN" w:bidi="ar-SA"/>
                    </w:rPr>
                    <w:t>〔2021〕290号</w:t>
                  </w:r>
                  <w:r>
                    <w:rPr>
                      <w:rFonts w:hint="default" w:ascii="Times New Roman" w:hAnsi="Times New Roman" w:eastAsia="宋体" w:cs="Times New Roman"/>
                      <w:color w:val="auto"/>
                      <w:spacing w:val="0"/>
                      <w:kern w:val="2"/>
                      <w:position w:val="0"/>
                      <w:sz w:val="21"/>
                      <w:szCs w:val="21"/>
                      <w:lang w:val="en-US" w:eastAsia="en-US" w:bidi="ar-SA"/>
                    </w:rPr>
                    <w:t>）要求、《省生态环境厅关于做好&lt;危险废物贮存污染控制标准&gt;等标准规范实施后危险废物环境管理衔接工作的通知》（苏环办</w:t>
                  </w:r>
                  <w:r>
                    <w:rPr>
                      <w:rFonts w:hint="eastAsia" w:cs="Times New Roman"/>
                      <w:color w:val="auto"/>
                      <w:spacing w:val="0"/>
                      <w:kern w:val="2"/>
                      <w:position w:val="0"/>
                      <w:sz w:val="21"/>
                      <w:szCs w:val="21"/>
                      <w:lang w:val="en-US" w:eastAsia="zh-CN" w:bidi="ar-SA"/>
                    </w:rPr>
                    <w:t>〔2023〕154号</w:t>
                  </w:r>
                  <w:r>
                    <w:rPr>
                      <w:rFonts w:hint="default" w:ascii="Times New Roman" w:hAnsi="Times New Roman" w:eastAsia="宋体" w:cs="Times New Roman"/>
                      <w:color w:val="auto"/>
                      <w:spacing w:val="0"/>
                      <w:kern w:val="2"/>
                      <w:position w:val="0"/>
                      <w:sz w:val="21"/>
                      <w:szCs w:val="21"/>
                      <w:lang w:val="en-US" w:eastAsia="en-US" w:bidi="ar-SA"/>
                    </w:rPr>
                    <w:t>）要求。</w:t>
                  </w:r>
                  <w:bookmarkEnd w:id="8"/>
                </w:p>
              </w:tc>
              <w:tc>
                <w:tcPr>
                  <w:tcW w:w="0" w:type="auto"/>
                  <w:tcBorders>
                    <w:tl2br w:val="nil"/>
                    <w:tr2bl w:val="nil"/>
                  </w:tcBorders>
                  <w:vAlign w:val="center"/>
                </w:tcPr>
                <w:p w14:paraId="36E3A048">
                  <w:pPr>
                    <w:keepNext w:val="0"/>
                    <w:keepLines w:val="0"/>
                    <w:pageBreakBefore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相符</w:t>
                  </w:r>
                </w:p>
              </w:tc>
            </w:tr>
            <w:tr w14:paraId="3C3BD8A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54" w:hRule="atLeast"/>
                <w:jc w:val="center"/>
              </w:trPr>
              <w:tc>
                <w:tcPr>
                  <w:tcW w:w="0" w:type="auto"/>
                  <w:vMerge w:val="continue"/>
                  <w:tcBorders>
                    <w:tl2br w:val="nil"/>
                    <w:tr2bl w:val="nil"/>
                  </w:tcBorders>
                  <w:vAlign w:val="center"/>
                </w:tcPr>
                <w:p w14:paraId="5E3E5842">
                  <w:pPr>
                    <w:pStyle w:val="1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rPr>
                  </w:pPr>
                </w:p>
              </w:tc>
              <w:tc>
                <w:tcPr>
                  <w:tcW w:w="4400" w:type="dxa"/>
                  <w:tcBorders>
                    <w:tl2br w:val="nil"/>
                    <w:tr2bl w:val="nil"/>
                  </w:tcBorders>
                  <w:vAlign w:val="center"/>
                </w:tcPr>
                <w:p w14:paraId="689B4C5B">
                  <w:pPr>
                    <w:pStyle w:val="1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各级生态环境部门要高度重视危险废物贮存污染控制标准和危险废物新老识别标志更换落实工作，通过组织线上线下学习培训、印发“口袋书”等方式，加强对环评、固管、执法等监管部门和相关企业的宣传培训，指导帮助企业做好标准规范实施后危险废物环境管理的衔接工作,提高其危险废物规范化环境管理水平。</w:t>
                  </w:r>
                </w:p>
              </w:tc>
              <w:tc>
                <w:tcPr>
                  <w:tcW w:w="2304" w:type="dxa"/>
                  <w:tcBorders>
                    <w:tl2br w:val="nil"/>
                    <w:tr2bl w:val="nil"/>
                  </w:tcBorders>
                  <w:vAlign w:val="center"/>
                </w:tcPr>
                <w:p w14:paraId="29B49A94">
                  <w:pPr>
                    <w:pStyle w:val="1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lang w:val="en-US" w:eastAsia="zh-CN"/>
                    </w:rPr>
                  </w:pPr>
                  <w:r>
                    <w:rPr>
                      <w:rFonts w:hint="default" w:ascii="Times New Roman" w:hAnsi="Times New Roman" w:eastAsia="宋体" w:cs="Times New Roman"/>
                      <w:color w:val="auto"/>
                      <w:spacing w:val="0"/>
                      <w:position w:val="0"/>
                      <w:sz w:val="21"/>
                      <w:szCs w:val="21"/>
                      <w:lang w:val="en-US" w:eastAsia="zh-CN"/>
                    </w:rPr>
                    <w:t>建设项目根据相关要求对企业员工进行相关培训，提高危险废物环境管理水平</w:t>
                  </w:r>
                </w:p>
              </w:tc>
              <w:tc>
                <w:tcPr>
                  <w:tcW w:w="0" w:type="auto"/>
                  <w:tcBorders>
                    <w:tl2br w:val="nil"/>
                    <w:tr2bl w:val="nil"/>
                  </w:tcBorders>
                  <w:vAlign w:val="center"/>
                </w:tcPr>
                <w:p w14:paraId="0872B1DA">
                  <w:pPr>
                    <w:keepNext w:val="0"/>
                    <w:keepLines w:val="0"/>
                    <w:pageBreakBefore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相符</w:t>
                  </w:r>
                </w:p>
              </w:tc>
            </w:tr>
            <w:tr w14:paraId="6E2D948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352" w:hRule="atLeast"/>
                <w:jc w:val="center"/>
              </w:trPr>
              <w:tc>
                <w:tcPr>
                  <w:tcW w:w="0" w:type="auto"/>
                  <w:vMerge w:val="restart"/>
                  <w:tcBorders>
                    <w:tl2br w:val="nil"/>
                    <w:tr2bl w:val="nil"/>
                  </w:tcBorders>
                  <w:vAlign w:val="center"/>
                </w:tcPr>
                <w:p w14:paraId="3BD6A4AF">
                  <w:pPr>
                    <w:pStyle w:val="1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省生态环境厅关于印发《江苏省固体废物全过程环境监管工作意见》的通知苏环办</w:t>
                  </w:r>
                  <w:r>
                    <w:rPr>
                      <w:rFonts w:hint="eastAsia" w:ascii="Times New Roman" w:hAnsi="Times New Roman" w:cs="Times New Roman"/>
                      <w:color w:val="auto"/>
                      <w:spacing w:val="0"/>
                      <w:position w:val="0"/>
                      <w:sz w:val="21"/>
                      <w:szCs w:val="21"/>
                      <w:lang w:eastAsia="zh-CN"/>
                    </w:rPr>
                    <w:t>〔2024〕16号</w:t>
                  </w:r>
                  <w:r>
                    <w:rPr>
                      <w:rFonts w:hint="default" w:ascii="Times New Roman" w:hAnsi="Times New Roman" w:eastAsia="宋体" w:cs="Times New Roman"/>
                      <w:color w:val="auto"/>
                      <w:spacing w:val="0"/>
                      <w:position w:val="0"/>
                      <w:sz w:val="21"/>
                      <w:szCs w:val="21"/>
                      <w:lang w:eastAsia="zh-CN"/>
                    </w:rPr>
                    <w:t>文</w:t>
                  </w:r>
                </w:p>
              </w:tc>
              <w:tc>
                <w:tcPr>
                  <w:tcW w:w="4400" w:type="dxa"/>
                  <w:tcBorders>
                    <w:tl2br w:val="nil"/>
                    <w:tr2bl w:val="nil"/>
                  </w:tcBorders>
                  <w:vAlign w:val="center"/>
                </w:tcPr>
                <w:p w14:paraId="23A15350">
                  <w:pPr>
                    <w:pStyle w:val="1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规范贮存管理要求。根据《危险废物贮存污染控制标准》(GB18597-2023)，企业可根据实际情况选择采用危险废物贮存设施或贮存点</w:t>
                  </w:r>
                  <w:r>
                    <w:rPr>
                      <w:rFonts w:hint="eastAsia" w:ascii="Times New Roman" w:hAnsi="Times New Roman" w:cs="Times New Roman"/>
                      <w:color w:val="auto"/>
                      <w:spacing w:val="0"/>
                      <w:position w:val="0"/>
                      <w:sz w:val="21"/>
                      <w:szCs w:val="21"/>
                      <w:lang w:eastAsia="zh-CN"/>
                    </w:rPr>
                    <w:t>两种</w:t>
                  </w:r>
                  <w:r>
                    <w:rPr>
                      <w:rFonts w:hint="default" w:ascii="Times New Roman" w:hAnsi="Times New Roman" w:eastAsia="宋体" w:cs="Times New Roman"/>
                      <w:color w:val="auto"/>
                      <w:spacing w:val="0"/>
                      <w:position w:val="0"/>
                      <w:sz w:val="21"/>
                      <w:szCs w:val="21"/>
                    </w:rPr>
                    <w:t>方式进行贮存，符合相应的污染控制标准</w:t>
                  </w:r>
                  <w:r>
                    <w:rPr>
                      <w:rFonts w:hint="eastAsia" w:ascii="Times New Roman" w:hAnsi="Times New Roman" w:cs="Times New Roman"/>
                      <w:color w:val="auto"/>
                      <w:spacing w:val="0"/>
                      <w:position w:val="0"/>
                      <w:sz w:val="21"/>
                      <w:szCs w:val="21"/>
                      <w:lang w:eastAsia="zh-CN"/>
                    </w:rPr>
                    <w:t>；</w:t>
                  </w:r>
                  <w:r>
                    <w:rPr>
                      <w:rFonts w:hint="default" w:ascii="Times New Roman" w:hAnsi="Times New Roman" w:eastAsia="宋体" w:cs="Times New Roman"/>
                      <w:color w:val="auto"/>
                      <w:spacing w:val="0"/>
                      <w:position w:val="0"/>
                      <w:sz w:val="21"/>
                      <w:szCs w:val="21"/>
                    </w:rPr>
                    <w:t>不具备建设贮存设施条件、选用贮存点方式的</w:t>
                  </w:r>
                </w:p>
              </w:tc>
              <w:tc>
                <w:tcPr>
                  <w:tcW w:w="2304" w:type="dxa"/>
                  <w:tcBorders>
                    <w:tl2br w:val="nil"/>
                    <w:tr2bl w:val="nil"/>
                  </w:tcBorders>
                  <w:vAlign w:val="center"/>
                </w:tcPr>
                <w:p w14:paraId="460CBF68">
                  <w:pPr>
                    <w:pStyle w:val="1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kern w:val="2"/>
                      <w:position w:val="0"/>
                      <w:sz w:val="21"/>
                      <w:szCs w:val="21"/>
                      <w:lang w:val="en-US" w:eastAsia="zh-CN" w:bidi="ar-SA"/>
                    </w:rPr>
                  </w:pPr>
                  <w:r>
                    <w:rPr>
                      <w:rFonts w:hint="default" w:ascii="Times New Roman" w:hAnsi="Times New Roman" w:eastAsia="宋体" w:cs="Times New Roman"/>
                      <w:color w:val="auto"/>
                      <w:spacing w:val="0"/>
                      <w:kern w:val="2"/>
                      <w:position w:val="0"/>
                      <w:sz w:val="21"/>
                      <w:szCs w:val="21"/>
                      <w:lang w:val="en-US" w:eastAsia="zh-CN" w:bidi="ar-SA"/>
                    </w:rPr>
                    <w:t>本项目建设后将落实</w:t>
                  </w:r>
                  <w:r>
                    <w:rPr>
                      <w:rFonts w:hint="default" w:ascii="Times New Roman" w:hAnsi="Times New Roman" w:eastAsia="宋体" w:cs="Times New Roman"/>
                      <w:color w:val="auto"/>
                      <w:spacing w:val="0"/>
                      <w:kern w:val="2"/>
                      <w:position w:val="0"/>
                      <w:sz w:val="21"/>
                      <w:szCs w:val="21"/>
                      <w:lang w:val="en-US" w:eastAsia="en-US" w:bidi="ar-SA"/>
                    </w:rPr>
                    <w:t>《危险废物贮存污染控制标准》(GB18597-2023)</w:t>
                  </w:r>
                  <w:r>
                    <w:rPr>
                      <w:rFonts w:hint="default" w:ascii="Times New Roman" w:hAnsi="Times New Roman" w:eastAsia="宋体" w:cs="Times New Roman"/>
                      <w:color w:val="auto"/>
                      <w:spacing w:val="0"/>
                      <w:kern w:val="2"/>
                      <w:position w:val="0"/>
                      <w:sz w:val="21"/>
                      <w:szCs w:val="21"/>
                      <w:lang w:val="en-US" w:eastAsia="zh-CN" w:bidi="ar-SA"/>
                    </w:rPr>
                    <w:t>，进行分类贮存</w:t>
                  </w:r>
                </w:p>
              </w:tc>
              <w:tc>
                <w:tcPr>
                  <w:tcW w:w="0" w:type="auto"/>
                  <w:tcBorders>
                    <w:tl2br w:val="nil"/>
                    <w:tr2bl w:val="nil"/>
                  </w:tcBorders>
                  <w:vAlign w:val="center"/>
                </w:tcPr>
                <w:p w14:paraId="4D47B137">
                  <w:pPr>
                    <w:keepNext w:val="0"/>
                    <w:keepLines w:val="0"/>
                    <w:pageBreakBefore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相符</w:t>
                  </w:r>
                </w:p>
              </w:tc>
            </w:tr>
            <w:tr w14:paraId="258C33B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72" w:hRule="atLeast"/>
                <w:jc w:val="center"/>
              </w:trPr>
              <w:tc>
                <w:tcPr>
                  <w:tcW w:w="0" w:type="auto"/>
                  <w:vMerge w:val="continue"/>
                  <w:tcBorders>
                    <w:tl2br w:val="nil"/>
                    <w:tr2bl w:val="nil"/>
                  </w:tcBorders>
                  <w:vAlign w:val="center"/>
                </w:tcPr>
                <w:p w14:paraId="07E9E6CA">
                  <w:pPr>
                    <w:pStyle w:val="1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rPr>
                  </w:pPr>
                </w:p>
              </w:tc>
              <w:tc>
                <w:tcPr>
                  <w:tcW w:w="4400" w:type="dxa"/>
                  <w:tcBorders>
                    <w:tl2br w:val="nil"/>
                    <w:tr2bl w:val="nil"/>
                  </w:tcBorders>
                  <w:vAlign w:val="center"/>
                </w:tcPr>
                <w:p w14:paraId="173AF6DA">
                  <w:pPr>
                    <w:pStyle w:val="1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规范贮存管理要求</w:t>
                  </w:r>
                  <w:r>
                    <w:rPr>
                      <w:rFonts w:hint="default" w:ascii="Times New Roman" w:hAnsi="Times New Roman" w:eastAsia="宋体" w:cs="Times New Roman"/>
                      <w:color w:val="auto"/>
                      <w:spacing w:val="0"/>
                      <w:position w:val="0"/>
                      <w:sz w:val="21"/>
                      <w:szCs w:val="21"/>
                      <w:lang w:eastAsia="zh-CN"/>
                    </w:rPr>
                    <w:t>：</w:t>
                  </w:r>
                  <w:r>
                    <w:rPr>
                      <w:rFonts w:hint="default" w:ascii="Times New Roman" w:hAnsi="Times New Roman" w:eastAsia="宋体" w:cs="Times New Roman"/>
                      <w:color w:val="auto"/>
                      <w:spacing w:val="0"/>
                      <w:position w:val="0"/>
                      <w:sz w:val="21"/>
                      <w:szCs w:val="21"/>
                    </w:rPr>
                    <w:t>根据《危险废物贮存污染控制标准》（GB18597</w:t>
                  </w:r>
                  <w:r>
                    <w:rPr>
                      <w:rFonts w:hint="default" w:ascii="Times New Roman" w:hAnsi="Times New Roman" w:eastAsia="宋体" w:cs="Times New Roman"/>
                      <w:color w:val="auto"/>
                      <w:spacing w:val="0"/>
                      <w:position w:val="0"/>
                      <w:sz w:val="21"/>
                      <w:szCs w:val="21"/>
                      <w:lang w:val="en-US" w:eastAsia="zh-CN"/>
                    </w:rPr>
                    <w:t>-</w:t>
                  </w:r>
                  <w:r>
                    <w:rPr>
                      <w:rFonts w:hint="default" w:ascii="Times New Roman" w:hAnsi="Times New Roman" w:eastAsia="宋体" w:cs="Times New Roman"/>
                      <w:color w:val="auto"/>
                      <w:spacing w:val="0"/>
                      <w:position w:val="0"/>
                      <w:sz w:val="21"/>
                      <w:szCs w:val="21"/>
                    </w:rPr>
                    <w:t>2023），企业可根据实际情况选择采用危险废物贮存设施或贮存点两类方式进行贮存，符合相应的污染控制标准；不具备建设贮存设施条件、选用贮存点方式的，除符合国家关于贮存点控制要求外，还要执行《江苏省危险废物集中收集体系建设工作方案（试行）》（苏环办〔2021〕290号）中关于贮存周期和贮存量的要求，I级、</w:t>
                  </w:r>
                  <w:r>
                    <w:rPr>
                      <w:rFonts w:hint="eastAsia" w:ascii="Times New Roman" w:hAnsi="Times New Roman" w:cs="Times New Roman"/>
                      <w:color w:val="auto"/>
                      <w:spacing w:val="0"/>
                      <w:position w:val="0"/>
                      <w:sz w:val="21"/>
                      <w:szCs w:val="21"/>
                      <w:lang w:eastAsia="zh-CN"/>
                    </w:rPr>
                    <w:t>Ⅱ级</w:t>
                  </w:r>
                  <w:r>
                    <w:rPr>
                      <w:rFonts w:hint="default" w:ascii="Times New Roman" w:hAnsi="Times New Roman" w:eastAsia="宋体" w:cs="Times New Roman"/>
                      <w:color w:val="auto"/>
                      <w:spacing w:val="0"/>
                      <w:position w:val="0"/>
                      <w:sz w:val="21"/>
                      <w:szCs w:val="21"/>
                    </w:rPr>
                    <w:t>、</w:t>
                  </w:r>
                  <w:r>
                    <w:rPr>
                      <w:rFonts w:hint="eastAsia" w:ascii="Times New Roman" w:hAnsi="Times New Roman" w:cs="Times New Roman"/>
                      <w:color w:val="auto"/>
                      <w:spacing w:val="0"/>
                      <w:position w:val="0"/>
                      <w:sz w:val="21"/>
                      <w:szCs w:val="21"/>
                      <w:lang w:eastAsia="zh-CN"/>
                    </w:rPr>
                    <w:t>Ⅲ级</w:t>
                  </w:r>
                  <w:r>
                    <w:rPr>
                      <w:rFonts w:hint="default" w:ascii="Times New Roman" w:hAnsi="Times New Roman" w:eastAsia="宋体" w:cs="Times New Roman"/>
                      <w:color w:val="auto"/>
                      <w:spacing w:val="0"/>
                      <w:position w:val="0"/>
                      <w:sz w:val="21"/>
                      <w:szCs w:val="21"/>
                    </w:rPr>
                    <w:t>危险废物贮存时间分别不得超过30天、60天、90天，最大贮存量不得超过1吨</w:t>
                  </w:r>
                </w:p>
              </w:tc>
              <w:tc>
                <w:tcPr>
                  <w:tcW w:w="2304" w:type="dxa"/>
                  <w:tcBorders>
                    <w:tl2br w:val="nil"/>
                    <w:tr2bl w:val="nil"/>
                  </w:tcBorders>
                  <w:vAlign w:val="center"/>
                </w:tcPr>
                <w:p w14:paraId="28733281">
                  <w:pPr>
                    <w:pStyle w:val="1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kern w:val="2"/>
                      <w:position w:val="0"/>
                      <w:sz w:val="21"/>
                      <w:szCs w:val="21"/>
                      <w:lang w:val="en-US" w:eastAsia="zh-CN" w:bidi="ar-SA"/>
                    </w:rPr>
                  </w:pPr>
                  <w:r>
                    <w:rPr>
                      <w:rFonts w:hint="default" w:ascii="Times New Roman" w:hAnsi="Times New Roman" w:eastAsia="宋体" w:cs="Times New Roman"/>
                      <w:color w:val="auto"/>
                      <w:spacing w:val="0"/>
                      <w:position w:val="0"/>
                      <w:sz w:val="21"/>
                      <w:szCs w:val="21"/>
                      <w:lang w:val="en-US" w:eastAsia="zh-CN"/>
                    </w:rPr>
                    <w:t>本项目建设后将根据</w:t>
                  </w:r>
                  <w:r>
                    <w:rPr>
                      <w:rFonts w:hint="default" w:ascii="Times New Roman" w:hAnsi="Times New Roman" w:eastAsia="宋体" w:cs="Times New Roman"/>
                      <w:color w:val="auto"/>
                      <w:spacing w:val="0"/>
                      <w:position w:val="0"/>
                      <w:sz w:val="21"/>
                      <w:szCs w:val="21"/>
                    </w:rPr>
                    <w:t>《危险废物贮存污染控制标准》（GB18597</w:t>
                  </w:r>
                  <w:r>
                    <w:rPr>
                      <w:rFonts w:hint="default" w:ascii="Times New Roman" w:hAnsi="Times New Roman" w:eastAsia="宋体" w:cs="Times New Roman"/>
                      <w:color w:val="auto"/>
                      <w:spacing w:val="0"/>
                      <w:position w:val="0"/>
                      <w:sz w:val="21"/>
                      <w:szCs w:val="21"/>
                      <w:lang w:val="en-US" w:eastAsia="zh-CN"/>
                    </w:rPr>
                    <w:t>-</w:t>
                  </w:r>
                  <w:r>
                    <w:rPr>
                      <w:rFonts w:hint="default" w:ascii="Times New Roman" w:hAnsi="Times New Roman" w:eastAsia="宋体" w:cs="Times New Roman"/>
                      <w:color w:val="auto"/>
                      <w:spacing w:val="0"/>
                      <w:position w:val="0"/>
                      <w:sz w:val="21"/>
                      <w:szCs w:val="21"/>
                    </w:rPr>
                    <w:t>2023）</w:t>
                  </w:r>
                  <w:r>
                    <w:rPr>
                      <w:rFonts w:hint="default" w:ascii="Times New Roman" w:hAnsi="Times New Roman" w:eastAsia="宋体" w:cs="Times New Roman"/>
                      <w:color w:val="auto"/>
                      <w:spacing w:val="0"/>
                      <w:position w:val="0"/>
                      <w:sz w:val="21"/>
                      <w:szCs w:val="21"/>
                      <w:lang w:eastAsia="zh-CN"/>
                    </w:rPr>
                    <w:t>，</w:t>
                  </w:r>
                  <w:r>
                    <w:rPr>
                      <w:rFonts w:hint="default" w:ascii="Times New Roman" w:hAnsi="Times New Roman" w:eastAsia="宋体" w:cs="Times New Roman"/>
                      <w:color w:val="auto"/>
                      <w:spacing w:val="0"/>
                      <w:position w:val="0"/>
                      <w:sz w:val="21"/>
                      <w:szCs w:val="21"/>
                      <w:lang w:val="en-US" w:eastAsia="zh-CN"/>
                    </w:rPr>
                    <w:t>落实危废贮存，过程中配套防扬散、防流失、防渗漏及其他防止污染环境的措施，并且</w:t>
                  </w:r>
                  <w:r>
                    <w:rPr>
                      <w:rFonts w:hint="default" w:ascii="Times New Roman" w:hAnsi="Times New Roman" w:eastAsia="宋体" w:cs="Times New Roman"/>
                      <w:color w:val="auto"/>
                      <w:spacing w:val="0"/>
                      <w:position w:val="0"/>
                      <w:sz w:val="21"/>
                      <w:szCs w:val="21"/>
                    </w:rPr>
                    <w:t>执行《江苏省危险废物集中收集体系建设工作方案（试行）》（苏环办〔2021〕290号）</w:t>
                  </w:r>
                  <w:r>
                    <w:rPr>
                      <w:rFonts w:hint="default" w:ascii="Times New Roman" w:hAnsi="Times New Roman" w:eastAsia="宋体" w:cs="Times New Roman"/>
                      <w:color w:val="auto"/>
                      <w:spacing w:val="0"/>
                      <w:position w:val="0"/>
                      <w:sz w:val="21"/>
                      <w:szCs w:val="21"/>
                      <w:lang w:val="en-US" w:eastAsia="zh-CN"/>
                    </w:rPr>
                    <w:t>要求，提高危废处理次数</w:t>
                  </w:r>
                </w:p>
              </w:tc>
              <w:tc>
                <w:tcPr>
                  <w:tcW w:w="0" w:type="auto"/>
                  <w:tcBorders>
                    <w:tl2br w:val="nil"/>
                    <w:tr2bl w:val="nil"/>
                  </w:tcBorders>
                  <w:vAlign w:val="center"/>
                </w:tcPr>
                <w:p w14:paraId="02466F0A">
                  <w:pPr>
                    <w:keepNext w:val="0"/>
                    <w:keepLines w:val="0"/>
                    <w:pageBreakBefore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相符</w:t>
                  </w:r>
                </w:p>
              </w:tc>
            </w:tr>
            <w:tr w14:paraId="114AFDC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54" w:hRule="atLeast"/>
                <w:jc w:val="center"/>
              </w:trPr>
              <w:tc>
                <w:tcPr>
                  <w:tcW w:w="0" w:type="auto"/>
                  <w:vMerge w:val="continue"/>
                  <w:tcBorders>
                    <w:tl2br w:val="nil"/>
                    <w:tr2bl w:val="nil"/>
                  </w:tcBorders>
                  <w:vAlign w:val="center"/>
                </w:tcPr>
                <w:p w14:paraId="15D4B4DB">
                  <w:pPr>
                    <w:pStyle w:val="1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rPr>
                  </w:pPr>
                </w:p>
              </w:tc>
              <w:tc>
                <w:tcPr>
                  <w:tcW w:w="4400" w:type="dxa"/>
                  <w:tcBorders>
                    <w:tl2br w:val="nil"/>
                    <w:tr2bl w:val="nil"/>
                  </w:tcBorders>
                  <w:vAlign w:val="center"/>
                </w:tcPr>
                <w:p w14:paraId="4D4EF3C7">
                  <w:pPr>
                    <w:pStyle w:val="1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强化转移过程管理。全面落实危险废物转移电子联单制度，实行省内全域扫描“二维码”转移。加强与危险货物道路运输电子运单数据共享，实现运输轨迹可溯可查。产废单位须依法核实经营单位主体资格和技术能力，并直接签订利用处置合同，违法委托的，应当与造成环境污染和生态破坏的受托方承担连带责任；经营单位须按包装物扫码签收，签收人、车辆信息等须拍照上传至系统，严禁“空转”二维码。积极推行一般工业固体废物转移电子联单制度，优先选择环境风险较大的污泥、矿渣等试行</w:t>
                  </w:r>
                </w:p>
              </w:tc>
              <w:tc>
                <w:tcPr>
                  <w:tcW w:w="2304" w:type="dxa"/>
                  <w:tcBorders>
                    <w:tl2br w:val="nil"/>
                    <w:tr2bl w:val="nil"/>
                  </w:tcBorders>
                  <w:vAlign w:val="center"/>
                </w:tcPr>
                <w:p w14:paraId="5E4B9ECA">
                  <w:pPr>
                    <w:pStyle w:val="1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kern w:val="2"/>
                      <w:position w:val="0"/>
                      <w:sz w:val="21"/>
                      <w:szCs w:val="21"/>
                      <w:lang w:val="en-US" w:eastAsia="zh-CN" w:bidi="ar-SA"/>
                    </w:rPr>
                  </w:pPr>
                  <w:r>
                    <w:rPr>
                      <w:rFonts w:hint="default" w:ascii="Times New Roman" w:hAnsi="Times New Roman" w:eastAsia="宋体" w:cs="Times New Roman"/>
                      <w:color w:val="auto"/>
                      <w:spacing w:val="0"/>
                      <w:position w:val="0"/>
                      <w:sz w:val="21"/>
                      <w:szCs w:val="21"/>
                    </w:rPr>
                    <w:t>建设单位危险废物产生、经营企业在省内转移时按要求选择有资质并能利用“江苏省固体废物管理信息系统”进行信息比对的危险货物道路运输企业承运危险废物</w:t>
                  </w:r>
                </w:p>
              </w:tc>
              <w:tc>
                <w:tcPr>
                  <w:tcW w:w="0" w:type="auto"/>
                  <w:tcBorders>
                    <w:tl2br w:val="nil"/>
                    <w:tr2bl w:val="nil"/>
                  </w:tcBorders>
                  <w:vAlign w:val="center"/>
                </w:tcPr>
                <w:p w14:paraId="4589F6E5">
                  <w:pPr>
                    <w:keepNext w:val="0"/>
                    <w:keepLines w:val="0"/>
                    <w:pageBreakBefore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相符</w:t>
                  </w:r>
                </w:p>
              </w:tc>
            </w:tr>
            <w:tr w14:paraId="1E78CC5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54" w:hRule="atLeast"/>
                <w:jc w:val="center"/>
              </w:trPr>
              <w:tc>
                <w:tcPr>
                  <w:tcW w:w="0" w:type="auto"/>
                  <w:vMerge w:val="restart"/>
                  <w:tcBorders>
                    <w:tl2br w:val="nil"/>
                    <w:tr2bl w:val="nil"/>
                  </w:tcBorders>
                  <w:vAlign w:val="center"/>
                </w:tcPr>
                <w:p w14:paraId="44959661">
                  <w:pPr>
                    <w:pStyle w:val="1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lang w:eastAsia="zh-CN"/>
                    </w:rPr>
                    <w:t>《江苏省固体废物全过程环境监管工作意见》的通知(苏环办</w:t>
                  </w:r>
                  <w:r>
                    <w:rPr>
                      <w:rFonts w:hint="eastAsia" w:ascii="Times New Roman" w:hAnsi="Times New Roman" w:cs="Times New Roman"/>
                      <w:color w:val="auto"/>
                      <w:spacing w:val="0"/>
                      <w:position w:val="0"/>
                      <w:sz w:val="21"/>
                      <w:szCs w:val="21"/>
                      <w:lang w:eastAsia="zh-CN"/>
                    </w:rPr>
                    <w:t>〔2024〕16号</w:t>
                  </w:r>
                  <w:r>
                    <w:rPr>
                      <w:rFonts w:hint="default" w:ascii="Times New Roman" w:hAnsi="Times New Roman" w:eastAsia="宋体" w:cs="Times New Roman"/>
                      <w:color w:val="auto"/>
                      <w:spacing w:val="0"/>
                      <w:position w:val="0"/>
                      <w:sz w:val="21"/>
                      <w:szCs w:val="21"/>
                      <w:lang w:eastAsia="zh-CN"/>
                    </w:rPr>
                    <w:t>)</w:t>
                  </w:r>
                </w:p>
              </w:tc>
              <w:tc>
                <w:tcPr>
                  <w:tcW w:w="4400" w:type="dxa"/>
                  <w:tcBorders>
                    <w:tl2br w:val="nil"/>
                    <w:tr2bl w:val="nil"/>
                  </w:tcBorders>
                  <w:vAlign w:val="center"/>
                </w:tcPr>
                <w:p w14:paraId="672E605E">
                  <w:pPr>
                    <w:pStyle w:val="1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lang w:val="en-US" w:eastAsia="zh-CN"/>
                    </w:rPr>
                    <w:t>建立健全管理台账。</w:t>
                  </w:r>
                  <w:r>
                    <w:rPr>
                      <w:rFonts w:hint="default" w:ascii="Times New Roman" w:hAnsi="Times New Roman" w:eastAsia="宋体" w:cs="Times New Roman"/>
                      <w:color w:val="auto"/>
                      <w:spacing w:val="0"/>
                      <w:position w:val="0"/>
                      <w:sz w:val="21"/>
                      <w:szCs w:val="21"/>
                    </w:rPr>
                    <w:t>一般工业固体废物</w:t>
                  </w:r>
                  <w:r>
                    <w:rPr>
                      <w:rFonts w:hint="default" w:ascii="Times New Roman" w:hAnsi="Times New Roman" w:eastAsia="宋体" w:cs="Times New Roman"/>
                      <w:color w:val="auto"/>
                      <w:spacing w:val="0"/>
                      <w:position w:val="0"/>
                      <w:sz w:val="21"/>
                      <w:szCs w:val="21"/>
                      <w:lang w:val="en-US" w:eastAsia="zh-CN"/>
                    </w:rPr>
                    <w:t>产生</w:t>
                  </w:r>
                  <w:r>
                    <w:rPr>
                      <w:rFonts w:hint="default" w:ascii="Times New Roman" w:hAnsi="Times New Roman" w:eastAsia="宋体" w:cs="Times New Roman"/>
                      <w:color w:val="auto"/>
                      <w:spacing w:val="0"/>
                      <w:position w:val="0"/>
                      <w:sz w:val="21"/>
                      <w:szCs w:val="21"/>
                    </w:rPr>
                    <w:t>单位要严格根据环评文件等</w:t>
                  </w:r>
                  <w:r>
                    <w:rPr>
                      <w:rFonts w:hint="default" w:ascii="Times New Roman" w:hAnsi="Times New Roman" w:eastAsia="宋体" w:cs="Times New Roman"/>
                      <w:color w:val="auto"/>
                      <w:spacing w:val="0"/>
                      <w:position w:val="0"/>
                      <w:sz w:val="21"/>
                      <w:szCs w:val="21"/>
                      <w:lang w:val="en-US" w:eastAsia="zh-CN"/>
                    </w:rPr>
                    <w:t>明确固体废物</w:t>
                  </w:r>
                  <w:r>
                    <w:rPr>
                      <w:rFonts w:hint="default" w:ascii="Times New Roman" w:hAnsi="Times New Roman" w:eastAsia="宋体" w:cs="Times New Roman"/>
                      <w:color w:val="auto"/>
                      <w:spacing w:val="0"/>
                      <w:position w:val="0"/>
                      <w:sz w:val="21"/>
                      <w:szCs w:val="21"/>
                    </w:rPr>
                    <w:t>属性，</w:t>
                  </w:r>
                  <w:r>
                    <w:rPr>
                      <w:rFonts w:hint="default" w:ascii="Times New Roman" w:hAnsi="Times New Roman" w:eastAsia="宋体" w:cs="Times New Roman"/>
                      <w:color w:val="auto"/>
                      <w:spacing w:val="0"/>
                      <w:position w:val="0"/>
                      <w:sz w:val="21"/>
                      <w:szCs w:val="21"/>
                      <w:lang w:val="en-US" w:eastAsia="zh-CN"/>
                    </w:rPr>
                    <w:t>做好不同属性固体废物分类管理。按照《</w:t>
                  </w:r>
                  <w:r>
                    <w:rPr>
                      <w:rFonts w:hint="eastAsia" w:ascii="Times New Roman" w:hAnsi="Times New Roman" w:cs="Times New Roman"/>
                      <w:color w:val="auto"/>
                      <w:spacing w:val="0"/>
                      <w:position w:val="0"/>
                      <w:sz w:val="21"/>
                      <w:szCs w:val="21"/>
                      <w:lang w:val="en-US" w:eastAsia="zh-CN"/>
                    </w:rPr>
                    <w:t>中华人民共和国固体废物污染环境防治法</w:t>
                  </w:r>
                  <w:r>
                    <w:rPr>
                      <w:rFonts w:hint="default" w:ascii="Times New Roman" w:hAnsi="Times New Roman" w:eastAsia="宋体" w:cs="Times New Roman"/>
                      <w:color w:val="auto"/>
                      <w:spacing w:val="0"/>
                      <w:position w:val="0"/>
                      <w:sz w:val="21"/>
                      <w:szCs w:val="21"/>
                      <w:lang w:val="en-US" w:eastAsia="zh-CN"/>
                    </w:rPr>
                    <w:t>》《一般工业固体废物管理台账制定指南（试行）》的要求，</w:t>
                  </w:r>
                  <w:r>
                    <w:rPr>
                      <w:rFonts w:hint="default" w:ascii="Times New Roman" w:hAnsi="Times New Roman" w:eastAsia="宋体" w:cs="Times New Roman"/>
                      <w:color w:val="auto"/>
                      <w:spacing w:val="0"/>
                      <w:position w:val="0"/>
                      <w:sz w:val="21"/>
                      <w:szCs w:val="21"/>
                    </w:rPr>
                    <w:t>建立健全</w:t>
                  </w:r>
                  <w:r>
                    <w:rPr>
                      <w:rFonts w:hint="default" w:ascii="Times New Roman" w:hAnsi="Times New Roman" w:eastAsia="宋体" w:cs="Times New Roman"/>
                      <w:color w:val="auto"/>
                      <w:spacing w:val="0"/>
                      <w:position w:val="0"/>
                      <w:sz w:val="21"/>
                      <w:szCs w:val="21"/>
                      <w:lang w:val="en-US" w:eastAsia="zh-CN"/>
                    </w:rPr>
                    <w:t>全过程管理</w:t>
                  </w:r>
                  <w:r>
                    <w:rPr>
                      <w:rFonts w:hint="default" w:ascii="Times New Roman" w:hAnsi="Times New Roman" w:eastAsia="宋体" w:cs="Times New Roman"/>
                      <w:color w:val="auto"/>
                      <w:spacing w:val="0"/>
                      <w:position w:val="0"/>
                      <w:sz w:val="21"/>
                      <w:szCs w:val="21"/>
                    </w:rPr>
                    <w:t>台账，如实记录一般工业固体废物</w:t>
                  </w:r>
                  <w:r>
                    <w:rPr>
                      <w:rFonts w:hint="default" w:ascii="Times New Roman" w:hAnsi="Times New Roman" w:eastAsia="宋体" w:cs="Times New Roman"/>
                      <w:color w:val="auto"/>
                      <w:spacing w:val="0"/>
                      <w:position w:val="0"/>
                      <w:sz w:val="21"/>
                      <w:szCs w:val="21"/>
                      <w:lang w:val="en-US" w:eastAsia="zh-CN"/>
                    </w:rPr>
                    <w:t>种类、数量、流向、贮存、利用、处置等信息。推动产生单位简历电子台账，并直接与江苏省固体废物管理信息系统（以下简称固废系统）数据对接。</w:t>
                  </w:r>
                </w:p>
              </w:tc>
              <w:tc>
                <w:tcPr>
                  <w:tcW w:w="2304" w:type="dxa"/>
                  <w:tcBorders>
                    <w:tl2br w:val="nil"/>
                    <w:tr2bl w:val="nil"/>
                  </w:tcBorders>
                  <w:shd w:val="clear" w:color="auto" w:fill="auto"/>
                  <w:vAlign w:val="center"/>
                </w:tcPr>
                <w:p w14:paraId="7D8DCD36">
                  <w:pPr>
                    <w:keepNext w:val="0"/>
                    <w:keepLines w:val="0"/>
                    <w:pageBreakBefore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2"/>
                      <w:position w:val="0"/>
                      <w:sz w:val="21"/>
                      <w:szCs w:val="21"/>
                      <w:lang w:val="en-US" w:eastAsia="zh-CN" w:bidi="ar-SA"/>
                    </w:rPr>
                  </w:pPr>
                  <w:r>
                    <w:rPr>
                      <w:rFonts w:hint="eastAsia" w:cs="Times New Roman"/>
                      <w:color w:val="auto"/>
                      <w:sz w:val="21"/>
                      <w:szCs w:val="21"/>
                      <w:lang w:eastAsia="zh-CN"/>
                    </w:rPr>
                    <w:t>扩建</w:t>
                  </w:r>
                  <w:r>
                    <w:rPr>
                      <w:rFonts w:hint="default" w:ascii="Times New Roman" w:hAnsi="Times New Roman" w:eastAsia="宋体" w:cs="Times New Roman"/>
                      <w:color w:val="auto"/>
                      <w:sz w:val="21"/>
                      <w:szCs w:val="21"/>
                    </w:rPr>
                    <w:t>项目</w:t>
                  </w:r>
                  <w:r>
                    <w:rPr>
                      <w:rFonts w:hint="default" w:ascii="Times New Roman" w:hAnsi="Times New Roman" w:eastAsia="宋体" w:cs="Times New Roman"/>
                      <w:color w:val="auto"/>
                      <w:spacing w:val="0"/>
                      <w:kern w:val="2"/>
                      <w:position w:val="0"/>
                      <w:sz w:val="21"/>
                      <w:szCs w:val="21"/>
                      <w:lang w:val="en-US" w:eastAsia="zh-CN" w:bidi="ar-SA"/>
                    </w:rPr>
                    <w:t>建成后将</w:t>
                  </w:r>
                  <w:r>
                    <w:rPr>
                      <w:rFonts w:hint="default" w:ascii="Times New Roman" w:hAnsi="Times New Roman" w:eastAsia="宋体" w:cs="Times New Roman"/>
                      <w:color w:val="auto"/>
                      <w:spacing w:val="0"/>
                      <w:kern w:val="2"/>
                      <w:position w:val="0"/>
                      <w:sz w:val="21"/>
                      <w:szCs w:val="21"/>
                      <w:lang w:val="en-US" w:eastAsia="en-US" w:bidi="ar-SA"/>
                    </w:rPr>
                    <w:t>建立</w:t>
                  </w:r>
                  <w:r>
                    <w:rPr>
                      <w:rFonts w:hint="default" w:ascii="Times New Roman" w:hAnsi="Times New Roman" w:eastAsia="宋体" w:cs="Times New Roman"/>
                      <w:color w:val="auto"/>
                      <w:spacing w:val="0"/>
                      <w:kern w:val="2"/>
                      <w:position w:val="0"/>
                      <w:sz w:val="21"/>
                      <w:szCs w:val="21"/>
                      <w:lang w:val="en-US" w:eastAsia="zh-CN" w:bidi="ar-SA"/>
                    </w:rPr>
                    <w:t>健全</w:t>
                  </w:r>
                  <w:r>
                    <w:rPr>
                      <w:rFonts w:hint="default" w:ascii="Times New Roman" w:hAnsi="Times New Roman" w:eastAsia="宋体" w:cs="Times New Roman"/>
                      <w:color w:val="auto"/>
                      <w:spacing w:val="0"/>
                      <w:kern w:val="2"/>
                      <w:position w:val="0"/>
                      <w:sz w:val="21"/>
                      <w:szCs w:val="21"/>
                      <w:lang w:val="en-US" w:eastAsia="en-US" w:bidi="ar-SA"/>
                    </w:rPr>
                    <w:t>一般工业固体废物</w:t>
                  </w:r>
                  <w:r>
                    <w:rPr>
                      <w:rFonts w:hint="default" w:ascii="Times New Roman" w:hAnsi="Times New Roman" w:eastAsia="宋体" w:cs="Times New Roman"/>
                      <w:color w:val="auto"/>
                      <w:spacing w:val="0"/>
                      <w:kern w:val="2"/>
                      <w:position w:val="0"/>
                      <w:sz w:val="21"/>
                      <w:szCs w:val="21"/>
                      <w:lang w:val="en-US" w:eastAsia="zh-CN" w:bidi="ar-SA"/>
                    </w:rPr>
                    <w:t>管理台账</w:t>
                  </w:r>
                  <w:r>
                    <w:rPr>
                      <w:rFonts w:hint="default" w:ascii="Times New Roman" w:hAnsi="Times New Roman" w:eastAsia="宋体" w:cs="Times New Roman"/>
                      <w:color w:val="auto"/>
                      <w:spacing w:val="0"/>
                      <w:kern w:val="2"/>
                      <w:position w:val="0"/>
                      <w:sz w:val="21"/>
                      <w:szCs w:val="21"/>
                      <w:lang w:val="en-US" w:eastAsia="en-US" w:bidi="ar-SA"/>
                    </w:rPr>
                    <w:t>，</w:t>
                  </w:r>
                  <w:r>
                    <w:rPr>
                      <w:rFonts w:hint="default" w:ascii="Times New Roman" w:hAnsi="Times New Roman" w:eastAsia="宋体" w:cs="Times New Roman"/>
                      <w:color w:val="auto"/>
                      <w:spacing w:val="0"/>
                      <w:kern w:val="2"/>
                      <w:position w:val="0"/>
                      <w:sz w:val="21"/>
                      <w:szCs w:val="21"/>
                      <w:lang w:val="en-US" w:eastAsia="zh-CN" w:bidi="ar-SA"/>
                    </w:rPr>
                    <w:t>按要求</w:t>
                  </w:r>
                  <w:r>
                    <w:rPr>
                      <w:rFonts w:hint="default" w:ascii="Times New Roman" w:hAnsi="Times New Roman" w:eastAsia="宋体" w:cs="Times New Roman"/>
                      <w:color w:val="auto"/>
                      <w:spacing w:val="0"/>
                      <w:kern w:val="2"/>
                      <w:position w:val="0"/>
                      <w:sz w:val="21"/>
                      <w:szCs w:val="21"/>
                      <w:lang w:val="en-US" w:eastAsia="en-US" w:bidi="ar-SA"/>
                    </w:rPr>
                    <w:t>明确</w:t>
                  </w:r>
                  <w:r>
                    <w:rPr>
                      <w:rFonts w:hint="default" w:ascii="Times New Roman" w:hAnsi="Times New Roman" w:eastAsia="宋体" w:cs="Times New Roman"/>
                      <w:color w:val="auto"/>
                      <w:spacing w:val="0"/>
                      <w:kern w:val="2"/>
                      <w:position w:val="0"/>
                      <w:sz w:val="21"/>
                      <w:szCs w:val="21"/>
                      <w:lang w:val="en-US" w:eastAsia="zh-CN" w:bidi="ar-SA"/>
                    </w:rPr>
                    <w:t>固体废物属性，</w:t>
                  </w:r>
                  <w:r>
                    <w:rPr>
                      <w:rFonts w:hint="default" w:ascii="Times New Roman" w:hAnsi="Times New Roman" w:eastAsia="宋体" w:cs="Times New Roman"/>
                      <w:color w:val="auto"/>
                      <w:spacing w:val="0"/>
                      <w:kern w:val="2"/>
                      <w:position w:val="0"/>
                      <w:sz w:val="21"/>
                      <w:szCs w:val="21"/>
                      <w:lang w:val="en-US" w:eastAsia="en-US" w:bidi="ar-SA"/>
                    </w:rPr>
                    <w:t>如实记录一般工业固体废物</w:t>
                  </w:r>
                  <w:r>
                    <w:rPr>
                      <w:rFonts w:hint="default" w:ascii="Times New Roman" w:hAnsi="Times New Roman" w:eastAsia="宋体" w:cs="Times New Roman"/>
                      <w:color w:val="auto"/>
                      <w:spacing w:val="0"/>
                      <w:kern w:val="2"/>
                      <w:position w:val="0"/>
                      <w:sz w:val="21"/>
                      <w:szCs w:val="21"/>
                      <w:lang w:val="en-US" w:eastAsia="zh-CN" w:bidi="ar-SA"/>
                    </w:rPr>
                    <w:t>种类、数量、流向、贮存、利用、处置等信息。</w:t>
                  </w:r>
                </w:p>
              </w:tc>
              <w:tc>
                <w:tcPr>
                  <w:tcW w:w="0" w:type="auto"/>
                  <w:tcBorders>
                    <w:tl2br w:val="nil"/>
                    <w:tr2bl w:val="nil"/>
                  </w:tcBorders>
                  <w:vAlign w:val="center"/>
                </w:tcPr>
                <w:p w14:paraId="74C3AFD3">
                  <w:pPr>
                    <w:keepNext w:val="0"/>
                    <w:keepLines w:val="0"/>
                    <w:pageBreakBefore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相符</w:t>
                  </w:r>
                </w:p>
              </w:tc>
            </w:tr>
            <w:tr w14:paraId="07B76C4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54" w:hRule="atLeast"/>
                <w:jc w:val="center"/>
              </w:trPr>
              <w:tc>
                <w:tcPr>
                  <w:tcW w:w="0" w:type="auto"/>
                  <w:vMerge w:val="continue"/>
                  <w:tcBorders>
                    <w:tl2br w:val="nil"/>
                    <w:tr2bl w:val="nil"/>
                  </w:tcBorders>
                  <w:vAlign w:val="center"/>
                </w:tcPr>
                <w:p w14:paraId="2828C904">
                  <w:pPr>
                    <w:pStyle w:val="1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lang w:eastAsia="zh-CN"/>
                    </w:rPr>
                  </w:pPr>
                </w:p>
              </w:tc>
              <w:tc>
                <w:tcPr>
                  <w:tcW w:w="4400" w:type="dxa"/>
                  <w:tcBorders>
                    <w:tl2br w:val="nil"/>
                    <w:tr2bl w:val="nil"/>
                  </w:tcBorders>
                  <w:vAlign w:val="center"/>
                </w:tcPr>
                <w:p w14:paraId="6D4ADD5D">
                  <w:pPr>
                    <w:pStyle w:val="1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lang w:val="en-US" w:eastAsia="zh-CN"/>
                    </w:rPr>
                  </w:pPr>
                  <w:r>
                    <w:rPr>
                      <w:rFonts w:hint="default" w:ascii="Times New Roman" w:hAnsi="Times New Roman" w:eastAsia="宋体" w:cs="Times New Roman"/>
                      <w:color w:val="auto"/>
                      <w:spacing w:val="0"/>
                      <w:position w:val="0"/>
                      <w:sz w:val="21"/>
                      <w:szCs w:val="21"/>
                      <w:lang w:val="en-US" w:eastAsia="zh-CN"/>
                    </w:rPr>
                    <w:t>完善贮存设施建设</w:t>
                  </w:r>
                  <w:r>
                    <w:rPr>
                      <w:rFonts w:hint="default" w:ascii="Times New Roman" w:hAnsi="Times New Roman" w:eastAsia="宋体" w:cs="Times New Roman"/>
                      <w:color w:val="auto"/>
                      <w:spacing w:val="0"/>
                      <w:position w:val="0"/>
                      <w:sz w:val="21"/>
                      <w:szCs w:val="21"/>
                    </w:rPr>
                    <w:t>。一般工业固体废物产生、收集贮存、利用处置单位应建设满足防扬散、防流失、防渗漏或者其他防止污染环境措施要求的贮存设施，在显著位置设立符合《环境保护图形标志固体废物贮存(处置)场》(GB15562.2)要求的环境保护图形标志</w:t>
                  </w:r>
                  <w:r>
                    <w:rPr>
                      <w:rFonts w:hint="default" w:ascii="Times New Roman" w:hAnsi="Times New Roman" w:eastAsia="宋体" w:cs="Times New Roman"/>
                      <w:color w:val="auto"/>
                      <w:spacing w:val="0"/>
                      <w:position w:val="0"/>
                      <w:sz w:val="21"/>
                      <w:szCs w:val="21"/>
                      <w:lang w:eastAsia="zh-CN"/>
                    </w:rPr>
                    <w:t>。</w:t>
                  </w:r>
                </w:p>
              </w:tc>
              <w:tc>
                <w:tcPr>
                  <w:tcW w:w="2304" w:type="dxa"/>
                  <w:tcBorders>
                    <w:tl2br w:val="nil"/>
                    <w:tr2bl w:val="nil"/>
                  </w:tcBorders>
                  <w:shd w:val="clear" w:color="auto" w:fill="auto"/>
                  <w:vAlign w:val="center"/>
                </w:tcPr>
                <w:p w14:paraId="2F3A0CF3">
                  <w:pPr>
                    <w:keepNext w:val="0"/>
                    <w:keepLines w:val="0"/>
                    <w:pageBreakBefore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2"/>
                      <w:position w:val="0"/>
                      <w:sz w:val="21"/>
                      <w:szCs w:val="21"/>
                      <w:lang w:val="en-US" w:eastAsia="zh-CN" w:bidi="ar-SA"/>
                    </w:rPr>
                  </w:pPr>
                  <w:r>
                    <w:rPr>
                      <w:rFonts w:hint="eastAsia" w:cs="Times New Roman"/>
                      <w:color w:val="auto"/>
                      <w:sz w:val="21"/>
                      <w:szCs w:val="21"/>
                      <w:lang w:eastAsia="zh-CN"/>
                    </w:rPr>
                    <w:t>扩建</w:t>
                  </w:r>
                  <w:r>
                    <w:rPr>
                      <w:rFonts w:hint="default" w:ascii="Times New Roman" w:hAnsi="Times New Roman" w:eastAsia="宋体" w:cs="Times New Roman"/>
                      <w:color w:val="auto"/>
                      <w:sz w:val="21"/>
                      <w:szCs w:val="21"/>
                    </w:rPr>
                    <w:t>项目</w:t>
                  </w:r>
                  <w:r>
                    <w:rPr>
                      <w:rFonts w:hint="default" w:ascii="Times New Roman" w:hAnsi="Times New Roman" w:eastAsia="宋体" w:cs="Times New Roman"/>
                      <w:color w:val="auto"/>
                      <w:spacing w:val="0"/>
                      <w:kern w:val="2"/>
                      <w:position w:val="0"/>
                      <w:sz w:val="21"/>
                      <w:szCs w:val="21"/>
                      <w:lang w:val="en-US" w:eastAsia="zh-CN" w:bidi="ar-SA"/>
                    </w:rPr>
                    <w:t>的</w:t>
                  </w:r>
                  <w:r>
                    <w:rPr>
                      <w:rFonts w:hint="default" w:ascii="Times New Roman" w:hAnsi="Times New Roman" w:eastAsia="宋体" w:cs="Times New Roman"/>
                      <w:color w:val="auto"/>
                      <w:spacing w:val="0"/>
                      <w:kern w:val="2"/>
                      <w:position w:val="0"/>
                      <w:sz w:val="21"/>
                      <w:szCs w:val="21"/>
                      <w:lang w:val="en-US" w:eastAsia="en-US" w:bidi="ar-SA"/>
                    </w:rPr>
                    <w:t>一般工业固废</w:t>
                  </w:r>
                  <w:r>
                    <w:rPr>
                      <w:rFonts w:hint="default" w:ascii="Times New Roman" w:hAnsi="Times New Roman" w:eastAsia="宋体" w:cs="Times New Roman"/>
                      <w:color w:val="auto"/>
                      <w:spacing w:val="0"/>
                      <w:kern w:val="2"/>
                      <w:position w:val="0"/>
                      <w:sz w:val="21"/>
                      <w:szCs w:val="21"/>
                      <w:lang w:val="en-US" w:eastAsia="zh-CN" w:bidi="ar-SA"/>
                    </w:rPr>
                    <w:t>暂存场所及生产车间拟按要求做好</w:t>
                  </w:r>
                  <w:r>
                    <w:rPr>
                      <w:rFonts w:hint="default" w:ascii="Times New Roman" w:hAnsi="Times New Roman" w:eastAsia="宋体" w:cs="Times New Roman"/>
                      <w:color w:val="auto"/>
                      <w:spacing w:val="0"/>
                      <w:kern w:val="2"/>
                      <w:position w:val="0"/>
                      <w:sz w:val="21"/>
                      <w:szCs w:val="21"/>
                      <w:lang w:val="en-US" w:eastAsia="en-US" w:bidi="ar-SA"/>
                    </w:rPr>
                    <w:t>相应防渗漏、防雨淋、防扬尘等</w:t>
                  </w:r>
                  <w:r>
                    <w:rPr>
                      <w:rFonts w:hint="default" w:ascii="Times New Roman" w:hAnsi="Times New Roman" w:eastAsia="宋体" w:cs="Times New Roman"/>
                      <w:color w:val="auto"/>
                      <w:spacing w:val="0"/>
                      <w:kern w:val="2"/>
                      <w:position w:val="0"/>
                      <w:sz w:val="21"/>
                      <w:szCs w:val="21"/>
                      <w:lang w:val="en-US" w:eastAsia="zh-CN" w:bidi="ar-SA"/>
                    </w:rPr>
                    <w:t>措施，严格按照</w:t>
                  </w:r>
                  <w:r>
                    <w:rPr>
                      <w:rFonts w:hint="default" w:ascii="Times New Roman" w:hAnsi="Times New Roman" w:eastAsia="宋体" w:cs="Times New Roman"/>
                      <w:color w:val="auto"/>
                      <w:spacing w:val="0"/>
                      <w:kern w:val="2"/>
                      <w:position w:val="0"/>
                      <w:sz w:val="21"/>
                      <w:szCs w:val="21"/>
                      <w:lang w:val="en-US" w:eastAsia="en-US" w:bidi="ar-SA"/>
                    </w:rPr>
                    <w:t>《环境保护图形标志固体废物贮存(处置)场》(GB15562.2)要求</w:t>
                  </w:r>
                  <w:r>
                    <w:rPr>
                      <w:rFonts w:hint="default" w:ascii="Times New Roman" w:hAnsi="Times New Roman" w:eastAsia="宋体" w:cs="Times New Roman"/>
                      <w:color w:val="auto"/>
                      <w:spacing w:val="0"/>
                      <w:kern w:val="2"/>
                      <w:position w:val="0"/>
                      <w:sz w:val="21"/>
                      <w:szCs w:val="21"/>
                      <w:lang w:val="en-US" w:eastAsia="zh-CN" w:bidi="ar-SA"/>
                    </w:rPr>
                    <w:t>，树立</w:t>
                  </w:r>
                  <w:r>
                    <w:rPr>
                      <w:rFonts w:hint="default" w:ascii="Times New Roman" w:hAnsi="Times New Roman" w:eastAsia="宋体" w:cs="Times New Roman"/>
                      <w:color w:val="auto"/>
                      <w:spacing w:val="0"/>
                      <w:kern w:val="2"/>
                      <w:position w:val="0"/>
                      <w:sz w:val="21"/>
                      <w:szCs w:val="21"/>
                      <w:lang w:val="en-US" w:eastAsia="en-US" w:bidi="ar-SA"/>
                    </w:rPr>
                    <w:t>环境保护图形标志。</w:t>
                  </w:r>
                </w:p>
              </w:tc>
              <w:tc>
                <w:tcPr>
                  <w:tcW w:w="0" w:type="auto"/>
                  <w:tcBorders>
                    <w:tl2br w:val="nil"/>
                    <w:tr2bl w:val="nil"/>
                  </w:tcBorders>
                  <w:vAlign w:val="center"/>
                </w:tcPr>
                <w:p w14:paraId="50E14185">
                  <w:pPr>
                    <w:keepNext w:val="0"/>
                    <w:keepLines w:val="0"/>
                    <w:pageBreakBefore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相符</w:t>
                  </w:r>
                </w:p>
              </w:tc>
            </w:tr>
            <w:tr w14:paraId="64ACC09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54" w:hRule="atLeast"/>
                <w:jc w:val="center"/>
              </w:trPr>
              <w:tc>
                <w:tcPr>
                  <w:tcW w:w="0" w:type="auto"/>
                  <w:vMerge w:val="continue"/>
                  <w:tcBorders>
                    <w:tl2br w:val="nil"/>
                    <w:tr2bl w:val="nil"/>
                  </w:tcBorders>
                  <w:vAlign w:val="center"/>
                </w:tcPr>
                <w:p w14:paraId="0084CEF6">
                  <w:pPr>
                    <w:pStyle w:val="1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lang w:eastAsia="zh-CN"/>
                    </w:rPr>
                  </w:pPr>
                </w:p>
              </w:tc>
              <w:tc>
                <w:tcPr>
                  <w:tcW w:w="4400" w:type="dxa"/>
                  <w:tcBorders>
                    <w:tl2br w:val="nil"/>
                    <w:tr2bl w:val="nil"/>
                  </w:tcBorders>
                  <w:shd w:val="clear" w:color="auto" w:fill="auto"/>
                  <w:vAlign w:val="center"/>
                </w:tcPr>
                <w:p w14:paraId="08B89728">
                  <w:pPr>
                    <w:pStyle w:val="1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lang w:val="en-US" w:eastAsia="zh-CN"/>
                    </w:rPr>
                  </w:pPr>
                  <w:r>
                    <w:rPr>
                      <w:rFonts w:hint="default" w:ascii="Times New Roman" w:hAnsi="Times New Roman" w:eastAsia="宋体" w:cs="Times New Roman"/>
                      <w:color w:val="auto"/>
                      <w:spacing w:val="0"/>
                      <w:position w:val="0"/>
                      <w:sz w:val="21"/>
                      <w:szCs w:val="21"/>
                      <w:lang w:val="en-US" w:eastAsia="zh-CN"/>
                    </w:rPr>
                    <w:t>落实转运转移制度。产生单位委托运输、利用、处置一般工业固体废物的，要对受托方的主体资格和技术能力进行核实，依法签订书面合同，在合同中约定污染防治要求，并跟踪最终利用处置去向，严禁委托给无利用处置能力的单位和个人，收集单位应落实并跟踪最终利用处置去向。省内转移污泥要严格执行电子转运联单制度，转移其他一般工业固体废物的逐步执行。原则上污泥以设区市为范围就近利用处置。跨省转移贮存、处置一般工业固体废物的，严格执行审批程序。跨省转出利用一般工业固体废物的，执行备案流程，严禁未备先转。接受跨省移入利用一般工业固体废物的单位，应在接受前向属地生态环境部门提供种类、数量、贮存、利用处置等有关资料，防范污染二次转移。对</w:t>
                  </w:r>
                  <w:r>
                    <w:rPr>
                      <w:rFonts w:hint="eastAsia" w:ascii="Times New Roman" w:hAnsi="Times New Roman" w:cs="Times New Roman"/>
                      <w:color w:val="auto"/>
                      <w:spacing w:val="0"/>
                      <w:position w:val="0"/>
                      <w:sz w:val="21"/>
                      <w:szCs w:val="21"/>
                      <w:lang w:val="en-US" w:eastAsia="zh-CN"/>
                    </w:rPr>
                    <w:t>接收</w:t>
                  </w:r>
                  <w:r>
                    <w:rPr>
                      <w:rFonts w:hint="default" w:ascii="Times New Roman" w:hAnsi="Times New Roman" w:eastAsia="宋体" w:cs="Times New Roman"/>
                      <w:color w:val="auto"/>
                      <w:spacing w:val="0"/>
                      <w:position w:val="0"/>
                      <w:sz w:val="21"/>
                      <w:szCs w:val="21"/>
                      <w:lang w:val="en-US" w:eastAsia="zh-CN"/>
                    </w:rPr>
                    <w:t>的一般工业固体废物与合同约定内容不相符的，应予退回，同时向属地生态环境部门报告。</w:t>
                  </w:r>
                </w:p>
              </w:tc>
              <w:tc>
                <w:tcPr>
                  <w:tcW w:w="2304" w:type="dxa"/>
                  <w:tcBorders>
                    <w:tl2br w:val="nil"/>
                    <w:tr2bl w:val="nil"/>
                  </w:tcBorders>
                  <w:shd w:val="clear" w:color="auto" w:fill="auto"/>
                  <w:vAlign w:val="center"/>
                </w:tcPr>
                <w:p w14:paraId="7602A3E1">
                  <w:pPr>
                    <w:keepNext w:val="0"/>
                    <w:keepLines w:val="0"/>
                    <w:pageBreakBefore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2"/>
                      <w:position w:val="0"/>
                      <w:sz w:val="21"/>
                      <w:szCs w:val="21"/>
                      <w:lang w:val="en-US" w:eastAsia="zh-CN" w:bidi="ar-SA"/>
                    </w:rPr>
                  </w:pPr>
                  <w:r>
                    <w:rPr>
                      <w:rFonts w:hint="eastAsia" w:cs="Times New Roman"/>
                      <w:color w:val="auto"/>
                      <w:sz w:val="21"/>
                      <w:szCs w:val="21"/>
                      <w:lang w:eastAsia="zh-CN"/>
                    </w:rPr>
                    <w:t>扩建</w:t>
                  </w:r>
                  <w:r>
                    <w:rPr>
                      <w:rFonts w:hint="default" w:ascii="Times New Roman" w:hAnsi="Times New Roman" w:eastAsia="宋体" w:cs="Times New Roman"/>
                      <w:color w:val="auto"/>
                      <w:sz w:val="21"/>
                      <w:szCs w:val="21"/>
                    </w:rPr>
                    <w:t>项目</w:t>
                  </w:r>
                  <w:r>
                    <w:rPr>
                      <w:rFonts w:hint="default" w:ascii="Times New Roman" w:hAnsi="Times New Roman" w:eastAsia="宋体" w:cs="Times New Roman"/>
                      <w:color w:val="auto"/>
                      <w:spacing w:val="0"/>
                      <w:kern w:val="2"/>
                      <w:position w:val="0"/>
                      <w:sz w:val="21"/>
                      <w:szCs w:val="21"/>
                      <w:lang w:val="en-US" w:eastAsia="zh-CN" w:bidi="ar-SA"/>
                    </w:rPr>
                    <w:t>与处置单位签订书面合同，对于与合同约定内容不相符的，将予退回，同时向属地生态环境部门报告。</w:t>
                  </w:r>
                </w:p>
              </w:tc>
              <w:tc>
                <w:tcPr>
                  <w:tcW w:w="0" w:type="auto"/>
                  <w:tcBorders>
                    <w:tl2br w:val="nil"/>
                    <w:tr2bl w:val="nil"/>
                  </w:tcBorders>
                  <w:vAlign w:val="center"/>
                </w:tcPr>
                <w:p w14:paraId="614BE15F">
                  <w:pPr>
                    <w:keepNext w:val="0"/>
                    <w:keepLines w:val="0"/>
                    <w:pageBreakBefore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相符</w:t>
                  </w:r>
                </w:p>
              </w:tc>
            </w:tr>
            <w:tr w14:paraId="620419D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54" w:hRule="atLeast"/>
                <w:jc w:val="center"/>
              </w:trPr>
              <w:tc>
                <w:tcPr>
                  <w:tcW w:w="0" w:type="auto"/>
                  <w:vMerge w:val="continue"/>
                  <w:tcBorders>
                    <w:tl2br w:val="nil"/>
                    <w:tr2bl w:val="nil"/>
                  </w:tcBorders>
                  <w:vAlign w:val="center"/>
                </w:tcPr>
                <w:p w14:paraId="127FA0C7">
                  <w:pPr>
                    <w:pStyle w:val="1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lang w:eastAsia="zh-CN"/>
                    </w:rPr>
                  </w:pPr>
                </w:p>
              </w:tc>
              <w:tc>
                <w:tcPr>
                  <w:tcW w:w="4400" w:type="dxa"/>
                  <w:tcBorders>
                    <w:tl2br w:val="nil"/>
                    <w:tr2bl w:val="nil"/>
                  </w:tcBorders>
                  <w:shd w:val="clear" w:color="auto" w:fill="auto"/>
                  <w:vAlign w:val="center"/>
                </w:tcPr>
                <w:p w14:paraId="12EC0B34">
                  <w:pPr>
                    <w:pStyle w:val="13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lang w:val="en-US" w:eastAsia="zh-CN"/>
                    </w:rPr>
                  </w:pPr>
                  <w:r>
                    <w:rPr>
                      <w:rFonts w:hint="default" w:ascii="Times New Roman" w:hAnsi="Times New Roman" w:eastAsia="宋体" w:cs="Times New Roman"/>
                      <w:color w:val="auto"/>
                      <w:spacing w:val="0"/>
                      <w:position w:val="0"/>
                      <w:sz w:val="21"/>
                      <w:szCs w:val="21"/>
                    </w:rPr>
                    <w:t>全面开展信息申报。排污许可中涉及一般工业固体废物的单位均应进入固废系统申报，污染源“一企一档”管理系统(企业“环保脸谱”)自动向相关单位及其属地生态环境部门推送提醒申报信息。无排污许可证或排污许可证未涉及固体废物，但实际涉及一般工业固体废物的，也可通过固废系统进行申报(一般工业固体废物产生单位操作说明详见附件1)。固废系统内单位分为产生单位和收集贮存利用处置单位。产生固体废物(次生固体废物除外)的单位属于产生单位，如还涉及收集、贮存、利用、处置活动的，可在业务下同时选择产生固体废物和收集、贮存、利用、处置固体废物。收集贮存利用处置单位不涉及固体废物产生(次生固体废物除外)。一般工业固体废物产生单位根据年产废量大于100吨(含100吨)、小于100吨且大于10吨(含10吨)、小于10吨分别按月度、季度和年度申报，涉及一般工业污泥产生的单位按月度申报。一般工业固体废物收集贮存利用处置单位按</w:t>
                  </w:r>
                  <w:r>
                    <w:rPr>
                      <w:rFonts w:hint="eastAsia" w:ascii="Times New Roman" w:hAnsi="Times New Roman" w:cs="Times New Roman"/>
                      <w:color w:val="auto"/>
                      <w:spacing w:val="0"/>
                      <w:position w:val="0"/>
                      <w:sz w:val="21"/>
                      <w:szCs w:val="21"/>
                      <w:lang w:eastAsia="zh-CN"/>
                    </w:rPr>
                    <w:t>月</w:t>
                  </w:r>
                  <w:r>
                    <w:rPr>
                      <w:rFonts w:hint="default" w:ascii="Times New Roman" w:hAnsi="Times New Roman" w:eastAsia="宋体" w:cs="Times New Roman"/>
                      <w:color w:val="auto"/>
                      <w:spacing w:val="0"/>
                      <w:position w:val="0"/>
                      <w:sz w:val="21"/>
                      <w:szCs w:val="21"/>
                    </w:rPr>
                    <w:t>申报</w:t>
                  </w:r>
                  <w:r>
                    <w:rPr>
                      <w:rFonts w:hint="default" w:ascii="Times New Roman" w:hAnsi="Times New Roman" w:eastAsia="宋体" w:cs="Times New Roman"/>
                      <w:color w:val="auto"/>
                      <w:spacing w:val="0"/>
                      <w:position w:val="0"/>
                      <w:sz w:val="21"/>
                      <w:szCs w:val="21"/>
                      <w:lang w:eastAsia="zh-CN"/>
                    </w:rPr>
                    <w:t>，</w:t>
                  </w:r>
                  <w:r>
                    <w:rPr>
                      <w:rFonts w:hint="default" w:ascii="Times New Roman" w:hAnsi="Times New Roman" w:eastAsia="宋体" w:cs="Times New Roman"/>
                      <w:color w:val="auto"/>
                      <w:spacing w:val="0"/>
                      <w:position w:val="0"/>
                      <w:sz w:val="21"/>
                      <w:szCs w:val="21"/>
                    </w:rPr>
                    <w:t>涉及一般污泥收集贮存利用处置的单位按日申报。原通过江苏省危险废物动态管理系统申报的一般污泥产生和利用处置单位，要按固废系统要求继续申报，补充完善基本信息和一般污泥代码(详见附件2)。对未按要求申报的，固废系统自动限制电子转运联单功能。</w:t>
                  </w:r>
                </w:p>
              </w:tc>
              <w:tc>
                <w:tcPr>
                  <w:tcW w:w="2304" w:type="dxa"/>
                  <w:tcBorders>
                    <w:tl2br w:val="nil"/>
                    <w:tr2bl w:val="nil"/>
                  </w:tcBorders>
                  <w:shd w:val="clear" w:color="auto" w:fill="auto"/>
                  <w:vAlign w:val="center"/>
                </w:tcPr>
                <w:p w14:paraId="09BA99B1">
                  <w:pPr>
                    <w:keepNext w:val="0"/>
                    <w:keepLines w:val="0"/>
                    <w:pageBreakBefore w:val="0"/>
                    <w:suppressLineNumbers w:val="0"/>
                    <w:kinsoku/>
                    <w:wordWrap/>
                    <w:overflowPunct/>
                    <w:topLinePunct w:val="0"/>
                    <w:autoSpaceDE/>
                    <w:autoSpaceDN/>
                    <w:bidi w:val="0"/>
                    <w:adjustRightInd w:val="0"/>
                    <w:snapToGrid w:val="0"/>
                    <w:spacing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2"/>
                      <w:position w:val="0"/>
                      <w:sz w:val="21"/>
                      <w:szCs w:val="21"/>
                      <w:lang w:val="en-US" w:eastAsia="zh-CN" w:bidi="ar-SA"/>
                    </w:rPr>
                  </w:pPr>
                  <w:r>
                    <w:rPr>
                      <w:rFonts w:hint="default" w:ascii="Times New Roman" w:hAnsi="Times New Roman" w:eastAsia="宋体" w:cs="Times New Roman"/>
                      <w:color w:val="auto"/>
                      <w:spacing w:val="0"/>
                      <w:position w:val="0"/>
                      <w:sz w:val="21"/>
                      <w:szCs w:val="21"/>
                      <w:lang w:val="en-US" w:eastAsia="zh-CN"/>
                    </w:rPr>
                    <w:t>建设项目将严格按照要求如实申报</w:t>
                  </w:r>
                  <w:r>
                    <w:rPr>
                      <w:rFonts w:hint="default" w:ascii="Times New Roman" w:hAnsi="Times New Roman" w:eastAsia="宋体" w:cs="Times New Roman"/>
                      <w:color w:val="auto"/>
                      <w:spacing w:val="0"/>
                      <w:position w:val="0"/>
                      <w:sz w:val="21"/>
                      <w:szCs w:val="21"/>
                    </w:rPr>
                    <w:t>“一企一档”管理系统(企业“环保脸谱”)</w:t>
                  </w:r>
                  <w:r>
                    <w:rPr>
                      <w:rFonts w:hint="default" w:ascii="Times New Roman" w:hAnsi="Times New Roman" w:eastAsia="宋体" w:cs="Times New Roman"/>
                      <w:color w:val="auto"/>
                      <w:spacing w:val="0"/>
                      <w:position w:val="0"/>
                      <w:sz w:val="21"/>
                      <w:szCs w:val="21"/>
                      <w:lang w:val="en-US" w:eastAsia="zh-CN"/>
                    </w:rPr>
                    <w:t>信息。</w:t>
                  </w:r>
                </w:p>
              </w:tc>
              <w:tc>
                <w:tcPr>
                  <w:tcW w:w="0" w:type="auto"/>
                  <w:tcBorders>
                    <w:tl2br w:val="nil"/>
                    <w:tr2bl w:val="nil"/>
                  </w:tcBorders>
                  <w:vAlign w:val="center"/>
                </w:tcPr>
                <w:p w14:paraId="1775A62D">
                  <w:pPr>
                    <w:keepNext w:val="0"/>
                    <w:keepLines w:val="0"/>
                    <w:pageBreakBefore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相符</w:t>
                  </w:r>
                </w:p>
              </w:tc>
            </w:tr>
          </w:tbl>
          <w:p w14:paraId="1672BEE5">
            <w:pPr>
              <w:widowControl/>
              <w:adjustRightInd w:val="0"/>
              <w:snapToGrid w:val="0"/>
              <w:spacing w:line="360" w:lineRule="auto"/>
              <w:ind w:firstLine="480" w:firstLineChars="200"/>
              <w:rPr>
                <w:rFonts w:hint="eastAsia" w:cs="Times New Roman" w:hAnsiTheme="minorEastAsia" w:eastAsiaTheme="minorEastAsia"/>
                <w:color w:val="auto"/>
                <w:sz w:val="24"/>
                <w:lang w:eastAsia="zh-CN"/>
              </w:rPr>
            </w:pPr>
            <w:r>
              <w:rPr>
                <w:rFonts w:ascii="Times New Roman" w:cs="Times New Roman" w:hAnsiTheme="minorEastAsia" w:eastAsiaTheme="minorEastAsia"/>
                <w:color w:val="auto"/>
                <w:sz w:val="24"/>
              </w:rPr>
              <w:t>根据上表分析可知，</w:t>
            </w:r>
            <w:r>
              <w:rPr>
                <w:rFonts w:hint="eastAsia" w:cs="Times New Roman" w:hAnsiTheme="minorEastAsia" w:eastAsiaTheme="minorEastAsia"/>
                <w:color w:val="auto"/>
                <w:sz w:val="24"/>
                <w:lang w:eastAsia="zh-CN"/>
              </w:rPr>
              <w:t>扩建</w:t>
            </w:r>
            <w:r>
              <w:rPr>
                <w:rFonts w:hint="eastAsia" w:ascii="Times New Roman" w:cs="Times New Roman" w:hAnsiTheme="minorEastAsia" w:eastAsiaTheme="minorEastAsia"/>
                <w:color w:val="auto"/>
                <w:sz w:val="24"/>
              </w:rPr>
              <w:t>项目</w:t>
            </w:r>
            <w:r>
              <w:rPr>
                <w:rFonts w:ascii="Times New Roman" w:cs="Times New Roman" w:hAnsiTheme="minorEastAsia" w:eastAsiaTheme="minorEastAsia"/>
                <w:color w:val="auto"/>
                <w:sz w:val="24"/>
              </w:rPr>
              <w:t>与对照</w:t>
            </w:r>
            <w:r>
              <w:rPr>
                <w:rFonts w:hint="default" w:ascii="Times New Roman" w:cs="Times New Roman" w:hAnsiTheme="minorEastAsia" w:eastAsiaTheme="minorEastAsia"/>
                <w:color w:val="auto"/>
                <w:sz w:val="24"/>
              </w:rPr>
              <w:t>苏环办[2023]154号省生态环境厅关于做好《危险废物贮存污染控制标准》等标准规范实施后危险废物环境管理衔接工作的通知</w:t>
            </w:r>
            <w:r>
              <w:rPr>
                <w:rFonts w:hint="eastAsia" w:ascii="Times New Roman" w:cs="Times New Roman" w:hAnsiTheme="minorEastAsia" w:eastAsiaTheme="minorEastAsia"/>
                <w:color w:val="auto"/>
                <w:sz w:val="24"/>
                <w:lang w:eastAsia="zh-CN"/>
              </w:rPr>
              <w:t>，</w:t>
            </w:r>
            <w:r>
              <w:rPr>
                <w:rFonts w:hint="default" w:ascii="Times New Roman" w:cs="Times New Roman" w:hAnsiTheme="minorEastAsia" w:eastAsiaTheme="minorEastAsia"/>
                <w:color w:val="auto"/>
                <w:sz w:val="24"/>
              </w:rPr>
              <w:t>省生态环境厅关于印发《江苏省固体废物全过程环境监管工作意见》的通知苏环办</w:t>
            </w:r>
            <w:r>
              <w:rPr>
                <w:rFonts w:hint="eastAsia" w:cs="Times New Roman" w:hAnsiTheme="minorEastAsia" w:eastAsiaTheme="minorEastAsia"/>
                <w:color w:val="auto"/>
                <w:sz w:val="24"/>
                <w:lang w:eastAsia="zh-CN"/>
              </w:rPr>
              <w:t>〔2024〕16号</w:t>
            </w:r>
            <w:r>
              <w:rPr>
                <w:rFonts w:hint="default" w:ascii="Times New Roman" w:cs="Times New Roman" w:hAnsiTheme="minorEastAsia" w:eastAsiaTheme="minorEastAsia"/>
                <w:color w:val="auto"/>
                <w:sz w:val="24"/>
                <w:lang w:eastAsia="zh-CN"/>
              </w:rPr>
              <w:t>文</w:t>
            </w:r>
            <w:r>
              <w:rPr>
                <w:rFonts w:hint="eastAsia" w:ascii="Times New Roman" w:cs="Times New Roman" w:hAnsiTheme="minorEastAsia" w:eastAsiaTheme="minorEastAsia"/>
                <w:color w:val="auto"/>
                <w:sz w:val="24"/>
                <w:lang w:eastAsia="zh-CN"/>
              </w:rPr>
              <w:t>，</w:t>
            </w:r>
            <w:r>
              <w:rPr>
                <w:rFonts w:hint="default" w:ascii="Times New Roman" w:cs="Times New Roman" w:hAnsiTheme="minorEastAsia" w:eastAsiaTheme="minorEastAsia"/>
                <w:color w:val="auto"/>
                <w:sz w:val="24"/>
                <w:lang w:eastAsia="zh-CN"/>
              </w:rPr>
              <w:t>《江苏省固体废物全过程环境监管工作意见》的通知(苏环办</w:t>
            </w:r>
            <w:r>
              <w:rPr>
                <w:rFonts w:hint="eastAsia" w:cs="Times New Roman" w:hAnsiTheme="minorEastAsia" w:eastAsiaTheme="minorEastAsia"/>
                <w:color w:val="auto"/>
                <w:sz w:val="24"/>
                <w:lang w:eastAsia="zh-CN"/>
              </w:rPr>
              <w:t>〔2024〕16号</w:t>
            </w:r>
            <w:r>
              <w:rPr>
                <w:rFonts w:hint="default" w:ascii="Times New Roman" w:cs="Times New Roman" w:hAnsiTheme="minorEastAsia" w:eastAsiaTheme="minorEastAsia"/>
                <w:color w:val="auto"/>
                <w:sz w:val="24"/>
                <w:lang w:eastAsia="zh-CN"/>
              </w:rPr>
              <w:t>)</w:t>
            </w:r>
            <w:r>
              <w:rPr>
                <w:rFonts w:hint="eastAsia" w:ascii="Times New Roman" w:cs="Times New Roman" w:hAnsiTheme="minorEastAsia" w:eastAsiaTheme="minorEastAsia"/>
                <w:color w:val="auto"/>
                <w:sz w:val="24"/>
                <w:lang w:eastAsia="zh-CN"/>
              </w:rPr>
              <w:t>文</w:t>
            </w:r>
            <w:r>
              <w:rPr>
                <w:rFonts w:hint="eastAsia" w:cs="Times New Roman" w:hAnsiTheme="minorEastAsia" w:eastAsiaTheme="minorEastAsia"/>
                <w:color w:val="auto"/>
                <w:sz w:val="24"/>
                <w:lang w:eastAsia="zh-CN"/>
              </w:rPr>
              <w:t>件与</w:t>
            </w:r>
            <w:r>
              <w:rPr>
                <w:rFonts w:ascii="Times New Roman" w:cs="Times New Roman" w:hAnsiTheme="minorEastAsia" w:eastAsiaTheme="minorEastAsia"/>
                <w:color w:val="auto"/>
                <w:sz w:val="24"/>
              </w:rPr>
              <w:t>相关环保法规、指南中的相关要求是相符的</w:t>
            </w:r>
            <w:r>
              <w:rPr>
                <w:rFonts w:hint="eastAsia" w:cs="Times New Roman" w:hAnsiTheme="minorEastAsia" w:eastAsiaTheme="minorEastAsia"/>
                <w:color w:val="auto"/>
                <w:sz w:val="24"/>
                <w:lang w:eastAsia="zh-CN"/>
              </w:rPr>
              <w:t>。</w:t>
            </w:r>
          </w:p>
          <w:p w14:paraId="266D5E07">
            <w:pPr>
              <w:tabs>
                <w:tab w:val="left" w:pos="720"/>
              </w:tabs>
              <w:adjustRightInd w:val="0"/>
              <w:snapToGrid w:val="0"/>
              <w:spacing w:line="360" w:lineRule="auto"/>
              <w:ind w:firstLine="480" w:firstLineChars="200"/>
              <w:rPr>
                <w:rFonts w:hint="eastAsia" w:cs="Times New Roman" w:hAnsiTheme="minorEastAsia" w:eastAsiaTheme="minorEastAsia"/>
                <w:color w:val="auto"/>
                <w:sz w:val="24"/>
                <w:lang w:eastAsia="zh-CN"/>
              </w:rPr>
            </w:pPr>
            <w:r>
              <w:rPr>
                <w:bCs w:val="0"/>
                <w:color w:val="auto"/>
                <w:sz w:val="24"/>
              </w:rPr>
              <w:t>综上所述，本项目符合当地</w:t>
            </w:r>
            <w:r>
              <w:rPr>
                <w:rFonts w:hint="default"/>
                <w:bCs w:val="0"/>
                <w:color w:val="auto"/>
                <w:sz w:val="24"/>
              </w:rPr>
              <w:t>流域政策、环保政策、行业政策</w:t>
            </w:r>
            <w:r>
              <w:rPr>
                <w:bCs w:val="0"/>
                <w:color w:val="auto"/>
                <w:sz w:val="24"/>
              </w:rPr>
              <w:t>。</w:t>
            </w:r>
          </w:p>
        </w:tc>
      </w:tr>
    </w:tbl>
    <w:p w14:paraId="0CC3AB96">
      <w:pPr>
        <w:spacing w:line="360" w:lineRule="auto"/>
        <w:rPr>
          <w:color w:val="auto"/>
          <w:sz w:val="30"/>
        </w:rPr>
        <w:sectPr>
          <w:pgSz w:w="11906" w:h="16838"/>
          <w:pgMar w:top="1701" w:right="1531" w:bottom="1701" w:left="1531" w:header="851" w:footer="1077" w:gutter="0"/>
          <w:pgBorders>
            <w:top w:val="none" w:sz="0" w:space="0"/>
            <w:left w:val="none" w:sz="0" w:space="0"/>
            <w:bottom w:val="none" w:sz="0" w:space="0"/>
            <w:right w:val="none" w:sz="0" w:space="0"/>
          </w:pgBorders>
          <w:cols w:space="720" w:num="1"/>
          <w:docGrid w:linePitch="312" w:charSpace="0"/>
        </w:sectPr>
      </w:pPr>
    </w:p>
    <w:p w14:paraId="4783D1B5">
      <w:pPr>
        <w:pStyle w:val="29"/>
        <w:spacing w:before="0" w:beforeAutospacing="0" w:after="0" w:afterAutospacing="0"/>
        <w:jc w:val="center"/>
        <w:outlineLvl w:val="0"/>
        <w:rPr>
          <w:rFonts w:ascii="Times New Roman" w:hAnsi="Times New Roman"/>
          <w:b/>
          <w:snapToGrid w:val="0"/>
          <w:color w:val="auto"/>
          <w:sz w:val="30"/>
          <w:szCs w:val="30"/>
        </w:rPr>
      </w:pPr>
      <w:r>
        <w:rPr>
          <w:rFonts w:hint="eastAsia" w:ascii="Times New Roman"/>
          <w:b/>
          <w:snapToGrid w:val="0"/>
          <w:color w:val="auto"/>
          <w:sz w:val="30"/>
          <w:szCs w:val="30"/>
          <w:lang w:val="en-US" w:eastAsia="zh-CN"/>
        </w:rPr>
        <w:t xml:space="preserve"> </w:t>
      </w:r>
      <w:bookmarkStart w:id="9" w:name="_Toc7534"/>
      <w:r>
        <w:rPr>
          <w:rFonts w:ascii="Times New Roman"/>
          <w:b/>
          <w:snapToGrid w:val="0"/>
          <w:color w:val="auto"/>
          <w:sz w:val="30"/>
          <w:szCs w:val="30"/>
        </w:rPr>
        <w:t>二、建设项目工程分析</w:t>
      </w:r>
      <w:bookmarkEnd w:id="9"/>
    </w:p>
    <w:tbl>
      <w:tblPr>
        <w:tblStyle w:val="3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635"/>
      </w:tblGrid>
      <w:tr w14:paraId="0CE713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85" w:hRule="atLeast"/>
          <w:jc w:val="center"/>
        </w:trPr>
        <w:tc>
          <w:tcPr>
            <w:tcW w:w="425" w:type="dxa"/>
            <w:vAlign w:val="center"/>
          </w:tcPr>
          <w:p w14:paraId="12BD15AE">
            <w:pPr>
              <w:pStyle w:val="29"/>
              <w:adjustRightInd w:val="0"/>
              <w:snapToGrid w:val="0"/>
              <w:spacing w:before="0" w:beforeAutospacing="0" w:after="0" w:afterAutospacing="0"/>
              <w:jc w:val="center"/>
              <w:rPr>
                <w:rFonts w:ascii="Times New Roman" w:hAnsi="Times New Roman"/>
                <w:b/>
                <w:bCs/>
                <w:color w:val="auto"/>
                <w:sz w:val="21"/>
                <w:szCs w:val="21"/>
              </w:rPr>
            </w:pPr>
            <w:r>
              <w:rPr>
                <w:rFonts w:ascii="Times New Roman"/>
                <w:b/>
                <w:bCs/>
                <w:color w:val="auto"/>
                <w:sz w:val="21"/>
                <w:szCs w:val="21"/>
              </w:rPr>
              <w:t>建设内容</w:t>
            </w:r>
          </w:p>
        </w:tc>
        <w:tc>
          <w:tcPr>
            <w:tcW w:w="8635" w:type="dxa"/>
          </w:tcPr>
          <w:p w14:paraId="636E626D">
            <w:pPr>
              <w:widowControl/>
              <w:adjustRightInd w:val="0"/>
              <w:snapToGrid w:val="0"/>
              <w:spacing w:line="360" w:lineRule="auto"/>
              <w:ind w:firstLine="482" w:firstLineChars="200"/>
              <w:jc w:val="left"/>
              <w:rPr>
                <w:b/>
                <w:color w:val="auto"/>
                <w:kern w:val="0"/>
                <w:sz w:val="24"/>
                <w:szCs w:val="20"/>
              </w:rPr>
            </w:pPr>
            <w:r>
              <w:rPr>
                <w:b/>
                <w:color w:val="auto"/>
                <w:kern w:val="0"/>
                <w:sz w:val="24"/>
                <w:szCs w:val="20"/>
              </w:rPr>
              <w:t>1.</w:t>
            </w:r>
            <w:r>
              <w:rPr>
                <w:rFonts w:hAnsi="宋体"/>
                <w:b/>
                <w:color w:val="auto"/>
                <w:kern w:val="0"/>
                <w:sz w:val="24"/>
                <w:szCs w:val="20"/>
              </w:rPr>
              <w:t>项目由来</w:t>
            </w:r>
          </w:p>
          <w:p w14:paraId="10A62C57">
            <w:pPr>
              <w:spacing w:line="360" w:lineRule="auto"/>
              <w:ind w:firstLine="480" w:firstLineChars="200"/>
              <w:rPr>
                <w:rFonts w:hint="default"/>
                <w:color w:val="auto"/>
                <w:sz w:val="24"/>
                <w:lang w:val="en-US" w:eastAsia="zh-CN"/>
              </w:rPr>
            </w:pPr>
            <w:r>
              <w:rPr>
                <w:rFonts w:hint="default" w:ascii="Times New Roman" w:hAnsi="Times New Roman" w:eastAsia="宋体" w:cs="Times New Roman"/>
                <w:color w:val="auto"/>
                <w:sz w:val="24"/>
                <w:szCs w:val="24"/>
              </w:rPr>
              <w:t>盖世食品（江苏）有限公司成立于2021年4月29日，位于淮安市涟水县经济开发区涟水路</w:t>
            </w:r>
            <w:r>
              <w:rPr>
                <w:rFonts w:hint="default" w:ascii="Times New Roman" w:hAnsi="Times New Roman" w:eastAsia="宋体" w:cs="Times New Roman"/>
                <w:color w:val="auto"/>
                <w:sz w:val="24"/>
                <w:szCs w:val="24"/>
                <w:lang w:val="en-US" w:eastAsia="zh-CN"/>
              </w:rPr>
              <w:t>3号</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shd w:val="clear" w:color="auto" w:fill="FFFFFF"/>
                <w:lang w:eastAsia="zh-CN"/>
              </w:rPr>
              <w:t>企业现有</w:t>
            </w:r>
            <w:r>
              <w:rPr>
                <w:rFonts w:hint="default" w:ascii="Times New Roman" w:hAnsi="Times New Roman" w:eastAsia="宋体" w:cs="Times New Roman"/>
                <w:color w:val="auto"/>
                <w:sz w:val="24"/>
                <w:szCs w:val="24"/>
                <w:shd w:val="clear" w:color="auto" w:fill="FFFFFF"/>
              </w:rPr>
              <w:t>年产1万吨加工食用菌及蔬菜等调味冷冻食品，于2021年9月10日取得淮安涟水生态环境局的批复意见（淮（涟）环表复</w:t>
            </w:r>
            <w:r>
              <w:rPr>
                <w:rFonts w:hint="eastAsia" w:cs="Times New Roman"/>
                <w:color w:val="auto"/>
                <w:sz w:val="24"/>
                <w:szCs w:val="24"/>
                <w:shd w:val="clear" w:color="auto" w:fill="FFFFFF"/>
                <w:lang w:eastAsia="zh-CN"/>
              </w:rPr>
              <w:t>〔2021〕75号</w:t>
            </w:r>
            <w:r>
              <w:rPr>
                <w:rFonts w:hint="default" w:ascii="Times New Roman" w:hAnsi="Times New Roman" w:eastAsia="宋体" w:cs="Times New Roman"/>
                <w:color w:val="auto"/>
                <w:sz w:val="24"/>
                <w:szCs w:val="24"/>
                <w:shd w:val="clear" w:color="auto" w:fill="FFFFFF"/>
              </w:rPr>
              <w:t>），此项目未建设。年产1.5万吨预制凉菜智能制造（加工）项目、研发及检测中心建设项目环境影响报告表》，该项目于2022年4月13日取得淮安市生态环境局的环评批复（淮（涟）环表复〔2022〕24号）。</w:t>
            </w:r>
            <w:r>
              <w:rPr>
                <w:rFonts w:hint="eastAsia" w:cs="Times New Roman"/>
                <w:color w:val="auto"/>
                <w:sz w:val="24"/>
                <w:szCs w:val="24"/>
                <w:shd w:val="clear" w:color="auto" w:fill="FFFFFF"/>
                <w:lang w:eastAsia="zh-CN"/>
              </w:rPr>
              <w:t>该</w:t>
            </w:r>
            <w:r>
              <w:rPr>
                <w:rFonts w:hint="default" w:ascii="Times New Roman" w:hAnsi="Times New Roman" w:eastAsia="宋体" w:cs="Times New Roman"/>
                <w:color w:val="auto"/>
                <w:sz w:val="24"/>
                <w:szCs w:val="24"/>
                <w:shd w:val="clear" w:color="auto" w:fill="FFFFFF"/>
              </w:rPr>
              <w:t>项目于2022年7月11日开工建</w:t>
            </w:r>
            <w:r>
              <w:rPr>
                <w:rFonts w:hint="default"/>
                <w:color w:val="auto"/>
                <w:sz w:val="24"/>
              </w:rPr>
              <w:t>设，于2023年7月进行排污许可申请，编号为91320826MA25WCN334001Q，于2024年6月21日竣工</w:t>
            </w:r>
            <w:r>
              <w:rPr>
                <w:rFonts w:hint="default"/>
                <w:color w:val="auto"/>
                <w:sz w:val="24"/>
                <w:lang w:eastAsia="zh-CN"/>
              </w:rPr>
              <w:t>，</w:t>
            </w:r>
            <w:r>
              <w:rPr>
                <w:rFonts w:hint="default"/>
                <w:color w:val="auto"/>
                <w:sz w:val="24"/>
                <w:lang w:val="en-US" w:eastAsia="zh-CN"/>
              </w:rPr>
              <w:t>2025年5月完成验收。</w:t>
            </w:r>
          </w:p>
          <w:p w14:paraId="22EC6B5A">
            <w:pPr>
              <w:spacing w:line="360" w:lineRule="auto"/>
              <w:ind w:firstLine="480" w:firstLineChars="200"/>
              <w:rPr>
                <w:rFonts w:hint="eastAsia" w:ascii="Times New Roman" w:hAnsi="Times New Roman" w:eastAsia="宋体" w:cs="Times New Roman"/>
                <w:color w:val="auto"/>
                <w:sz w:val="24"/>
                <w:szCs w:val="24"/>
                <w:lang w:eastAsia="zh-CN"/>
              </w:rPr>
            </w:pPr>
            <w:r>
              <w:rPr>
                <w:rFonts w:hint="eastAsia"/>
                <w:color w:val="auto"/>
                <w:sz w:val="24"/>
                <w:lang w:eastAsia="zh-CN"/>
              </w:rPr>
              <w:t>目前</w:t>
            </w:r>
            <w:r>
              <w:rPr>
                <w:rFonts w:hint="default"/>
                <w:color w:val="auto"/>
                <w:sz w:val="24"/>
              </w:rPr>
              <w:t>公司进一步扩充主营业务生产能力，满足下游市场需求。企业拟投资</w:t>
            </w:r>
            <w:r>
              <w:rPr>
                <w:rFonts w:hint="eastAsia"/>
                <w:color w:val="auto"/>
                <w:sz w:val="24"/>
                <w:lang w:val="en-US" w:eastAsia="zh-CN"/>
              </w:rPr>
              <w:t>20000</w:t>
            </w:r>
            <w:r>
              <w:rPr>
                <w:rFonts w:hint="default"/>
                <w:color w:val="auto"/>
                <w:sz w:val="24"/>
              </w:rPr>
              <w:t>万元建设年产</w:t>
            </w:r>
            <w:r>
              <w:rPr>
                <w:rFonts w:hint="default"/>
                <w:color w:val="auto"/>
                <w:sz w:val="24"/>
                <w:lang w:val="en-US" w:eastAsia="zh-CN"/>
              </w:rPr>
              <w:t>7</w:t>
            </w:r>
            <w:r>
              <w:rPr>
                <w:rFonts w:hint="default"/>
                <w:color w:val="auto"/>
                <w:sz w:val="24"/>
              </w:rPr>
              <w:t>000吨预制水产及肉类智能制造建设项目。拟在现有</w:t>
            </w:r>
            <w:r>
              <w:rPr>
                <w:rFonts w:hint="default"/>
                <w:color w:val="auto"/>
                <w:sz w:val="24"/>
                <w:lang w:eastAsia="zh-CN"/>
              </w:rPr>
              <w:t>公司预留空地</w:t>
            </w:r>
            <w:r>
              <w:rPr>
                <w:rFonts w:hint="eastAsia"/>
                <w:color w:val="auto"/>
                <w:sz w:val="24"/>
                <w:lang w:eastAsia="zh-CN"/>
              </w:rPr>
              <w:t>进行扩建</w:t>
            </w:r>
            <w:r>
              <w:rPr>
                <w:rFonts w:hint="default"/>
                <w:color w:val="auto"/>
                <w:sz w:val="24"/>
              </w:rPr>
              <w:t>，项目占地</w:t>
            </w:r>
            <w:r>
              <w:rPr>
                <w:rFonts w:hint="eastAsia"/>
                <w:color w:val="auto"/>
                <w:sz w:val="24"/>
                <w:lang w:val="en-US" w:eastAsia="zh-CN"/>
              </w:rPr>
              <w:t>25亩，</w:t>
            </w:r>
            <w:r>
              <w:rPr>
                <w:color w:val="auto"/>
                <w:sz w:val="24"/>
                <w:lang w:val="en-US" w:eastAsia="zh-CN"/>
              </w:rPr>
              <w:t>利用公司原有</w:t>
            </w:r>
            <w:r>
              <w:rPr>
                <w:rFonts w:hint="eastAsia"/>
                <w:color w:val="auto"/>
                <w:sz w:val="24"/>
                <w:lang w:val="en-US" w:eastAsia="zh-CN"/>
              </w:rPr>
              <w:t>预留空地</w:t>
            </w:r>
            <w:r>
              <w:rPr>
                <w:color w:val="auto"/>
                <w:sz w:val="24"/>
                <w:lang w:val="en-US" w:eastAsia="zh-CN"/>
              </w:rPr>
              <w:t>23亩，</w:t>
            </w:r>
            <w:r>
              <w:rPr>
                <w:rFonts w:hint="eastAsia"/>
                <w:color w:val="auto"/>
                <w:sz w:val="24"/>
                <w:lang w:val="en-US" w:eastAsia="zh-CN"/>
              </w:rPr>
              <w:t>并购买厂区原西侧</w:t>
            </w:r>
            <w:r>
              <w:rPr>
                <w:color w:val="auto"/>
                <w:sz w:val="24"/>
                <w:lang w:val="en-US" w:eastAsia="zh-CN"/>
              </w:rPr>
              <w:t>地2亩</w:t>
            </w:r>
            <w:r>
              <w:rPr>
                <w:rFonts w:hint="eastAsia"/>
                <w:color w:val="auto"/>
                <w:sz w:val="24"/>
                <w:lang w:val="en-US" w:eastAsia="zh-CN"/>
              </w:rPr>
              <w:t>空地</w:t>
            </w:r>
            <w:r>
              <w:rPr>
                <w:rFonts w:hint="default" w:ascii="Times New Roman" w:hAnsi="Times New Roman" w:eastAsia="宋体" w:cs="Times New Roman"/>
                <w:color w:val="auto"/>
                <w:sz w:val="24"/>
                <w:szCs w:val="24"/>
              </w:rPr>
              <w:t>，新建生产</w:t>
            </w:r>
            <w:r>
              <w:rPr>
                <w:rFonts w:hint="eastAsia" w:cs="Times New Roman"/>
                <w:color w:val="auto"/>
                <w:sz w:val="24"/>
                <w:szCs w:val="24"/>
                <w:lang w:eastAsia="zh-CN"/>
              </w:rPr>
              <w:t>冷库</w:t>
            </w:r>
            <w:r>
              <w:rPr>
                <w:rFonts w:hint="default" w:ascii="Times New Roman" w:hAnsi="Times New Roman" w:eastAsia="宋体" w:cs="Times New Roman"/>
                <w:color w:val="auto"/>
                <w:sz w:val="24"/>
                <w:szCs w:val="24"/>
              </w:rPr>
              <w:t>及</w:t>
            </w:r>
            <w:r>
              <w:rPr>
                <w:rFonts w:hint="default"/>
                <w:color w:val="auto"/>
                <w:sz w:val="24"/>
              </w:rPr>
              <w:t>附属设施</w:t>
            </w:r>
            <w:r>
              <w:rPr>
                <w:rFonts w:hint="default" w:ascii="Times New Roman" w:hAnsi="Times New Roman" w:eastAsia="宋体" w:cs="Times New Roman"/>
                <w:color w:val="auto"/>
                <w:sz w:val="24"/>
                <w:szCs w:val="24"/>
                <w:lang w:val="en-US" w:eastAsia="zh-CN"/>
              </w:rPr>
              <w:t>3层</w:t>
            </w:r>
            <w:r>
              <w:rPr>
                <w:rFonts w:hint="default" w:ascii="Times New Roman" w:hAnsi="Times New Roman" w:eastAsia="宋体" w:cs="Times New Roman"/>
                <w:color w:val="auto"/>
                <w:sz w:val="24"/>
                <w:szCs w:val="24"/>
              </w:rPr>
              <w:t>建筑面积</w:t>
            </w:r>
            <w:r>
              <w:rPr>
                <w:rFonts w:hint="eastAsia" w:cs="Times New Roman"/>
                <w:color w:val="auto"/>
                <w:sz w:val="24"/>
                <w:szCs w:val="24"/>
                <w:lang w:val="en-US" w:eastAsia="zh-CN"/>
              </w:rPr>
              <w:t>25520.61</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建设海珍味、肉类、</w:t>
            </w:r>
            <w:r>
              <w:rPr>
                <w:rFonts w:hint="eastAsia" w:cs="Times New Roman"/>
                <w:color w:val="auto"/>
                <w:sz w:val="24"/>
                <w:szCs w:val="24"/>
                <w:lang w:eastAsia="zh-CN"/>
              </w:rPr>
              <w:t>干燥藻类</w:t>
            </w:r>
            <w:r>
              <w:rPr>
                <w:rFonts w:hint="default" w:ascii="Times New Roman" w:hAnsi="Times New Roman" w:eastAsia="宋体" w:cs="Times New Roman"/>
                <w:color w:val="auto"/>
                <w:sz w:val="24"/>
                <w:szCs w:val="24"/>
                <w:lang w:eastAsia="zh-CN"/>
              </w:rPr>
              <w:t>三条生产线。</w:t>
            </w:r>
            <w:r>
              <w:rPr>
                <w:rFonts w:hint="default" w:ascii="Times New Roman" w:hAnsi="Times New Roman" w:eastAsia="宋体" w:cs="Times New Roman"/>
                <w:color w:val="auto"/>
                <w:sz w:val="24"/>
                <w:szCs w:val="24"/>
              </w:rPr>
              <w:t>该项目已在江苏涟水经济开发区管理委员会备案（涟区开发备</w:t>
            </w:r>
            <w:r>
              <w:rPr>
                <w:rFonts w:hint="eastAsia" w:cs="Times New Roman"/>
                <w:color w:val="auto"/>
                <w:sz w:val="24"/>
                <w:szCs w:val="24"/>
                <w:lang w:eastAsia="zh-CN"/>
              </w:rPr>
              <w:t>〔2025〕91号</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eastAsia="zh-CN"/>
              </w:rPr>
              <w:t>。</w:t>
            </w:r>
          </w:p>
          <w:p w14:paraId="7FD1D5CE">
            <w:pPr>
              <w:spacing w:line="360" w:lineRule="auto"/>
              <w:ind w:firstLine="480" w:firstLineChars="200"/>
              <w:rPr>
                <w:color w:val="auto"/>
                <w:sz w:val="24"/>
              </w:rPr>
            </w:pPr>
            <w:r>
              <w:rPr>
                <w:color w:val="auto"/>
                <w:sz w:val="24"/>
              </w:rPr>
              <w:t>根据《建设项目分类管理名录》（2021年版），如下表所示：</w:t>
            </w:r>
          </w:p>
          <w:p w14:paraId="0397A1CE">
            <w:pPr>
              <w:spacing w:line="360" w:lineRule="auto"/>
              <w:ind w:firstLine="482" w:firstLineChars="200"/>
              <w:jc w:val="center"/>
              <w:rPr>
                <w:b/>
                <w:color w:val="auto"/>
                <w:sz w:val="24"/>
              </w:rPr>
            </w:pPr>
            <w:r>
              <w:rPr>
                <w:b/>
                <w:color w:val="auto"/>
                <w:sz w:val="24"/>
              </w:rPr>
              <w:t>表2-1  建设项目环境影响评价分类管理名录</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07"/>
              <w:gridCol w:w="1957"/>
              <w:gridCol w:w="1612"/>
              <w:gridCol w:w="1614"/>
              <w:gridCol w:w="946"/>
              <w:gridCol w:w="1783"/>
            </w:tblGrid>
            <w:tr w14:paraId="4E2363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93" w:type="dxa"/>
                  <w:gridSpan w:val="2"/>
                  <w:tcBorders>
                    <w:top w:val="single" w:color="auto" w:sz="12" w:space="0"/>
                    <w:bottom w:val="single" w:color="auto" w:sz="12" w:space="0"/>
                    <w:right w:val="single" w:color="auto" w:sz="4" w:space="0"/>
                    <w:tl2br w:val="single" w:color="auto" w:sz="4" w:space="0"/>
                  </w:tcBorders>
                  <w:vAlign w:val="center"/>
                </w:tcPr>
                <w:p w14:paraId="44AF74C7">
                  <w:pPr>
                    <w:adjustRightInd w:val="0"/>
                    <w:snapToGrid w:val="0"/>
                    <w:jc w:val="right"/>
                    <w:rPr>
                      <w:b/>
                      <w:color w:val="auto"/>
                      <w:szCs w:val="21"/>
                    </w:rPr>
                  </w:pPr>
                  <w:r>
                    <w:rPr>
                      <w:b/>
                      <w:color w:val="auto"/>
                      <w:szCs w:val="21"/>
                    </w:rPr>
                    <w:t>环评类别</w:t>
                  </w:r>
                </w:p>
                <w:p w14:paraId="3DAC39D7">
                  <w:pPr>
                    <w:adjustRightInd w:val="0"/>
                    <w:snapToGrid w:val="0"/>
                    <w:rPr>
                      <w:b/>
                      <w:color w:val="auto"/>
                      <w:szCs w:val="21"/>
                    </w:rPr>
                  </w:pPr>
                  <w:r>
                    <w:rPr>
                      <w:b/>
                      <w:color w:val="auto"/>
                      <w:szCs w:val="21"/>
                    </w:rPr>
                    <w:t>项目类别</w:t>
                  </w:r>
                </w:p>
              </w:tc>
              <w:tc>
                <w:tcPr>
                  <w:tcW w:w="1700" w:type="dxa"/>
                  <w:tcBorders>
                    <w:top w:val="single" w:color="auto" w:sz="12" w:space="0"/>
                    <w:left w:val="single" w:color="auto" w:sz="4" w:space="0"/>
                    <w:bottom w:val="single" w:color="auto" w:sz="12" w:space="0"/>
                    <w:right w:val="single" w:color="auto" w:sz="4" w:space="0"/>
                  </w:tcBorders>
                  <w:vAlign w:val="center"/>
                </w:tcPr>
                <w:p w14:paraId="165B75C2">
                  <w:pPr>
                    <w:adjustRightInd w:val="0"/>
                    <w:snapToGrid w:val="0"/>
                    <w:jc w:val="center"/>
                    <w:rPr>
                      <w:b/>
                      <w:color w:val="auto"/>
                      <w:szCs w:val="21"/>
                    </w:rPr>
                  </w:pPr>
                  <w:r>
                    <w:rPr>
                      <w:b/>
                      <w:color w:val="auto"/>
                      <w:szCs w:val="21"/>
                    </w:rPr>
                    <w:t>报告书</w:t>
                  </w:r>
                </w:p>
              </w:tc>
              <w:tc>
                <w:tcPr>
                  <w:tcW w:w="1702" w:type="dxa"/>
                  <w:tcBorders>
                    <w:top w:val="single" w:color="auto" w:sz="12" w:space="0"/>
                    <w:left w:val="single" w:color="auto" w:sz="4" w:space="0"/>
                    <w:bottom w:val="single" w:color="auto" w:sz="12" w:space="0"/>
                    <w:right w:val="single" w:color="auto" w:sz="4" w:space="0"/>
                  </w:tcBorders>
                  <w:vAlign w:val="center"/>
                </w:tcPr>
                <w:p w14:paraId="57390BE2">
                  <w:pPr>
                    <w:adjustRightInd w:val="0"/>
                    <w:snapToGrid w:val="0"/>
                    <w:jc w:val="center"/>
                    <w:rPr>
                      <w:b/>
                      <w:color w:val="auto"/>
                      <w:szCs w:val="21"/>
                    </w:rPr>
                  </w:pPr>
                  <w:r>
                    <w:rPr>
                      <w:b/>
                      <w:color w:val="auto"/>
                      <w:szCs w:val="21"/>
                    </w:rPr>
                    <w:t>报告表</w:t>
                  </w:r>
                </w:p>
              </w:tc>
              <w:tc>
                <w:tcPr>
                  <w:tcW w:w="992" w:type="dxa"/>
                  <w:tcBorders>
                    <w:top w:val="single" w:color="auto" w:sz="12" w:space="0"/>
                    <w:left w:val="single" w:color="auto" w:sz="4" w:space="0"/>
                    <w:bottom w:val="single" w:color="auto" w:sz="12" w:space="0"/>
                  </w:tcBorders>
                  <w:vAlign w:val="center"/>
                </w:tcPr>
                <w:p w14:paraId="163884A3">
                  <w:pPr>
                    <w:adjustRightInd w:val="0"/>
                    <w:snapToGrid w:val="0"/>
                    <w:jc w:val="center"/>
                    <w:rPr>
                      <w:b/>
                      <w:color w:val="auto"/>
                      <w:szCs w:val="21"/>
                    </w:rPr>
                  </w:pPr>
                  <w:r>
                    <w:rPr>
                      <w:b/>
                      <w:color w:val="auto"/>
                      <w:szCs w:val="21"/>
                    </w:rPr>
                    <w:t>登记表</w:t>
                  </w:r>
                </w:p>
              </w:tc>
              <w:tc>
                <w:tcPr>
                  <w:tcW w:w="1882" w:type="dxa"/>
                  <w:tcBorders>
                    <w:top w:val="single" w:color="auto" w:sz="12" w:space="0"/>
                    <w:left w:val="single" w:color="auto" w:sz="4" w:space="0"/>
                    <w:bottom w:val="single" w:color="auto" w:sz="12" w:space="0"/>
                  </w:tcBorders>
                  <w:vAlign w:val="center"/>
                </w:tcPr>
                <w:p w14:paraId="3C1E084A">
                  <w:pPr>
                    <w:adjustRightInd w:val="0"/>
                    <w:snapToGrid w:val="0"/>
                    <w:jc w:val="center"/>
                    <w:rPr>
                      <w:b/>
                      <w:color w:val="auto"/>
                      <w:szCs w:val="21"/>
                    </w:rPr>
                  </w:pPr>
                  <w:r>
                    <w:rPr>
                      <w:b/>
                      <w:color w:val="auto"/>
                      <w:szCs w:val="21"/>
                    </w:rPr>
                    <w:t>本项目</w:t>
                  </w:r>
                </w:p>
              </w:tc>
            </w:tr>
            <w:tr w14:paraId="3252BF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9" w:type="dxa"/>
                  <w:gridSpan w:val="6"/>
                  <w:tcBorders>
                    <w:top w:val="single" w:color="auto" w:sz="12" w:space="0"/>
                    <w:bottom w:val="single" w:color="auto" w:sz="4" w:space="0"/>
                  </w:tcBorders>
                  <w:vAlign w:val="center"/>
                </w:tcPr>
                <w:p w14:paraId="1E008B11">
                  <w:pPr>
                    <w:adjustRightInd w:val="0"/>
                    <w:snapToGrid w:val="0"/>
                    <w:rPr>
                      <w:color w:val="auto"/>
                      <w:szCs w:val="21"/>
                    </w:rPr>
                  </w:pPr>
                  <w:r>
                    <w:rPr>
                      <w:color w:val="auto"/>
                      <w:szCs w:val="21"/>
                    </w:rPr>
                    <w:t>十一、食品制造业14</w:t>
                  </w:r>
                </w:p>
              </w:tc>
            </w:tr>
            <w:tr w14:paraId="6F7855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6" w:type="dxa"/>
                  <w:tcBorders>
                    <w:top w:val="single" w:color="auto" w:sz="4" w:space="0"/>
                    <w:bottom w:val="single" w:color="auto" w:sz="12" w:space="0"/>
                  </w:tcBorders>
                  <w:vAlign w:val="center"/>
                </w:tcPr>
                <w:p w14:paraId="16433B7C">
                  <w:pPr>
                    <w:adjustRightInd w:val="0"/>
                    <w:snapToGrid w:val="0"/>
                    <w:jc w:val="center"/>
                    <w:rPr>
                      <w:color w:val="auto"/>
                      <w:szCs w:val="21"/>
                    </w:rPr>
                  </w:pPr>
                  <w:r>
                    <w:rPr>
                      <w:color w:val="auto"/>
                      <w:szCs w:val="21"/>
                    </w:rPr>
                    <w:t>2</w:t>
                  </w:r>
                  <w:r>
                    <w:rPr>
                      <w:rFonts w:hint="eastAsia"/>
                      <w:color w:val="auto"/>
                      <w:szCs w:val="21"/>
                    </w:rPr>
                    <w:t>1</w:t>
                  </w:r>
                </w:p>
              </w:tc>
              <w:tc>
                <w:tcPr>
                  <w:tcW w:w="2067" w:type="dxa"/>
                  <w:tcBorders>
                    <w:top w:val="single" w:color="auto" w:sz="4" w:space="0"/>
                    <w:bottom w:val="single" w:color="auto" w:sz="12" w:space="0"/>
                  </w:tcBorders>
                  <w:vAlign w:val="center"/>
                </w:tcPr>
                <w:p w14:paraId="4BE0CE30">
                  <w:pPr>
                    <w:adjustRightInd w:val="0"/>
                    <w:snapToGrid w:val="0"/>
                    <w:jc w:val="center"/>
                    <w:rPr>
                      <w:color w:val="auto"/>
                      <w:szCs w:val="21"/>
                    </w:rPr>
                  </w:pPr>
                  <w:r>
                    <w:rPr>
                      <w:rFonts w:hint="eastAsia"/>
                      <w:color w:val="auto"/>
                      <w:szCs w:val="21"/>
                    </w:rPr>
                    <w:t>方便食品制造</w:t>
                  </w:r>
                  <w:r>
                    <w:rPr>
                      <w:color w:val="auto"/>
                      <w:szCs w:val="21"/>
                    </w:rPr>
                    <w:t>143</w:t>
                  </w:r>
                </w:p>
              </w:tc>
              <w:tc>
                <w:tcPr>
                  <w:tcW w:w="1700" w:type="dxa"/>
                  <w:tcBorders>
                    <w:top w:val="single" w:color="auto" w:sz="4" w:space="0"/>
                    <w:bottom w:val="single" w:color="auto" w:sz="12" w:space="0"/>
                  </w:tcBorders>
                  <w:vAlign w:val="center"/>
                </w:tcPr>
                <w:p w14:paraId="2D5800DD">
                  <w:pPr>
                    <w:adjustRightInd w:val="0"/>
                    <w:snapToGrid w:val="0"/>
                    <w:jc w:val="center"/>
                    <w:rPr>
                      <w:color w:val="auto"/>
                      <w:szCs w:val="21"/>
                    </w:rPr>
                  </w:pPr>
                  <w:r>
                    <w:rPr>
                      <w:rFonts w:hint="eastAsia"/>
                      <w:color w:val="auto"/>
                      <w:szCs w:val="21"/>
                    </w:rPr>
                    <w:t>/</w:t>
                  </w:r>
                </w:p>
              </w:tc>
              <w:tc>
                <w:tcPr>
                  <w:tcW w:w="1702" w:type="dxa"/>
                  <w:tcBorders>
                    <w:top w:val="single" w:color="auto" w:sz="4" w:space="0"/>
                    <w:bottom w:val="single" w:color="auto" w:sz="12" w:space="0"/>
                  </w:tcBorders>
                  <w:shd w:val="clear" w:color="auto" w:fill="BFBFBF"/>
                  <w:vAlign w:val="center"/>
                </w:tcPr>
                <w:p w14:paraId="0993A69D">
                  <w:pPr>
                    <w:adjustRightInd w:val="0"/>
                    <w:snapToGrid w:val="0"/>
                    <w:jc w:val="center"/>
                    <w:rPr>
                      <w:color w:val="auto"/>
                      <w:szCs w:val="21"/>
                    </w:rPr>
                  </w:pPr>
                  <w:r>
                    <w:rPr>
                      <w:rFonts w:hint="eastAsia"/>
                      <w:color w:val="auto"/>
                      <w:szCs w:val="21"/>
                    </w:rPr>
                    <w:t>除单纯分装外</w:t>
                  </w:r>
                </w:p>
              </w:tc>
              <w:tc>
                <w:tcPr>
                  <w:tcW w:w="992" w:type="dxa"/>
                  <w:tcBorders>
                    <w:top w:val="single" w:color="auto" w:sz="4" w:space="0"/>
                    <w:bottom w:val="single" w:color="auto" w:sz="12" w:space="0"/>
                  </w:tcBorders>
                  <w:shd w:val="clear" w:color="auto" w:fill="auto"/>
                  <w:vAlign w:val="center"/>
                </w:tcPr>
                <w:p w14:paraId="5532F34D">
                  <w:pPr>
                    <w:adjustRightInd w:val="0"/>
                    <w:snapToGrid w:val="0"/>
                    <w:jc w:val="center"/>
                    <w:rPr>
                      <w:color w:val="auto"/>
                      <w:szCs w:val="21"/>
                    </w:rPr>
                  </w:pPr>
                  <w:r>
                    <w:rPr>
                      <w:color w:val="auto"/>
                      <w:szCs w:val="21"/>
                    </w:rPr>
                    <w:t>/</w:t>
                  </w:r>
                </w:p>
              </w:tc>
              <w:tc>
                <w:tcPr>
                  <w:tcW w:w="1882" w:type="dxa"/>
                  <w:tcBorders>
                    <w:top w:val="single" w:color="auto" w:sz="4" w:space="0"/>
                    <w:bottom w:val="single" w:color="auto" w:sz="12" w:space="0"/>
                  </w:tcBorders>
                  <w:vAlign w:val="center"/>
                </w:tcPr>
                <w:p w14:paraId="7E8B2C07">
                  <w:pPr>
                    <w:adjustRightInd w:val="0"/>
                    <w:snapToGrid w:val="0"/>
                    <w:jc w:val="center"/>
                    <w:rPr>
                      <w:color w:val="auto"/>
                      <w:szCs w:val="21"/>
                    </w:rPr>
                  </w:pPr>
                  <w:r>
                    <w:rPr>
                      <w:color w:val="auto"/>
                      <w:szCs w:val="21"/>
                    </w:rPr>
                    <w:t>C1439</w:t>
                  </w:r>
                  <w:r>
                    <w:rPr>
                      <w:rFonts w:hint="eastAsia"/>
                      <w:color w:val="auto"/>
                      <w:szCs w:val="21"/>
                    </w:rPr>
                    <w:t>其他方便食品制造</w:t>
                  </w:r>
                </w:p>
              </w:tc>
            </w:tr>
          </w:tbl>
          <w:p w14:paraId="3E2493EA">
            <w:pPr>
              <w:spacing w:line="360" w:lineRule="auto"/>
              <w:ind w:firstLine="480" w:firstLineChars="200"/>
              <w:rPr>
                <w:color w:val="auto"/>
                <w:sz w:val="24"/>
              </w:rPr>
            </w:pPr>
            <w:r>
              <w:rPr>
                <w:color w:val="auto"/>
                <w:sz w:val="24"/>
              </w:rPr>
              <w:t>本项目产品为</w:t>
            </w:r>
            <w:r>
              <w:rPr>
                <w:rFonts w:hint="default" w:ascii="Times New Roman" w:hAnsi="Times New Roman" w:eastAsia="宋体" w:cs="Times New Roman"/>
                <w:color w:val="auto"/>
                <w:sz w:val="24"/>
                <w:szCs w:val="24"/>
              </w:rPr>
              <w:t>预制水产及肉类</w:t>
            </w:r>
            <w:r>
              <w:rPr>
                <w:rFonts w:hint="eastAsia"/>
                <w:color w:val="auto"/>
                <w:sz w:val="24"/>
              </w:rPr>
              <w:t>等方便菜</w:t>
            </w:r>
            <w:r>
              <w:rPr>
                <w:color w:val="auto"/>
                <w:sz w:val="24"/>
              </w:rPr>
              <w:t>，</w:t>
            </w:r>
            <w:r>
              <w:rPr>
                <w:rFonts w:hint="eastAsia"/>
                <w:color w:val="auto"/>
                <w:sz w:val="24"/>
              </w:rPr>
              <w:t>需要</w:t>
            </w:r>
            <w:r>
              <w:rPr>
                <w:rFonts w:hint="eastAsia"/>
                <w:color w:val="auto"/>
                <w:sz w:val="24"/>
                <w:lang w:eastAsia="zh-CN"/>
              </w:rPr>
              <w:t>解冻浸泡漂洗切割等工序</w:t>
            </w:r>
            <w:r>
              <w:rPr>
                <w:rFonts w:hint="eastAsia"/>
                <w:color w:val="auto"/>
                <w:sz w:val="24"/>
              </w:rPr>
              <w:t>，非单纯分装，</w:t>
            </w:r>
            <w:r>
              <w:rPr>
                <w:color w:val="auto"/>
                <w:sz w:val="24"/>
              </w:rPr>
              <w:t>根据上表分析，应当编制报告表。</w:t>
            </w:r>
          </w:p>
          <w:p w14:paraId="7E769B57">
            <w:pPr>
              <w:spacing w:line="360" w:lineRule="auto"/>
              <w:ind w:firstLine="480" w:firstLineChars="200"/>
              <w:rPr>
                <w:color w:val="auto"/>
                <w:sz w:val="24"/>
              </w:rPr>
            </w:pPr>
            <w:r>
              <w:rPr>
                <w:color w:val="auto"/>
                <w:sz w:val="24"/>
              </w:rPr>
              <w:t>根据《中华人民共和国环境保护法</w:t>
            </w:r>
            <w:r>
              <w:rPr>
                <w:rFonts w:hint="eastAsia"/>
                <w:color w:val="auto"/>
                <w:sz w:val="24"/>
                <w:lang w:eastAsia="zh-CN"/>
              </w:rPr>
              <w:t>》《</w:t>
            </w:r>
            <w:r>
              <w:rPr>
                <w:color w:val="auto"/>
                <w:sz w:val="24"/>
              </w:rPr>
              <w:t>中华人民共和国环境影响评价法</w:t>
            </w:r>
            <w:r>
              <w:rPr>
                <w:rFonts w:hint="eastAsia"/>
                <w:color w:val="auto"/>
                <w:sz w:val="24"/>
                <w:lang w:eastAsia="zh-CN"/>
              </w:rPr>
              <w:t>》《</w:t>
            </w:r>
            <w:r>
              <w:rPr>
                <w:color w:val="auto"/>
                <w:sz w:val="24"/>
              </w:rPr>
              <w:t>建设项目环境保护管理条例》（国务院682号令）等文件的有关规定，应当在工程项目可行性研究阶段对该项目进行环境影响评价。为此，建设单位委托</w:t>
            </w:r>
            <w:r>
              <w:rPr>
                <w:rFonts w:hint="eastAsia"/>
                <w:color w:val="auto"/>
                <w:sz w:val="24"/>
                <w:lang w:eastAsia="zh-CN"/>
              </w:rPr>
              <w:t>淮安市天蓝环境科技有限公司</w:t>
            </w:r>
            <w:r>
              <w:rPr>
                <w:color w:val="auto"/>
                <w:sz w:val="24"/>
              </w:rPr>
              <w:t>承担该项目的环境影响报告的编制工作，环评单位接受委托后，认真研究该项目的有关材料，并进行实地踏勘、调研，收集和核实了有关材料，依据江苏省建设项目环境</w:t>
            </w:r>
            <w:r>
              <w:rPr>
                <w:rFonts w:hint="eastAsia"/>
                <w:color w:val="auto"/>
                <w:sz w:val="24"/>
              </w:rPr>
              <w:t>影响</w:t>
            </w:r>
            <w:r>
              <w:rPr>
                <w:color w:val="auto"/>
                <w:sz w:val="24"/>
              </w:rPr>
              <w:t>报告表主要内容编制要求编制了本环境影响报告表。</w:t>
            </w:r>
          </w:p>
          <w:p w14:paraId="49AF062F">
            <w:pPr>
              <w:widowControl/>
              <w:adjustRightInd w:val="0"/>
              <w:snapToGrid w:val="0"/>
              <w:spacing w:line="360" w:lineRule="auto"/>
              <w:ind w:firstLine="482" w:firstLineChars="200"/>
              <w:jc w:val="left"/>
              <w:rPr>
                <w:rFonts w:hint="eastAsia" w:ascii="Times New Roman" w:hAnsi="Times New Roman" w:cs="Times New Roman"/>
                <w:b/>
                <w:color w:val="auto"/>
                <w:kern w:val="0"/>
                <w:sz w:val="24"/>
                <w:szCs w:val="20"/>
              </w:rPr>
            </w:pPr>
            <w:r>
              <w:rPr>
                <w:rFonts w:hint="eastAsia" w:ascii="Times New Roman" w:hAnsi="Times New Roman" w:cs="Times New Roman"/>
                <w:b/>
                <w:color w:val="auto"/>
                <w:kern w:val="0"/>
                <w:sz w:val="24"/>
                <w:szCs w:val="20"/>
              </w:rPr>
              <w:t>2.项目概况</w:t>
            </w:r>
          </w:p>
          <w:p w14:paraId="48B77D43">
            <w:pPr>
              <w:wordWrap w:val="0"/>
              <w:spacing w:line="360" w:lineRule="auto"/>
              <w:ind w:firstLine="480" w:firstLineChars="200"/>
              <w:jc w:val="left"/>
              <w:rPr>
                <w:rFonts w:hint="eastAsia" w:ascii="Times New Roman" w:hAnsi="Times New Roman" w:cs="Times New Roman"/>
                <w:color w:val="auto"/>
                <w:sz w:val="24"/>
                <w:szCs w:val="24"/>
                <w:lang w:val="zh-CN"/>
              </w:rPr>
            </w:pPr>
            <w:r>
              <w:rPr>
                <w:rFonts w:hint="eastAsia" w:asciiTheme="minorEastAsia" w:hAnsiTheme="minorEastAsia" w:eastAsiaTheme="minorEastAsia" w:cstheme="minorEastAsia"/>
                <w:color w:val="auto"/>
                <w:sz w:val="24"/>
                <w:lang w:val="zh-CN"/>
              </w:rPr>
              <w:t>项目名称</w:t>
            </w:r>
            <w:r>
              <w:rPr>
                <w:rFonts w:hint="eastAsia" w:ascii="Times New Roman" w:hAnsi="Times New Roman" w:cs="Times New Roman"/>
                <w:color w:val="auto"/>
                <w:sz w:val="24"/>
                <w:lang w:val="zh-CN"/>
              </w:rPr>
              <w:t>：</w:t>
            </w:r>
            <w:r>
              <w:rPr>
                <w:rFonts w:hint="eastAsia" w:ascii="Times New Roman" w:hAnsi="Times New Roman" w:cs="Times New Roman"/>
                <w:color w:val="auto"/>
                <w:sz w:val="24"/>
                <w:szCs w:val="24"/>
              </w:rPr>
              <w:t>盖世食品(江苏)有限公司年产7000吨预制水产及肉类智能制造项目</w:t>
            </w:r>
          </w:p>
          <w:p w14:paraId="59CC79F1">
            <w:pPr>
              <w:wordWrap w:val="0"/>
              <w:spacing w:line="360" w:lineRule="auto"/>
              <w:ind w:firstLine="480" w:firstLineChars="200"/>
              <w:jc w:val="left"/>
              <w:rPr>
                <w:rFonts w:ascii="Times New Roman" w:hAnsi="Times New Roman" w:cs="Times New Roman"/>
                <w:color w:val="auto"/>
                <w:sz w:val="24"/>
                <w:szCs w:val="24"/>
                <w:lang w:val="zh-CN"/>
              </w:rPr>
            </w:pPr>
            <w:r>
              <w:rPr>
                <w:rFonts w:hint="eastAsia" w:ascii="Times New Roman" w:hAnsi="Times New Roman" w:cs="Times New Roman"/>
                <w:color w:val="auto"/>
                <w:sz w:val="24"/>
                <w:szCs w:val="24"/>
                <w:lang w:val="zh-CN"/>
              </w:rPr>
              <w:t>建设单位：</w:t>
            </w:r>
            <w:r>
              <w:rPr>
                <w:rFonts w:ascii="Times New Roman" w:hAnsi="Times New Roman" w:cs="Times New Roman"/>
                <w:color w:val="auto"/>
                <w:sz w:val="24"/>
                <w:szCs w:val="24"/>
              </w:rPr>
              <w:t>盖世食品（江苏）有限公司</w:t>
            </w:r>
          </w:p>
          <w:p w14:paraId="05576906">
            <w:pPr>
              <w:wordWrap w:val="0"/>
              <w:spacing w:line="360" w:lineRule="auto"/>
              <w:ind w:firstLine="480" w:firstLineChars="200"/>
              <w:jc w:val="left"/>
              <w:rPr>
                <w:color w:val="auto"/>
                <w:sz w:val="24"/>
                <w:szCs w:val="24"/>
                <w:lang w:val="zh-CN"/>
              </w:rPr>
            </w:pPr>
            <w:r>
              <w:rPr>
                <w:color w:val="auto"/>
                <w:sz w:val="24"/>
                <w:szCs w:val="24"/>
                <w:lang w:val="zh-CN"/>
              </w:rPr>
              <w:t>行业类别：</w:t>
            </w:r>
            <w:r>
              <w:rPr>
                <w:color w:val="auto"/>
                <w:sz w:val="24"/>
                <w:szCs w:val="24"/>
              </w:rPr>
              <w:t>C1439</w:t>
            </w:r>
            <w:r>
              <w:rPr>
                <w:rFonts w:hint="eastAsia"/>
                <w:color w:val="auto"/>
                <w:sz w:val="24"/>
                <w:szCs w:val="24"/>
              </w:rPr>
              <w:t>其他方便食品制造</w:t>
            </w:r>
          </w:p>
          <w:p w14:paraId="3B32C5CE">
            <w:pPr>
              <w:wordWrap w:val="0"/>
              <w:spacing w:line="360" w:lineRule="auto"/>
              <w:ind w:firstLine="480" w:firstLineChars="200"/>
              <w:jc w:val="left"/>
              <w:rPr>
                <w:rFonts w:hint="eastAsia" w:ascii="Times New Roman" w:hAnsi="Times New Roman" w:cs="Times New Roman"/>
                <w:color w:val="auto"/>
                <w:sz w:val="24"/>
                <w:szCs w:val="24"/>
                <w:lang w:val="zh-CN" w:eastAsia="zh-CN"/>
              </w:rPr>
            </w:pPr>
            <w:r>
              <w:rPr>
                <w:color w:val="auto"/>
                <w:sz w:val="24"/>
                <w:szCs w:val="24"/>
                <w:lang w:val="zh-CN"/>
              </w:rPr>
              <w:t>建设地点：</w:t>
            </w:r>
            <w:r>
              <w:rPr>
                <w:rFonts w:hint="eastAsia" w:cs="Times New Roman"/>
                <w:color w:val="auto"/>
                <w:sz w:val="24"/>
                <w:szCs w:val="24"/>
                <w:lang w:val="en-US" w:eastAsia="zh-CN"/>
              </w:rPr>
              <w:t>江苏涟水经济开发区涟水路3号</w:t>
            </w:r>
          </w:p>
          <w:p w14:paraId="1318F408">
            <w:pPr>
              <w:wordWrap w:val="0"/>
              <w:spacing w:line="360" w:lineRule="auto"/>
              <w:ind w:firstLine="480" w:firstLineChars="200"/>
              <w:jc w:val="left"/>
              <w:rPr>
                <w:color w:val="auto"/>
                <w:sz w:val="24"/>
                <w:szCs w:val="24"/>
                <w:lang w:val="zh-CN"/>
              </w:rPr>
            </w:pPr>
            <w:r>
              <w:rPr>
                <w:color w:val="auto"/>
                <w:sz w:val="24"/>
                <w:szCs w:val="24"/>
                <w:lang w:val="zh-CN"/>
              </w:rPr>
              <w:t>投资总额：</w:t>
            </w:r>
            <w:r>
              <w:rPr>
                <w:rFonts w:hint="eastAsia" w:cs="Times New Roman"/>
                <w:b w:val="0"/>
                <w:bCs/>
                <w:color w:val="auto"/>
                <w:sz w:val="24"/>
                <w:szCs w:val="24"/>
                <w:lang w:val="en-US" w:eastAsia="zh-CN"/>
              </w:rPr>
              <w:t>20000</w:t>
            </w:r>
            <w:r>
              <w:rPr>
                <w:color w:val="auto"/>
                <w:sz w:val="24"/>
                <w:szCs w:val="24"/>
                <w:lang w:val="zh-CN"/>
              </w:rPr>
              <w:t>万元</w:t>
            </w:r>
            <w:r>
              <w:rPr>
                <w:rFonts w:hint="eastAsia"/>
                <w:color w:val="auto"/>
                <w:sz w:val="24"/>
                <w:szCs w:val="24"/>
                <w:lang w:val="zh-CN"/>
              </w:rPr>
              <w:t>，其中环保投资</w:t>
            </w:r>
            <w:r>
              <w:rPr>
                <w:rFonts w:hint="eastAsia"/>
                <w:color w:val="auto"/>
                <w:sz w:val="24"/>
                <w:szCs w:val="24"/>
                <w:lang w:val="en-US" w:eastAsia="zh-CN"/>
              </w:rPr>
              <w:t>200</w:t>
            </w:r>
            <w:r>
              <w:rPr>
                <w:rFonts w:hint="eastAsia"/>
                <w:color w:val="auto"/>
                <w:sz w:val="24"/>
                <w:szCs w:val="24"/>
                <w:lang w:val="zh-CN"/>
              </w:rPr>
              <w:t>万元</w:t>
            </w:r>
          </w:p>
          <w:p w14:paraId="456A5D64">
            <w:pPr>
              <w:wordWrap w:val="0"/>
              <w:spacing w:line="360" w:lineRule="auto"/>
              <w:ind w:firstLine="480" w:firstLineChars="200"/>
              <w:jc w:val="left"/>
              <w:rPr>
                <w:rFonts w:hint="eastAsia" w:eastAsia="宋体"/>
                <w:color w:val="auto"/>
                <w:sz w:val="24"/>
                <w:szCs w:val="24"/>
                <w:lang w:eastAsia="zh-CN"/>
              </w:rPr>
            </w:pPr>
            <w:r>
              <w:rPr>
                <w:color w:val="auto"/>
                <w:sz w:val="24"/>
                <w:szCs w:val="24"/>
                <w:lang w:val="zh-CN"/>
              </w:rPr>
              <w:t>职工人数：</w:t>
            </w:r>
            <w:r>
              <w:rPr>
                <w:rFonts w:hint="eastAsia"/>
                <w:color w:val="auto"/>
                <w:sz w:val="24"/>
                <w:szCs w:val="24"/>
                <w:lang w:eastAsia="zh-CN"/>
              </w:rPr>
              <w:t>技改项目新增员工</w:t>
            </w:r>
            <w:r>
              <w:rPr>
                <w:rFonts w:hint="eastAsia"/>
                <w:color w:val="auto"/>
                <w:sz w:val="24"/>
                <w:szCs w:val="24"/>
                <w:lang w:val="en-US" w:eastAsia="zh-CN"/>
              </w:rPr>
              <w:t>120名</w:t>
            </w:r>
            <w:r>
              <w:rPr>
                <w:rFonts w:hint="eastAsia"/>
                <w:color w:val="auto"/>
                <w:sz w:val="24"/>
                <w:szCs w:val="24"/>
                <w:lang w:eastAsia="zh-CN"/>
              </w:rPr>
              <w:t>。</w:t>
            </w:r>
          </w:p>
          <w:p w14:paraId="13B0058D">
            <w:pPr>
              <w:wordWrap w:val="0"/>
              <w:spacing w:line="360" w:lineRule="auto"/>
              <w:ind w:firstLine="480" w:firstLineChars="200"/>
              <w:jc w:val="left"/>
              <w:rPr>
                <w:color w:val="auto"/>
                <w:sz w:val="24"/>
                <w:szCs w:val="24"/>
              </w:rPr>
            </w:pPr>
            <w:r>
              <w:rPr>
                <w:color w:val="auto"/>
                <w:sz w:val="24"/>
                <w:szCs w:val="24"/>
                <w:lang w:val="zh-CN"/>
              </w:rPr>
              <w:t>工作制度：年工作300天，</w:t>
            </w:r>
            <w:r>
              <w:rPr>
                <w:rFonts w:hint="eastAsia"/>
                <w:color w:val="auto"/>
                <w:sz w:val="24"/>
                <w:szCs w:val="24"/>
                <w:lang w:val="zh-CN"/>
              </w:rPr>
              <w:t>每天</w:t>
            </w:r>
            <w:r>
              <w:rPr>
                <w:rFonts w:hint="eastAsia"/>
                <w:color w:val="auto"/>
                <w:sz w:val="24"/>
                <w:szCs w:val="24"/>
              </w:rPr>
              <w:t>8</w:t>
            </w:r>
            <w:r>
              <w:rPr>
                <w:color w:val="auto"/>
                <w:sz w:val="24"/>
                <w:szCs w:val="24"/>
                <w:lang w:val="zh-CN"/>
              </w:rPr>
              <w:t>小时</w:t>
            </w:r>
            <w:r>
              <w:rPr>
                <w:rFonts w:hint="eastAsia"/>
                <w:color w:val="auto"/>
                <w:sz w:val="24"/>
                <w:szCs w:val="24"/>
                <w:lang w:val="zh-CN"/>
              </w:rPr>
              <w:t>，年工作</w:t>
            </w:r>
            <w:r>
              <w:rPr>
                <w:rFonts w:hint="eastAsia"/>
                <w:color w:val="auto"/>
                <w:sz w:val="24"/>
                <w:szCs w:val="24"/>
                <w:lang w:val="en-US" w:eastAsia="zh-CN"/>
              </w:rPr>
              <w:t>2400</w:t>
            </w:r>
            <w:r>
              <w:rPr>
                <w:rFonts w:hint="eastAsia"/>
                <w:color w:val="auto"/>
                <w:sz w:val="24"/>
                <w:szCs w:val="24"/>
              </w:rPr>
              <w:t>小时。</w:t>
            </w:r>
          </w:p>
          <w:p w14:paraId="08BFB0E1">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Ansi="宋体"/>
                <w:b/>
                <w:bCs/>
                <w:color w:val="auto"/>
                <w:sz w:val="24"/>
              </w:rPr>
            </w:pPr>
            <w:r>
              <w:rPr>
                <w:rFonts w:hint="eastAsia" w:hAnsi="宋体"/>
                <w:b/>
                <w:bCs/>
                <w:color w:val="auto"/>
                <w:sz w:val="24"/>
              </w:rPr>
              <w:t>3</w:t>
            </w:r>
            <w:r>
              <w:rPr>
                <w:rFonts w:hAnsi="宋体"/>
                <w:b/>
                <w:bCs/>
                <w:color w:val="auto"/>
                <w:sz w:val="24"/>
              </w:rPr>
              <w:t>.</w:t>
            </w:r>
            <w:r>
              <w:rPr>
                <w:rFonts w:hint="eastAsia" w:hAnsi="宋体"/>
                <w:b/>
                <w:bCs/>
                <w:color w:val="auto"/>
                <w:sz w:val="24"/>
              </w:rPr>
              <w:t>产品方案</w:t>
            </w:r>
          </w:p>
          <w:p w14:paraId="0DE76AF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bCs/>
                <w:color w:val="auto"/>
                <w:sz w:val="24"/>
              </w:rPr>
            </w:pPr>
            <w:r>
              <w:rPr>
                <w:rFonts w:hint="eastAsia" w:hAnsi="宋体"/>
                <w:color w:val="auto"/>
                <w:sz w:val="24"/>
                <w:lang w:eastAsia="zh-CN"/>
              </w:rPr>
              <w:t>扩建项目建成后</w:t>
            </w:r>
            <w:r>
              <w:rPr>
                <w:rFonts w:hint="eastAsia" w:hAnsi="宋体"/>
                <w:color w:val="auto"/>
                <w:sz w:val="24"/>
              </w:rPr>
              <w:t>全厂</w:t>
            </w:r>
            <w:r>
              <w:rPr>
                <w:rFonts w:hAnsi="宋体"/>
                <w:bCs/>
                <w:color w:val="auto"/>
                <w:sz w:val="24"/>
              </w:rPr>
              <w:t>产品方案见表</w:t>
            </w:r>
            <w:r>
              <w:rPr>
                <w:bCs/>
                <w:color w:val="auto"/>
                <w:sz w:val="24"/>
              </w:rPr>
              <w:t>2-2</w:t>
            </w:r>
            <w:r>
              <w:rPr>
                <w:rFonts w:hAnsi="宋体"/>
                <w:bCs/>
                <w:color w:val="auto"/>
                <w:sz w:val="24"/>
              </w:rPr>
              <w:t>。</w:t>
            </w:r>
          </w:p>
          <w:p w14:paraId="46346880">
            <w:pPr>
              <w:adjustRightInd w:val="0"/>
              <w:snapToGrid w:val="0"/>
              <w:jc w:val="center"/>
              <w:rPr>
                <w:b/>
                <w:color w:val="auto"/>
                <w:szCs w:val="21"/>
              </w:rPr>
            </w:pPr>
            <w:r>
              <w:rPr>
                <w:rFonts w:hAnsi="宋体"/>
                <w:b/>
                <w:color w:val="auto"/>
                <w:sz w:val="24"/>
              </w:rPr>
              <w:t>表</w:t>
            </w:r>
            <w:r>
              <w:rPr>
                <w:b/>
                <w:color w:val="auto"/>
                <w:sz w:val="24"/>
              </w:rPr>
              <w:t>2-2</w:t>
            </w:r>
            <w:r>
              <w:rPr>
                <w:rFonts w:hint="eastAsia" w:hAnsi="宋体"/>
                <w:b/>
                <w:color w:val="auto"/>
                <w:sz w:val="24"/>
              </w:rPr>
              <w:t>全厂</w:t>
            </w:r>
            <w:r>
              <w:rPr>
                <w:rFonts w:hAnsi="宋体"/>
                <w:b/>
                <w:color w:val="auto"/>
                <w:sz w:val="24"/>
              </w:rPr>
              <w:t>产品方案</w:t>
            </w:r>
            <w:r>
              <w:rPr>
                <w:rFonts w:hint="eastAsia" w:hAnsi="宋体"/>
                <w:b/>
                <w:color w:val="auto"/>
                <w:sz w:val="24"/>
              </w:rPr>
              <w:t>单位：t</w:t>
            </w:r>
            <w:r>
              <w:rPr>
                <w:rFonts w:hAnsi="宋体"/>
                <w:b/>
                <w:color w:val="auto"/>
                <w:sz w:val="24"/>
              </w:rPr>
              <w:t>/a</w:t>
            </w:r>
          </w:p>
          <w:tbl>
            <w:tblPr>
              <w:tblStyle w:val="32"/>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20"/>
              <w:gridCol w:w="1493"/>
              <w:gridCol w:w="1736"/>
              <w:gridCol w:w="787"/>
              <w:gridCol w:w="1485"/>
              <w:gridCol w:w="914"/>
              <w:gridCol w:w="1381"/>
            </w:tblGrid>
            <w:tr w14:paraId="16DA29A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368" w:type="pct"/>
                  <w:vAlign w:val="center"/>
                </w:tcPr>
                <w:p w14:paraId="2EDE14D2">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1918" w:type="pct"/>
                  <w:gridSpan w:val="2"/>
                  <w:vAlign w:val="center"/>
                </w:tcPr>
                <w:p w14:paraId="0DF68BEA">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产品名称及规格</w:t>
                  </w:r>
                </w:p>
              </w:tc>
              <w:tc>
                <w:tcPr>
                  <w:tcW w:w="467" w:type="pct"/>
                  <w:vAlign w:val="center"/>
                </w:tcPr>
                <w:p w14:paraId="1DE69AB7">
                  <w:pPr>
                    <w:jc w:val="center"/>
                    <w:rPr>
                      <w:rFonts w:hint="default" w:ascii="Times New Roman" w:hAnsi="Times New Roman" w:eastAsia="宋体" w:cs="Times New Roman"/>
                      <w:b/>
                      <w:bCs/>
                      <w:color w:val="auto"/>
                      <w:sz w:val="21"/>
                      <w:szCs w:val="21"/>
                    </w:rPr>
                  </w:pPr>
                  <w:r>
                    <w:rPr>
                      <w:rFonts w:hint="eastAsia" w:cs="Times New Roman"/>
                      <w:b/>
                      <w:bCs/>
                      <w:color w:val="auto"/>
                      <w:sz w:val="21"/>
                      <w:szCs w:val="21"/>
                      <w:lang w:eastAsia="zh-CN"/>
                    </w:rPr>
                    <w:t>扩建前</w:t>
                  </w:r>
                </w:p>
              </w:tc>
              <w:tc>
                <w:tcPr>
                  <w:tcW w:w="882" w:type="pct"/>
                  <w:vAlign w:val="center"/>
                </w:tcPr>
                <w:p w14:paraId="47981E0F">
                  <w:pPr>
                    <w:jc w:val="center"/>
                    <w:rPr>
                      <w:rFonts w:hint="default" w:ascii="Times New Roman" w:hAnsi="Times New Roman" w:eastAsia="宋体" w:cs="Times New Roman"/>
                      <w:b/>
                      <w:bCs/>
                      <w:color w:val="auto"/>
                      <w:sz w:val="21"/>
                      <w:szCs w:val="21"/>
                    </w:rPr>
                  </w:pPr>
                  <w:r>
                    <w:rPr>
                      <w:rFonts w:hint="eastAsia" w:cs="Times New Roman"/>
                      <w:b/>
                      <w:bCs/>
                      <w:color w:val="auto"/>
                      <w:sz w:val="21"/>
                      <w:szCs w:val="21"/>
                      <w:lang w:eastAsia="zh-CN"/>
                    </w:rPr>
                    <w:t>扩建</w:t>
                  </w:r>
                  <w:r>
                    <w:rPr>
                      <w:rFonts w:hint="default" w:ascii="Times New Roman" w:hAnsi="Times New Roman" w:eastAsia="宋体" w:cs="Times New Roman"/>
                      <w:b/>
                      <w:bCs/>
                      <w:color w:val="auto"/>
                      <w:sz w:val="21"/>
                      <w:szCs w:val="21"/>
                    </w:rPr>
                    <w:t>后全厂</w:t>
                  </w:r>
                </w:p>
              </w:tc>
              <w:tc>
                <w:tcPr>
                  <w:tcW w:w="543" w:type="pct"/>
                  <w:vAlign w:val="center"/>
                </w:tcPr>
                <w:p w14:paraId="79979528">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变化量</w:t>
                  </w:r>
                </w:p>
              </w:tc>
              <w:tc>
                <w:tcPr>
                  <w:tcW w:w="820" w:type="pct"/>
                  <w:vAlign w:val="center"/>
                </w:tcPr>
                <w:p w14:paraId="4B102279">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年运行时数</w:t>
                  </w:r>
                </w:p>
              </w:tc>
            </w:tr>
            <w:tr w14:paraId="7F29065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368" w:type="pct"/>
                  <w:vAlign w:val="center"/>
                </w:tcPr>
                <w:p w14:paraId="00CA7AC5">
                  <w:pPr>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w:t>
                  </w:r>
                </w:p>
              </w:tc>
              <w:tc>
                <w:tcPr>
                  <w:tcW w:w="1918" w:type="pct"/>
                  <w:gridSpan w:val="2"/>
                  <w:vAlign w:val="center"/>
                </w:tcPr>
                <w:p w14:paraId="6EBEF552">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预制凉菜智能制造（加工）项目、研发及检测中心建设项目</w:t>
                  </w:r>
                </w:p>
              </w:tc>
              <w:tc>
                <w:tcPr>
                  <w:tcW w:w="467" w:type="pct"/>
                  <w:vAlign w:val="center"/>
                </w:tcPr>
                <w:p w14:paraId="6FAFE4A9">
                  <w:pPr>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15000</w:t>
                  </w:r>
                </w:p>
              </w:tc>
              <w:tc>
                <w:tcPr>
                  <w:tcW w:w="882" w:type="pct"/>
                  <w:vAlign w:val="center"/>
                </w:tcPr>
                <w:p w14:paraId="59FE48A6">
                  <w:pPr>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val="en-US" w:eastAsia="zh-CN"/>
                    </w:rPr>
                    <w:t>15000</w:t>
                  </w:r>
                </w:p>
              </w:tc>
              <w:tc>
                <w:tcPr>
                  <w:tcW w:w="543" w:type="pct"/>
                  <w:vAlign w:val="center"/>
                </w:tcPr>
                <w:p w14:paraId="255A5174">
                  <w:pPr>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w:t>
                  </w:r>
                </w:p>
              </w:tc>
              <w:tc>
                <w:tcPr>
                  <w:tcW w:w="820" w:type="pct"/>
                  <w:vAlign w:val="center"/>
                </w:tcPr>
                <w:p w14:paraId="0DD4F357">
                  <w:pPr>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2400</w:t>
                  </w:r>
                  <w:r>
                    <w:rPr>
                      <w:rFonts w:hint="eastAsia" w:cs="Times New Roman"/>
                      <w:b w:val="0"/>
                      <w:bCs w:val="0"/>
                      <w:color w:val="auto"/>
                      <w:sz w:val="21"/>
                      <w:szCs w:val="21"/>
                      <w:lang w:val="en-US" w:eastAsia="zh-CN"/>
                    </w:rPr>
                    <w:t>h</w:t>
                  </w:r>
                </w:p>
              </w:tc>
            </w:tr>
            <w:tr w14:paraId="61C7D1B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78" w:hRule="atLeast"/>
                <w:jc w:val="center"/>
              </w:trPr>
              <w:tc>
                <w:tcPr>
                  <w:tcW w:w="368" w:type="pct"/>
                  <w:vAlign w:val="center"/>
                </w:tcPr>
                <w:p w14:paraId="1334634C">
                  <w:pPr>
                    <w:jc w:val="center"/>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val="en-US" w:eastAsia="zh-CN"/>
                    </w:rPr>
                    <w:t>2</w:t>
                  </w:r>
                </w:p>
              </w:tc>
              <w:tc>
                <w:tcPr>
                  <w:tcW w:w="887" w:type="pct"/>
                  <w:vMerge w:val="restart"/>
                  <w:vAlign w:val="center"/>
                </w:tcPr>
                <w:p w14:paraId="647E88E8">
                  <w:pPr>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预制水产及肉类</w:t>
                  </w:r>
                  <w:r>
                    <w:rPr>
                      <w:rFonts w:hint="default" w:ascii="Times New Roman" w:hAnsi="Times New Roman" w:eastAsia="宋体" w:cs="Times New Roman"/>
                      <w:b w:val="0"/>
                      <w:bCs w:val="0"/>
                      <w:color w:val="auto"/>
                      <w:sz w:val="21"/>
                      <w:szCs w:val="21"/>
                    </w:rPr>
                    <w:t>智能制造建设项目</w:t>
                  </w:r>
                </w:p>
              </w:tc>
              <w:tc>
                <w:tcPr>
                  <w:tcW w:w="1031" w:type="pct"/>
                  <w:vAlign w:val="center"/>
                </w:tcPr>
                <w:p w14:paraId="5A5D0F60">
                  <w:pPr>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海珍味生产线</w:t>
                  </w:r>
                </w:p>
              </w:tc>
              <w:tc>
                <w:tcPr>
                  <w:tcW w:w="467" w:type="pct"/>
                  <w:vAlign w:val="center"/>
                </w:tcPr>
                <w:p w14:paraId="22AF1A21">
                  <w:pPr>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w:t>
                  </w:r>
                </w:p>
              </w:tc>
              <w:tc>
                <w:tcPr>
                  <w:tcW w:w="882" w:type="pct"/>
                  <w:vAlign w:val="center"/>
                </w:tcPr>
                <w:p w14:paraId="5D4C0A25">
                  <w:pPr>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3000</w:t>
                  </w:r>
                </w:p>
              </w:tc>
              <w:tc>
                <w:tcPr>
                  <w:tcW w:w="543" w:type="pct"/>
                  <w:vAlign w:val="center"/>
                </w:tcPr>
                <w:p w14:paraId="0A953536">
                  <w:pPr>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+3000</w:t>
                  </w:r>
                </w:p>
              </w:tc>
              <w:tc>
                <w:tcPr>
                  <w:tcW w:w="820" w:type="pct"/>
                  <w:vMerge w:val="restart"/>
                  <w:vAlign w:val="center"/>
                </w:tcPr>
                <w:p w14:paraId="6B3823F5">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2400</w:t>
                  </w:r>
                  <w:r>
                    <w:rPr>
                      <w:rFonts w:hint="default" w:ascii="Times New Roman" w:hAnsi="Times New Roman" w:eastAsia="宋体" w:cs="Times New Roman"/>
                      <w:b w:val="0"/>
                      <w:bCs w:val="0"/>
                      <w:color w:val="auto"/>
                      <w:sz w:val="21"/>
                      <w:szCs w:val="21"/>
                    </w:rPr>
                    <w:t>h</w:t>
                  </w:r>
                </w:p>
              </w:tc>
            </w:tr>
            <w:tr w14:paraId="403D9CD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78" w:hRule="atLeast"/>
                <w:jc w:val="center"/>
              </w:trPr>
              <w:tc>
                <w:tcPr>
                  <w:tcW w:w="368" w:type="pct"/>
                  <w:vAlign w:val="center"/>
                </w:tcPr>
                <w:p w14:paraId="27998E6A">
                  <w:pPr>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3</w:t>
                  </w:r>
                </w:p>
              </w:tc>
              <w:tc>
                <w:tcPr>
                  <w:tcW w:w="887" w:type="pct"/>
                  <w:vMerge w:val="continue"/>
                  <w:vAlign w:val="center"/>
                </w:tcPr>
                <w:p w14:paraId="0CFD9EFD">
                  <w:pPr>
                    <w:jc w:val="center"/>
                    <w:rPr>
                      <w:rFonts w:hint="default" w:ascii="Times New Roman" w:hAnsi="Times New Roman" w:eastAsia="宋体" w:cs="Times New Roman"/>
                      <w:b w:val="0"/>
                      <w:bCs w:val="0"/>
                      <w:color w:val="auto"/>
                      <w:sz w:val="21"/>
                      <w:szCs w:val="21"/>
                      <w:lang w:val="en-US" w:eastAsia="zh-CN"/>
                    </w:rPr>
                  </w:pPr>
                </w:p>
              </w:tc>
              <w:tc>
                <w:tcPr>
                  <w:tcW w:w="1031" w:type="pct"/>
                  <w:vAlign w:val="center"/>
                </w:tcPr>
                <w:p w14:paraId="35E38E8B">
                  <w:pPr>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肉类加工生产线</w:t>
                  </w:r>
                </w:p>
              </w:tc>
              <w:tc>
                <w:tcPr>
                  <w:tcW w:w="467" w:type="pct"/>
                  <w:vAlign w:val="center"/>
                </w:tcPr>
                <w:p w14:paraId="2CD055C0">
                  <w:pPr>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w:t>
                  </w:r>
                </w:p>
              </w:tc>
              <w:tc>
                <w:tcPr>
                  <w:tcW w:w="882" w:type="pct"/>
                  <w:vAlign w:val="center"/>
                </w:tcPr>
                <w:p w14:paraId="63537009">
                  <w:pPr>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3000</w:t>
                  </w:r>
                </w:p>
              </w:tc>
              <w:tc>
                <w:tcPr>
                  <w:tcW w:w="543" w:type="pct"/>
                  <w:vAlign w:val="center"/>
                </w:tcPr>
                <w:p w14:paraId="16A0CFFA">
                  <w:pPr>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+3000</w:t>
                  </w:r>
                </w:p>
              </w:tc>
              <w:tc>
                <w:tcPr>
                  <w:tcW w:w="820" w:type="pct"/>
                  <w:vMerge w:val="continue"/>
                  <w:vAlign w:val="center"/>
                </w:tcPr>
                <w:p w14:paraId="08570FCE">
                  <w:pPr>
                    <w:jc w:val="center"/>
                    <w:rPr>
                      <w:rFonts w:hint="default" w:ascii="Times New Roman" w:hAnsi="Times New Roman" w:eastAsia="宋体" w:cs="Times New Roman"/>
                      <w:b w:val="0"/>
                      <w:bCs w:val="0"/>
                      <w:color w:val="auto"/>
                      <w:sz w:val="21"/>
                      <w:szCs w:val="21"/>
                      <w:lang w:val="en-US" w:eastAsia="zh-CN"/>
                    </w:rPr>
                  </w:pPr>
                </w:p>
              </w:tc>
            </w:tr>
            <w:tr w14:paraId="6A65597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78" w:hRule="atLeast"/>
                <w:jc w:val="center"/>
              </w:trPr>
              <w:tc>
                <w:tcPr>
                  <w:tcW w:w="368" w:type="pct"/>
                  <w:tcBorders>
                    <w:bottom w:val="single" w:color="auto" w:sz="12" w:space="0"/>
                  </w:tcBorders>
                  <w:vAlign w:val="center"/>
                </w:tcPr>
                <w:p w14:paraId="7F9832C0">
                  <w:pPr>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4</w:t>
                  </w:r>
                </w:p>
              </w:tc>
              <w:tc>
                <w:tcPr>
                  <w:tcW w:w="887" w:type="pct"/>
                  <w:vMerge w:val="continue"/>
                  <w:tcBorders>
                    <w:bottom w:val="single" w:color="auto" w:sz="12" w:space="0"/>
                  </w:tcBorders>
                  <w:vAlign w:val="center"/>
                </w:tcPr>
                <w:p w14:paraId="765CBD03">
                  <w:pPr>
                    <w:jc w:val="center"/>
                    <w:rPr>
                      <w:rFonts w:hint="default" w:ascii="Times New Roman" w:hAnsi="Times New Roman" w:eastAsia="宋体" w:cs="Times New Roman"/>
                      <w:b w:val="0"/>
                      <w:bCs w:val="0"/>
                      <w:color w:val="auto"/>
                      <w:sz w:val="21"/>
                      <w:szCs w:val="21"/>
                      <w:lang w:val="en-US" w:eastAsia="zh-CN"/>
                    </w:rPr>
                  </w:pPr>
                </w:p>
              </w:tc>
              <w:tc>
                <w:tcPr>
                  <w:tcW w:w="1031" w:type="pct"/>
                  <w:tcBorders>
                    <w:bottom w:val="single" w:color="auto" w:sz="12" w:space="0"/>
                  </w:tcBorders>
                  <w:vAlign w:val="center"/>
                </w:tcPr>
                <w:p w14:paraId="4405DCA8">
                  <w:pPr>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干燥藻类</w:t>
                  </w:r>
                  <w:r>
                    <w:rPr>
                      <w:rFonts w:hint="eastAsia" w:ascii="Times New Roman" w:hAnsi="Times New Roman" w:eastAsia="宋体" w:cs="Times New Roman"/>
                      <w:b w:val="0"/>
                      <w:bCs w:val="0"/>
                      <w:color w:val="auto"/>
                      <w:sz w:val="21"/>
                      <w:szCs w:val="21"/>
                      <w:lang w:val="en-US" w:eastAsia="zh-CN"/>
                    </w:rPr>
                    <w:t>预制水产生产线</w:t>
                  </w:r>
                </w:p>
              </w:tc>
              <w:tc>
                <w:tcPr>
                  <w:tcW w:w="467" w:type="pct"/>
                  <w:tcBorders>
                    <w:bottom w:val="single" w:color="auto" w:sz="12" w:space="0"/>
                  </w:tcBorders>
                  <w:vAlign w:val="center"/>
                </w:tcPr>
                <w:p w14:paraId="1E6E15C6">
                  <w:pPr>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w:t>
                  </w:r>
                </w:p>
              </w:tc>
              <w:tc>
                <w:tcPr>
                  <w:tcW w:w="882" w:type="pct"/>
                  <w:tcBorders>
                    <w:bottom w:val="single" w:color="auto" w:sz="12" w:space="0"/>
                  </w:tcBorders>
                  <w:vAlign w:val="center"/>
                </w:tcPr>
                <w:p w14:paraId="044CC475">
                  <w:pPr>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1000</w:t>
                  </w:r>
                </w:p>
              </w:tc>
              <w:tc>
                <w:tcPr>
                  <w:tcW w:w="543" w:type="pct"/>
                  <w:tcBorders>
                    <w:bottom w:val="single" w:color="auto" w:sz="12" w:space="0"/>
                  </w:tcBorders>
                  <w:vAlign w:val="center"/>
                </w:tcPr>
                <w:p w14:paraId="51C729AF">
                  <w:pPr>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+1000</w:t>
                  </w:r>
                </w:p>
              </w:tc>
              <w:tc>
                <w:tcPr>
                  <w:tcW w:w="820" w:type="pct"/>
                  <w:vMerge w:val="continue"/>
                  <w:tcBorders>
                    <w:bottom w:val="single" w:color="auto" w:sz="12" w:space="0"/>
                  </w:tcBorders>
                  <w:vAlign w:val="center"/>
                </w:tcPr>
                <w:p w14:paraId="24805932">
                  <w:pPr>
                    <w:jc w:val="center"/>
                    <w:rPr>
                      <w:rFonts w:hint="default" w:ascii="Times New Roman" w:hAnsi="Times New Roman" w:eastAsia="宋体" w:cs="Times New Roman"/>
                      <w:b w:val="0"/>
                      <w:bCs w:val="0"/>
                      <w:color w:val="auto"/>
                      <w:sz w:val="21"/>
                      <w:szCs w:val="21"/>
                      <w:lang w:val="en-US" w:eastAsia="zh-CN"/>
                    </w:rPr>
                  </w:pPr>
                </w:p>
              </w:tc>
            </w:tr>
          </w:tbl>
          <w:p w14:paraId="590211CD">
            <w:pPr>
              <w:widowControl/>
              <w:adjustRightInd w:val="0"/>
              <w:snapToGrid w:val="0"/>
              <w:spacing w:before="120" w:beforeLines="50" w:line="360" w:lineRule="auto"/>
              <w:ind w:firstLine="361" w:firstLineChars="150"/>
              <w:jc w:val="left"/>
              <w:rPr>
                <w:b/>
                <w:color w:val="auto"/>
                <w:kern w:val="0"/>
                <w:sz w:val="24"/>
              </w:rPr>
            </w:pPr>
            <w:r>
              <w:rPr>
                <w:b/>
                <w:color w:val="auto"/>
                <w:kern w:val="0"/>
                <w:sz w:val="24"/>
              </w:rPr>
              <w:t>3.主要原辅料消耗及理化性质</w:t>
            </w:r>
          </w:p>
          <w:p w14:paraId="105E628A">
            <w:pPr>
              <w:pStyle w:val="40"/>
              <w:spacing w:line="360" w:lineRule="auto"/>
              <w:ind w:firstLine="482"/>
              <w:rPr>
                <w:rFonts w:ascii="Times New Roman" w:hAnsi="Times New Roman" w:eastAsia="宋体" w:cs="Times New Roman"/>
                <w:color w:val="auto"/>
              </w:rPr>
            </w:pPr>
            <w:r>
              <w:rPr>
                <w:rFonts w:ascii="Times New Roman" w:hAnsi="Times New Roman" w:eastAsia="宋体" w:cs="Times New Roman"/>
                <w:color w:val="auto"/>
              </w:rPr>
              <w:t>（1）主要原辅料消耗情况</w:t>
            </w:r>
          </w:p>
          <w:p w14:paraId="78AD8090">
            <w:pPr>
              <w:pStyle w:val="40"/>
              <w:spacing w:line="360" w:lineRule="auto"/>
              <w:ind w:firstLine="482"/>
              <w:rPr>
                <w:rFonts w:ascii="Times New Roman" w:hAnsi="Times New Roman" w:eastAsia="宋体" w:cs="Times New Roman"/>
                <w:color w:val="auto"/>
              </w:rPr>
            </w:pPr>
            <w:r>
              <w:rPr>
                <w:rFonts w:ascii="Times New Roman" w:hAnsi="Times New Roman" w:eastAsia="宋体" w:cs="Times New Roman"/>
                <w:color w:val="auto"/>
              </w:rPr>
              <w:t>主要原辅材料消耗情况见表2-3。</w:t>
            </w:r>
          </w:p>
          <w:p w14:paraId="5AF79962">
            <w:pPr>
              <w:pStyle w:val="2"/>
              <w:keepNext w:val="0"/>
              <w:keepLines w:val="0"/>
              <w:pageBreakBefore w:val="0"/>
              <w:widowControl w:val="0"/>
              <w:kinsoku/>
              <w:wordWrap/>
              <w:overflowPunct/>
              <w:topLinePunct w:val="0"/>
              <w:autoSpaceDE/>
              <w:autoSpaceDN/>
              <w:bidi w:val="0"/>
              <w:adjustRightInd/>
              <w:snapToGrid/>
              <w:spacing w:after="0"/>
              <w:ind w:left="0" w:leftChars="0" w:firstLine="482"/>
              <w:jc w:val="center"/>
              <w:textAlignment w:val="auto"/>
              <w:rPr>
                <w:rFonts w:hint="eastAsia"/>
                <w:b/>
                <w:bCs/>
                <w:color w:val="auto"/>
                <w:sz w:val="24"/>
                <w:szCs w:val="24"/>
              </w:rPr>
            </w:pPr>
            <w:r>
              <w:rPr>
                <w:rFonts w:hint="eastAsia"/>
                <w:b/>
                <w:bCs/>
                <w:color w:val="auto"/>
                <w:sz w:val="24"/>
                <w:szCs w:val="24"/>
              </w:rPr>
              <w:t>表2</w:t>
            </w:r>
            <w:r>
              <w:rPr>
                <w:b/>
                <w:bCs/>
                <w:color w:val="auto"/>
                <w:sz w:val="24"/>
                <w:szCs w:val="24"/>
              </w:rPr>
              <w:t>-3</w:t>
            </w:r>
            <w:r>
              <w:rPr>
                <w:rFonts w:hint="eastAsia"/>
                <w:b/>
                <w:bCs/>
                <w:color w:val="auto"/>
                <w:sz w:val="24"/>
                <w:szCs w:val="24"/>
              </w:rPr>
              <w:t>主要原辅料消耗情况</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6" w:type="dxa"/>
                <w:bottom w:w="0" w:type="dxa"/>
                <w:right w:w="6" w:type="dxa"/>
              </w:tblCellMar>
            </w:tblPr>
            <w:tblGrid>
              <w:gridCol w:w="240"/>
              <w:gridCol w:w="1121"/>
              <w:gridCol w:w="1094"/>
              <w:gridCol w:w="428"/>
              <w:gridCol w:w="612"/>
              <w:gridCol w:w="870"/>
              <w:gridCol w:w="796"/>
              <w:gridCol w:w="704"/>
              <w:gridCol w:w="1121"/>
              <w:gridCol w:w="966"/>
              <w:gridCol w:w="467"/>
            </w:tblGrid>
            <w:tr w14:paraId="7D3CC85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6" w:type="dxa"/>
                  <w:bottom w:w="0" w:type="dxa"/>
                  <w:right w:w="6" w:type="dxa"/>
                </w:tblCellMar>
              </w:tblPrEx>
              <w:trPr>
                <w:trHeight w:val="817" w:hRule="atLeast"/>
                <w:tblHeader/>
                <w:jc w:val="center"/>
              </w:trPr>
              <w:tc>
                <w:tcPr>
                  <w:tcW w:w="142" w:type="pct"/>
                  <w:tcBorders>
                    <w:tl2br w:val="nil"/>
                    <w:tr2bl w:val="nil"/>
                  </w:tcBorders>
                  <w:noWrap w:val="0"/>
                  <w:vAlign w:val="center"/>
                </w:tcPr>
                <w:p w14:paraId="3CAF2A92">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序号</w:t>
                  </w:r>
                </w:p>
              </w:tc>
              <w:tc>
                <w:tcPr>
                  <w:tcW w:w="665" w:type="pct"/>
                  <w:tcBorders>
                    <w:tl2br w:val="nil"/>
                    <w:tr2bl w:val="nil"/>
                  </w:tcBorders>
                  <w:noWrap w:val="0"/>
                  <w:vAlign w:val="center"/>
                </w:tcPr>
                <w:p w14:paraId="130EC85F">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名称</w:t>
                  </w:r>
                </w:p>
              </w:tc>
              <w:tc>
                <w:tcPr>
                  <w:tcW w:w="649" w:type="pct"/>
                  <w:tcBorders>
                    <w:tl2br w:val="nil"/>
                    <w:tr2bl w:val="nil"/>
                  </w:tcBorders>
                  <w:noWrap w:val="0"/>
                  <w:vAlign w:val="center"/>
                </w:tcPr>
                <w:p w14:paraId="3E0B7883">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lang w:val="en-US" w:eastAsia="zh-CN"/>
                    </w:rPr>
                    <w:t>成分规格</w:t>
                  </w:r>
                </w:p>
              </w:tc>
              <w:tc>
                <w:tcPr>
                  <w:tcW w:w="254" w:type="pct"/>
                  <w:tcBorders>
                    <w:tl2br w:val="nil"/>
                    <w:tr2bl w:val="nil"/>
                  </w:tcBorders>
                  <w:noWrap w:val="0"/>
                  <w:vAlign w:val="center"/>
                </w:tcPr>
                <w:p w14:paraId="0A6D2CAA">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物态</w:t>
                  </w:r>
                </w:p>
              </w:tc>
              <w:tc>
                <w:tcPr>
                  <w:tcW w:w="363" w:type="pct"/>
                  <w:tcBorders>
                    <w:tl2br w:val="nil"/>
                    <w:tr2bl w:val="nil"/>
                  </w:tcBorders>
                  <w:noWrap w:val="0"/>
                  <w:vAlign w:val="center"/>
                </w:tcPr>
                <w:p w14:paraId="3E0441AF">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b/>
                      <w:bCs/>
                      <w:color w:val="auto"/>
                      <w:sz w:val="21"/>
                      <w:szCs w:val="21"/>
                      <w:lang w:eastAsia="zh-CN"/>
                    </w:rPr>
                  </w:pPr>
                  <w:r>
                    <w:rPr>
                      <w:rFonts w:hint="eastAsia" w:cs="Times New Roman"/>
                      <w:b/>
                      <w:bCs/>
                      <w:color w:val="auto"/>
                      <w:sz w:val="21"/>
                      <w:szCs w:val="21"/>
                      <w:lang w:eastAsia="zh-CN"/>
                    </w:rPr>
                    <w:t>技改</w:t>
                  </w:r>
                  <w:r>
                    <w:rPr>
                      <w:rFonts w:hint="default" w:ascii="Times New Roman" w:hAnsi="Times New Roman" w:eastAsia="宋体" w:cs="Times New Roman"/>
                      <w:b/>
                      <w:bCs/>
                      <w:color w:val="auto"/>
                      <w:sz w:val="21"/>
                      <w:szCs w:val="21"/>
                      <w:lang w:eastAsia="zh-CN"/>
                    </w:rPr>
                    <w:t>前</w:t>
                  </w:r>
                  <w:r>
                    <w:rPr>
                      <w:rFonts w:hint="default" w:ascii="Times New Roman" w:hAnsi="Times New Roman" w:eastAsia="宋体" w:cs="Times New Roman"/>
                      <w:b/>
                      <w:bCs/>
                      <w:color w:val="auto"/>
                      <w:sz w:val="21"/>
                      <w:szCs w:val="21"/>
                    </w:rPr>
                    <w:t>年用量</w:t>
                  </w: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lang w:val="en-US" w:eastAsia="zh-CN"/>
                    </w:rPr>
                    <w:t>吨</w:t>
                  </w:r>
                  <w:r>
                    <w:rPr>
                      <w:rFonts w:hint="default" w:ascii="Times New Roman" w:hAnsi="Times New Roman" w:eastAsia="宋体" w:cs="Times New Roman"/>
                      <w:b/>
                      <w:bCs/>
                      <w:color w:val="auto"/>
                      <w:sz w:val="21"/>
                      <w:szCs w:val="21"/>
                      <w:lang w:eastAsia="zh-CN"/>
                    </w:rPr>
                    <w:t>）</w:t>
                  </w:r>
                </w:p>
              </w:tc>
              <w:tc>
                <w:tcPr>
                  <w:tcW w:w="516" w:type="pct"/>
                  <w:tcBorders>
                    <w:tl2br w:val="nil"/>
                    <w:tr2bl w:val="nil"/>
                  </w:tcBorders>
                  <w:noWrap w:val="0"/>
                  <w:vAlign w:val="center"/>
                </w:tcPr>
                <w:p w14:paraId="4E0D1776">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b/>
                      <w:bCs/>
                      <w:color w:val="auto"/>
                      <w:sz w:val="21"/>
                      <w:szCs w:val="21"/>
                      <w:lang w:eastAsia="zh-CN"/>
                    </w:rPr>
                  </w:pPr>
                  <w:r>
                    <w:rPr>
                      <w:rFonts w:hint="eastAsia" w:cs="Times New Roman"/>
                      <w:b/>
                      <w:bCs/>
                      <w:color w:val="auto"/>
                      <w:sz w:val="21"/>
                      <w:szCs w:val="21"/>
                      <w:lang w:eastAsia="zh-CN"/>
                    </w:rPr>
                    <w:t>技改</w:t>
                  </w:r>
                  <w:r>
                    <w:rPr>
                      <w:rFonts w:hint="default" w:ascii="Times New Roman" w:hAnsi="Times New Roman" w:eastAsia="宋体" w:cs="Times New Roman"/>
                      <w:b/>
                      <w:bCs/>
                      <w:color w:val="auto"/>
                      <w:sz w:val="21"/>
                      <w:szCs w:val="21"/>
                      <w:lang w:eastAsia="zh-CN"/>
                    </w:rPr>
                    <w:t>后全厂年用量（</w:t>
                  </w:r>
                  <w:r>
                    <w:rPr>
                      <w:rFonts w:hint="default" w:ascii="Times New Roman" w:hAnsi="Times New Roman" w:eastAsia="宋体" w:cs="Times New Roman"/>
                      <w:b/>
                      <w:bCs/>
                      <w:color w:val="auto"/>
                      <w:sz w:val="21"/>
                      <w:szCs w:val="21"/>
                      <w:lang w:val="en-US" w:eastAsia="zh-CN"/>
                    </w:rPr>
                    <w:t>吨</w:t>
                  </w:r>
                  <w:r>
                    <w:rPr>
                      <w:rFonts w:hint="default" w:ascii="Times New Roman" w:hAnsi="Times New Roman" w:eastAsia="宋体" w:cs="Times New Roman"/>
                      <w:b/>
                      <w:bCs/>
                      <w:color w:val="auto"/>
                      <w:sz w:val="21"/>
                      <w:szCs w:val="21"/>
                      <w:lang w:eastAsia="zh-CN"/>
                    </w:rPr>
                    <w:t>）</w:t>
                  </w:r>
                </w:p>
              </w:tc>
              <w:tc>
                <w:tcPr>
                  <w:tcW w:w="472" w:type="pct"/>
                  <w:tcBorders>
                    <w:tl2br w:val="nil"/>
                    <w:tr2bl w:val="nil"/>
                  </w:tcBorders>
                  <w:shd w:val="clear" w:color="auto" w:fill="auto"/>
                  <w:noWrap w:val="0"/>
                  <w:vAlign w:val="center"/>
                </w:tcPr>
                <w:p w14:paraId="01718176">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lang w:eastAsia="zh-CN"/>
                    </w:rPr>
                    <w:t>变化情况（</w:t>
                  </w:r>
                  <w:r>
                    <w:rPr>
                      <w:rFonts w:hint="default" w:ascii="Times New Roman" w:hAnsi="Times New Roman" w:eastAsia="宋体" w:cs="Times New Roman"/>
                      <w:b/>
                      <w:bCs/>
                      <w:color w:val="auto"/>
                      <w:sz w:val="21"/>
                      <w:szCs w:val="21"/>
                      <w:lang w:val="en-US" w:eastAsia="zh-CN"/>
                    </w:rPr>
                    <w:t>吨</w:t>
                  </w:r>
                  <w:r>
                    <w:rPr>
                      <w:rFonts w:hint="default" w:ascii="Times New Roman" w:hAnsi="Times New Roman" w:eastAsia="宋体" w:cs="Times New Roman"/>
                      <w:b/>
                      <w:bCs/>
                      <w:color w:val="auto"/>
                      <w:sz w:val="21"/>
                      <w:szCs w:val="21"/>
                      <w:lang w:eastAsia="zh-CN"/>
                    </w:rPr>
                    <w:t>）</w:t>
                  </w:r>
                </w:p>
              </w:tc>
              <w:tc>
                <w:tcPr>
                  <w:tcW w:w="418" w:type="pct"/>
                  <w:tcBorders>
                    <w:tl2br w:val="nil"/>
                    <w:tr2bl w:val="nil"/>
                  </w:tcBorders>
                  <w:noWrap w:val="0"/>
                  <w:vAlign w:val="center"/>
                </w:tcPr>
                <w:p w14:paraId="7D1EC08B">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最大</w:t>
                  </w:r>
                </w:p>
                <w:p w14:paraId="44822564">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储存量</w:t>
                  </w: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lang w:val="en-US" w:eastAsia="zh-CN"/>
                    </w:rPr>
                    <w:t>吨</w:t>
                  </w:r>
                  <w:r>
                    <w:rPr>
                      <w:rFonts w:hint="default" w:ascii="Times New Roman" w:hAnsi="Times New Roman" w:eastAsia="宋体" w:cs="Times New Roman"/>
                      <w:b/>
                      <w:bCs/>
                      <w:color w:val="auto"/>
                      <w:sz w:val="21"/>
                      <w:szCs w:val="21"/>
                      <w:lang w:eastAsia="zh-CN"/>
                    </w:rPr>
                    <w:t>）</w:t>
                  </w:r>
                </w:p>
              </w:tc>
              <w:tc>
                <w:tcPr>
                  <w:tcW w:w="665" w:type="pct"/>
                  <w:tcBorders>
                    <w:tl2br w:val="nil"/>
                    <w:tr2bl w:val="nil"/>
                  </w:tcBorders>
                  <w:noWrap w:val="0"/>
                  <w:vAlign w:val="center"/>
                </w:tcPr>
                <w:p w14:paraId="1E4A2B88">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储存</w:t>
                  </w:r>
                </w:p>
                <w:p w14:paraId="3774B862">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位置</w:t>
                  </w:r>
                </w:p>
              </w:tc>
              <w:tc>
                <w:tcPr>
                  <w:tcW w:w="573" w:type="pct"/>
                  <w:tcBorders>
                    <w:tl2br w:val="nil"/>
                    <w:tr2bl w:val="nil"/>
                  </w:tcBorders>
                  <w:noWrap w:val="0"/>
                  <w:vAlign w:val="center"/>
                </w:tcPr>
                <w:p w14:paraId="02C463FD">
                  <w:pPr>
                    <w:keepNext w:val="0"/>
                    <w:keepLines w:val="0"/>
                    <w:pageBreakBefore w:val="0"/>
                    <w:kinsoku/>
                    <w:wordWrap/>
                    <w:overflowPunct/>
                    <w:topLinePunct w:val="0"/>
                    <w:bidi w:val="0"/>
                    <w:adjustRightInd/>
                    <w:snapToGrid/>
                    <w:ind w:firstLine="0" w:firstLineChars="0"/>
                    <w:jc w:val="center"/>
                    <w:rPr>
                      <w:rFonts w:hint="eastAsia" w:ascii="Times New Roman" w:hAnsi="Times New Roman" w:eastAsia="宋体" w:cs="Times New Roman"/>
                      <w:b/>
                      <w:bCs/>
                      <w:color w:val="auto"/>
                      <w:sz w:val="21"/>
                      <w:szCs w:val="21"/>
                      <w:lang w:eastAsia="zh-CN"/>
                    </w:rPr>
                  </w:pPr>
                  <w:r>
                    <w:rPr>
                      <w:rFonts w:hint="eastAsia" w:cs="Times New Roman"/>
                      <w:b/>
                      <w:bCs/>
                      <w:color w:val="auto"/>
                      <w:sz w:val="21"/>
                      <w:szCs w:val="21"/>
                      <w:lang w:eastAsia="zh-CN"/>
                    </w:rPr>
                    <w:t>备注</w:t>
                  </w:r>
                </w:p>
              </w:tc>
              <w:tc>
                <w:tcPr>
                  <w:tcW w:w="277" w:type="pct"/>
                  <w:tcBorders>
                    <w:tl2br w:val="nil"/>
                    <w:tr2bl w:val="nil"/>
                  </w:tcBorders>
                  <w:noWrap w:val="0"/>
                  <w:vAlign w:val="center"/>
                </w:tcPr>
                <w:p w14:paraId="49FDAF38">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运输方式</w:t>
                  </w:r>
                </w:p>
              </w:tc>
            </w:tr>
            <w:tr w14:paraId="4FA222C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6" w:type="dxa"/>
                  <w:bottom w:w="0" w:type="dxa"/>
                  <w:right w:w="6" w:type="dxa"/>
                </w:tblCellMar>
              </w:tblPrEx>
              <w:trPr>
                <w:trHeight w:val="90" w:hRule="atLeast"/>
                <w:jc w:val="center"/>
              </w:trPr>
              <w:tc>
                <w:tcPr>
                  <w:tcW w:w="142" w:type="pct"/>
                  <w:tcBorders>
                    <w:tl2br w:val="nil"/>
                    <w:tr2bl w:val="nil"/>
                  </w:tcBorders>
                  <w:noWrap w:val="0"/>
                  <w:vAlign w:val="center"/>
                </w:tcPr>
                <w:p w14:paraId="52A183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t>1</w:t>
                  </w:r>
                </w:p>
              </w:tc>
              <w:tc>
                <w:tcPr>
                  <w:tcW w:w="665" w:type="pct"/>
                  <w:tcBorders>
                    <w:tl2br w:val="nil"/>
                    <w:tr2bl w:val="nil"/>
                  </w:tcBorders>
                  <w:noWrap w:val="0"/>
                  <w:vAlign w:val="center"/>
                </w:tcPr>
                <w:p w14:paraId="0A12F14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水产原料</w:t>
                  </w:r>
                </w:p>
              </w:tc>
              <w:tc>
                <w:tcPr>
                  <w:tcW w:w="649" w:type="pct"/>
                  <w:tcBorders>
                    <w:tl2br w:val="nil"/>
                    <w:tr2bl w:val="nil"/>
                  </w:tcBorders>
                  <w:noWrap w:val="0"/>
                  <w:vAlign w:val="center"/>
                </w:tcPr>
                <w:p w14:paraId="13216EB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冷冻鱿鱼</w:t>
                  </w:r>
                </w:p>
              </w:tc>
              <w:tc>
                <w:tcPr>
                  <w:tcW w:w="254" w:type="pct"/>
                  <w:tcBorders>
                    <w:tl2br w:val="nil"/>
                    <w:tr2bl w:val="nil"/>
                  </w:tcBorders>
                  <w:noWrap w:val="0"/>
                  <w:vAlign w:val="center"/>
                </w:tcPr>
                <w:p w14:paraId="478E2C05">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固</w:t>
                  </w:r>
                </w:p>
              </w:tc>
              <w:tc>
                <w:tcPr>
                  <w:tcW w:w="363" w:type="pct"/>
                  <w:tcBorders>
                    <w:tl2br w:val="nil"/>
                    <w:tr2bl w:val="nil"/>
                  </w:tcBorders>
                  <w:noWrap w:val="0"/>
                  <w:vAlign w:val="center"/>
                </w:tcPr>
                <w:p w14:paraId="6476DE75">
                  <w:pPr>
                    <w:keepNext w:val="0"/>
                    <w:keepLines w:val="0"/>
                    <w:pageBreakBefore w:val="0"/>
                    <w:kinsoku/>
                    <w:wordWrap/>
                    <w:overflowPunct/>
                    <w:topLinePunct w:val="0"/>
                    <w:bidi w:val="0"/>
                    <w:adjustRightInd/>
                    <w:snapToGrid/>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0</w:t>
                  </w:r>
                </w:p>
              </w:tc>
              <w:tc>
                <w:tcPr>
                  <w:tcW w:w="516" w:type="pct"/>
                  <w:tcBorders>
                    <w:tl2br w:val="nil"/>
                    <w:tr2bl w:val="nil"/>
                  </w:tcBorders>
                  <w:noWrap w:val="0"/>
                  <w:vAlign w:val="center"/>
                </w:tcPr>
                <w:p w14:paraId="730C9886">
                  <w:pPr>
                    <w:keepNext w:val="0"/>
                    <w:keepLines w:val="0"/>
                    <w:pageBreakBefore w:val="0"/>
                    <w:kinsoku/>
                    <w:wordWrap/>
                    <w:overflowPunct/>
                    <w:topLinePunct w:val="0"/>
                    <w:bidi w:val="0"/>
                    <w:adjustRightInd/>
                    <w:snapToGrid/>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4500</w:t>
                  </w:r>
                </w:p>
              </w:tc>
              <w:tc>
                <w:tcPr>
                  <w:tcW w:w="472" w:type="pct"/>
                  <w:tcBorders>
                    <w:tl2br w:val="nil"/>
                    <w:tr2bl w:val="nil"/>
                  </w:tcBorders>
                  <w:shd w:val="clear" w:color="auto" w:fill="auto"/>
                  <w:noWrap w:val="0"/>
                  <w:vAlign w:val="center"/>
                </w:tcPr>
                <w:p w14:paraId="08DDD063">
                  <w:pPr>
                    <w:keepNext w:val="0"/>
                    <w:keepLines w:val="0"/>
                    <w:pageBreakBefore w:val="0"/>
                    <w:kinsoku/>
                    <w:wordWrap/>
                    <w:overflowPunct/>
                    <w:topLinePunct w:val="0"/>
                    <w:bidi w:val="0"/>
                    <w:adjustRightInd/>
                    <w:snapToGrid/>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+4500</w:t>
                  </w:r>
                </w:p>
              </w:tc>
              <w:tc>
                <w:tcPr>
                  <w:tcW w:w="418" w:type="pct"/>
                  <w:tcBorders>
                    <w:tl2br w:val="nil"/>
                    <w:tr2bl w:val="nil"/>
                  </w:tcBorders>
                  <w:noWrap w:val="0"/>
                  <w:vAlign w:val="center"/>
                </w:tcPr>
                <w:p w14:paraId="49AF4A29">
                  <w:pPr>
                    <w:keepNext w:val="0"/>
                    <w:keepLines w:val="0"/>
                    <w:pageBreakBefore w:val="0"/>
                    <w:kinsoku/>
                    <w:wordWrap/>
                    <w:overflowPunct/>
                    <w:topLinePunct w:val="0"/>
                    <w:bidi w:val="0"/>
                    <w:adjustRightInd/>
                    <w:snapToGrid/>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2000</w:t>
                  </w:r>
                </w:p>
              </w:tc>
              <w:tc>
                <w:tcPr>
                  <w:tcW w:w="665" w:type="pct"/>
                  <w:tcBorders>
                    <w:tl2br w:val="nil"/>
                    <w:tr2bl w:val="nil"/>
                  </w:tcBorders>
                  <w:noWrap w:val="0"/>
                  <w:vAlign w:val="center"/>
                </w:tcPr>
                <w:p w14:paraId="40E9604D">
                  <w:pPr>
                    <w:keepNext w:val="0"/>
                    <w:keepLines w:val="0"/>
                    <w:pageBreakBefore w:val="0"/>
                    <w:kinsoku/>
                    <w:wordWrap/>
                    <w:overflowPunct/>
                    <w:topLinePunct w:val="0"/>
                    <w:bidi w:val="0"/>
                    <w:adjustRightInd/>
                    <w:snapToGrid/>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冷冻库</w:t>
                  </w:r>
                </w:p>
              </w:tc>
              <w:tc>
                <w:tcPr>
                  <w:tcW w:w="573" w:type="pct"/>
                  <w:tcBorders>
                    <w:tl2br w:val="nil"/>
                    <w:tr2bl w:val="nil"/>
                  </w:tcBorders>
                  <w:noWrap w:val="0"/>
                  <w:vAlign w:val="center"/>
                </w:tcPr>
                <w:p w14:paraId="55C126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pPr>
                  <w:r>
                    <w:rPr>
                      <w:rFonts w:hint="eastAsia" w:cs="Times New Roman"/>
                      <w:color w:val="auto"/>
                      <w:sz w:val="21"/>
                      <w:szCs w:val="21"/>
                      <w:lang w:val="en-US" w:eastAsia="zh-CN"/>
                    </w:rPr>
                    <w:t>本项目</w:t>
                  </w:r>
                </w:p>
              </w:tc>
              <w:tc>
                <w:tcPr>
                  <w:tcW w:w="277" w:type="pct"/>
                  <w:vMerge w:val="restart"/>
                  <w:tcBorders>
                    <w:tl2br w:val="nil"/>
                    <w:tr2bl w:val="nil"/>
                  </w:tcBorders>
                  <w:noWrap w:val="0"/>
                  <w:vAlign w:val="center"/>
                </w:tcPr>
                <w:p w14:paraId="11CE1C9C">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sz w:val="21"/>
                      <w:szCs w:val="21"/>
                      <w:lang w:val="en-US" w:eastAsia="zh-CN"/>
                    </w:rPr>
                  </w:pPr>
                  <w:r>
                    <w:rPr>
                      <w:color w:val="auto"/>
                      <w:szCs w:val="21"/>
                    </w:rPr>
                    <w:t>外购，汽运</w:t>
                  </w:r>
                </w:p>
              </w:tc>
            </w:tr>
            <w:tr w14:paraId="2487082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6" w:type="dxa"/>
                  <w:bottom w:w="0" w:type="dxa"/>
                  <w:right w:w="6" w:type="dxa"/>
                </w:tblCellMar>
              </w:tblPrEx>
              <w:trPr>
                <w:trHeight w:val="90" w:hRule="atLeast"/>
                <w:jc w:val="center"/>
              </w:trPr>
              <w:tc>
                <w:tcPr>
                  <w:tcW w:w="142" w:type="pct"/>
                  <w:tcBorders>
                    <w:tl2br w:val="nil"/>
                    <w:tr2bl w:val="nil"/>
                  </w:tcBorders>
                  <w:noWrap w:val="0"/>
                  <w:vAlign w:val="center"/>
                </w:tcPr>
                <w:p w14:paraId="49374B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t>2</w:t>
                  </w:r>
                </w:p>
              </w:tc>
              <w:tc>
                <w:tcPr>
                  <w:tcW w:w="665" w:type="pct"/>
                  <w:tcBorders>
                    <w:tl2br w:val="nil"/>
                    <w:tr2bl w:val="nil"/>
                  </w:tcBorders>
                  <w:noWrap w:val="0"/>
                  <w:vAlign w:val="center"/>
                </w:tcPr>
                <w:p w14:paraId="0448B2C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盐</w:t>
                  </w:r>
                </w:p>
              </w:tc>
              <w:tc>
                <w:tcPr>
                  <w:tcW w:w="649" w:type="pct"/>
                  <w:tcBorders>
                    <w:tl2br w:val="nil"/>
                    <w:tr2bl w:val="nil"/>
                  </w:tcBorders>
                  <w:noWrap w:val="0"/>
                  <w:vAlign w:val="center"/>
                </w:tcPr>
                <w:p w14:paraId="77D016A3">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Na</w:t>
                  </w:r>
                  <w:r>
                    <w:rPr>
                      <w:rFonts w:hint="eastAsia" w:cs="Times New Roman"/>
                      <w:color w:val="auto"/>
                      <w:lang w:val="en-US" w:eastAsia="zh-CN"/>
                    </w:rPr>
                    <w:t>Cl</w:t>
                  </w:r>
                </w:p>
              </w:tc>
              <w:tc>
                <w:tcPr>
                  <w:tcW w:w="254" w:type="pct"/>
                  <w:tcBorders>
                    <w:tl2br w:val="nil"/>
                    <w:tr2bl w:val="nil"/>
                  </w:tcBorders>
                  <w:noWrap w:val="0"/>
                  <w:vAlign w:val="center"/>
                </w:tcPr>
                <w:p w14:paraId="383A761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液</w:t>
                  </w:r>
                </w:p>
              </w:tc>
              <w:tc>
                <w:tcPr>
                  <w:tcW w:w="363" w:type="pct"/>
                  <w:tcBorders>
                    <w:tl2br w:val="nil"/>
                    <w:tr2bl w:val="nil"/>
                  </w:tcBorders>
                  <w:noWrap w:val="0"/>
                  <w:vAlign w:val="center"/>
                </w:tcPr>
                <w:p w14:paraId="0C77EDE7">
                  <w:pPr>
                    <w:keepNext w:val="0"/>
                    <w:keepLines w:val="0"/>
                    <w:pageBreakBefore w:val="0"/>
                    <w:kinsoku/>
                    <w:wordWrap/>
                    <w:overflowPunct/>
                    <w:topLinePunct w:val="0"/>
                    <w:bidi w:val="0"/>
                    <w:adjustRightInd/>
                    <w:snapToGrid/>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0</w:t>
                  </w:r>
                </w:p>
              </w:tc>
              <w:tc>
                <w:tcPr>
                  <w:tcW w:w="516" w:type="pct"/>
                  <w:tcBorders>
                    <w:tl2br w:val="nil"/>
                    <w:tr2bl w:val="nil"/>
                  </w:tcBorders>
                  <w:noWrap w:val="0"/>
                  <w:vAlign w:val="center"/>
                </w:tcPr>
                <w:p w14:paraId="3D04BC80">
                  <w:pPr>
                    <w:keepNext w:val="0"/>
                    <w:keepLines w:val="0"/>
                    <w:pageBreakBefore w:val="0"/>
                    <w:kinsoku/>
                    <w:wordWrap/>
                    <w:overflowPunct/>
                    <w:topLinePunct w:val="0"/>
                    <w:bidi w:val="0"/>
                    <w:adjustRightInd/>
                    <w:snapToGrid/>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150</w:t>
                  </w:r>
                </w:p>
              </w:tc>
              <w:tc>
                <w:tcPr>
                  <w:tcW w:w="472" w:type="pct"/>
                  <w:tcBorders>
                    <w:tl2br w:val="nil"/>
                    <w:tr2bl w:val="nil"/>
                  </w:tcBorders>
                  <w:shd w:val="clear" w:color="auto" w:fill="auto"/>
                  <w:noWrap w:val="0"/>
                  <w:vAlign w:val="center"/>
                </w:tcPr>
                <w:p w14:paraId="0134C748">
                  <w:pPr>
                    <w:keepNext w:val="0"/>
                    <w:keepLines w:val="0"/>
                    <w:pageBreakBefore w:val="0"/>
                    <w:kinsoku/>
                    <w:wordWrap/>
                    <w:overflowPunct/>
                    <w:topLinePunct w:val="0"/>
                    <w:bidi w:val="0"/>
                    <w:adjustRightInd/>
                    <w:snapToGrid/>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+150</w:t>
                  </w:r>
                </w:p>
              </w:tc>
              <w:tc>
                <w:tcPr>
                  <w:tcW w:w="418" w:type="pct"/>
                  <w:tcBorders>
                    <w:tl2br w:val="nil"/>
                    <w:tr2bl w:val="nil"/>
                  </w:tcBorders>
                  <w:noWrap w:val="0"/>
                  <w:vAlign w:val="center"/>
                </w:tcPr>
                <w:p w14:paraId="5F275119">
                  <w:pPr>
                    <w:keepNext w:val="0"/>
                    <w:keepLines w:val="0"/>
                    <w:pageBreakBefore w:val="0"/>
                    <w:kinsoku/>
                    <w:wordWrap/>
                    <w:overflowPunct/>
                    <w:topLinePunct w:val="0"/>
                    <w:bidi w:val="0"/>
                    <w:adjustRightInd/>
                    <w:snapToGrid/>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15</w:t>
                  </w:r>
                </w:p>
              </w:tc>
              <w:tc>
                <w:tcPr>
                  <w:tcW w:w="665" w:type="pct"/>
                  <w:tcBorders>
                    <w:tl2br w:val="nil"/>
                    <w:tr2bl w:val="nil"/>
                  </w:tcBorders>
                  <w:noWrap w:val="0"/>
                  <w:vAlign w:val="center"/>
                </w:tcPr>
                <w:p w14:paraId="33D83097">
                  <w:pPr>
                    <w:keepNext w:val="0"/>
                    <w:keepLines w:val="0"/>
                    <w:pageBreakBefore w:val="0"/>
                    <w:kinsoku/>
                    <w:wordWrap/>
                    <w:overflowPunct/>
                    <w:topLinePunct w:val="0"/>
                    <w:bidi w:val="0"/>
                    <w:adjustRightInd/>
                    <w:snapToGrid/>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辅料库</w:t>
                  </w:r>
                </w:p>
              </w:tc>
              <w:tc>
                <w:tcPr>
                  <w:tcW w:w="573" w:type="pct"/>
                  <w:tcBorders>
                    <w:tl2br w:val="nil"/>
                    <w:tr2bl w:val="nil"/>
                  </w:tcBorders>
                  <w:noWrap w:val="0"/>
                  <w:vAlign w:val="center"/>
                </w:tcPr>
                <w:p w14:paraId="370923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pPr>
                  <w:r>
                    <w:rPr>
                      <w:rFonts w:hint="eastAsia" w:cs="Times New Roman"/>
                      <w:color w:val="auto"/>
                      <w:sz w:val="21"/>
                      <w:szCs w:val="21"/>
                      <w:lang w:val="en-US" w:eastAsia="zh-CN"/>
                    </w:rPr>
                    <w:t>本项目</w:t>
                  </w:r>
                </w:p>
              </w:tc>
              <w:tc>
                <w:tcPr>
                  <w:tcW w:w="277" w:type="pct"/>
                  <w:vMerge w:val="continue"/>
                  <w:tcBorders>
                    <w:tl2br w:val="nil"/>
                    <w:tr2bl w:val="nil"/>
                  </w:tcBorders>
                  <w:noWrap w:val="0"/>
                  <w:vAlign w:val="center"/>
                </w:tcPr>
                <w:p w14:paraId="446A8E5E">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kern w:val="2"/>
                      <w:sz w:val="21"/>
                      <w:szCs w:val="21"/>
                      <w:lang w:val="en-US" w:eastAsia="zh-CN" w:bidi="ar-SA"/>
                    </w:rPr>
                  </w:pPr>
                </w:p>
              </w:tc>
            </w:tr>
            <w:tr w14:paraId="6F1DB54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6" w:type="dxa"/>
                  <w:bottom w:w="0" w:type="dxa"/>
                  <w:right w:w="6" w:type="dxa"/>
                </w:tblCellMar>
              </w:tblPrEx>
              <w:trPr>
                <w:trHeight w:val="90" w:hRule="atLeast"/>
                <w:jc w:val="center"/>
              </w:trPr>
              <w:tc>
                <w:tcPr>
                  <w:tcW w:w="142" w:type="pct"/>
                  <w:tcBorders>
                    <w:tl2br w:val="nil"/>
                    <w:tr2bl w:val="nil"/>
                  </w:tcBorders>
                  <w:noWrap w:val="0"/>
                  <w:vAlign w:val="center"/>
                </w:tcPr>
                <w:p w14:paraId="3FB6B7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t>3</w:t>
                  </w:r>
                </w:p>
              </w:tc>
              <w:tc>
                <w:tcPr>
                  <w:tcW w:w="665" w:type="pct"/>
                  <w:tcBorders>
                    <w:tl2br w:val="nil"/>
                    <w:tr2bl w:val="nil"/>
                  </w:tcBorders>
                  <w:noWrap w:val="0"/>
                  <w:vAlign w:val="center"/>
                </w:tcPr>
                <w:p w14:paraId="561CFEE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碳酸氢钠</w:t>
                  </w:r>
                </w:p>
              </w:tc>
              <w:tc>
                <w:tcPr>
                  <w:tcW w:w="649" w:type="pct"/>
                  <w:tcBorders>
                    <w:tl2br w:val="nil"/>
                    <w:tr2bl w:val="nil"/>
                  </w:tcBorders>
                  <w:noWrap w:val="0"/>
                  <w:vAlign w:val="center"/>
                </w:tcPr>
                <w:p w14:paraId="6884BBB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碳酸氢钠</w:t>
                  </w:r>
                </w:p>
              </w:tc>
              <w:tc>
                <w:tcPr>
                  <w:tcW w:w="254" w:type="pct"/>
                  <w:tcBorders>
                    <w:tl2br w:val="nil"/>
                    <w:tr2bl w:val="nil"/>
                  </w:tcBorders>
                  <w:noWrap w:val="0"/>
                  <w:vAlign w:val="center"/>
                </w:tcPr>
                <w:p w14:paraId="3FC0808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液</w:t>
                  </w:r>
                </w:p>
              </w:tc>
              <w:tc>
                <w:tcPr>
                  <w:tcW w:w="363" w:type="pct"/>
                  <w:tcBorders>
                    <w:tl2br w:val="nil"/>
                    <w:tr2bl w:val="nil"/>
                  </w:tcBorders>
                  <w:noWrap w:val="0"/>
                  <w:vAlign w:val="center"/>
                </w:tcPr>
                <w:p w14:paraId="03CC30C4">
                  <w:pPr>
                    <w:keepNext w:val="0"/>
                    <w:keepLines w:val="0"/>
                    <w:pageBreakBefore w:val="0"/>
                    <w:kinsoku/>
                    <w:wordWrap/>
                    <w:overflowPunct/>
                    <w:topLinePunct w:val="0"/>
                    <w:bidi w:val="0"/>
                    <w:adjustRightInd/>
                    <w:snapToGrid/>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0</w:t>
                  </w:r>
                </w:p>
              </w:tc>
              <w:tc>
                <w:tcPr>
                  <w:tcW w:w="516" w:type="pct"/>
                  <w:tcBorders>
                    <w:tl2br w:val="nil"/>
                    <w:tr2bl w:val="nil"/>
                  </w:tcBorders>
                  <w:noWrap w:val="0"/>
                  <w:vAlign w:val="center"/>
                </w:tcPr>
                <w:p w14:paraId="6DBA1E97">
                  <w:pPr>
                    <w:keepNext w:val="0"/>
                    <w:keepLines w:val="0"/>
                    <w:pageBreakBefore w:val="0"/>
                    <w:kinsoku/>
                    <w:wordWrap/>
                    <w:overflowPunct/>
                    <w:topLinePunct w:val="0"/>
                    <w:bidi w:val="0"/>
                    <w:adjustRightInd/>
                    <w:snapToGrid/>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100</w:t>
                  </w:r>
                </w:p>
              </w:tc>
              <w:tc>
                <w:tcPr>
                  <w:tcW w:w="472" w:type="pct"/>
                  <w:tcBorders>
                    <w:tl2br w:val="nil"/>
                    <w:tr2bl w:val="nil"/>
                  </w:tcBorders>
                  <w:shd w:val="clear" w:color="auto" w:fill="auto"/>
                  <w:noWrap w:val="0"/>
                  <w:vAlign w:val="center"/>
                </w:tcPr>
                <w:p w14:paraId="3E0F8D9E">
                  <w:pPr>
                    <w:keepNext w:val="0"/>
                    <w:keepLines w:val="0"/>
                    <w:pageBreakBefore w:val="0"/>
                    <w:kinsoku/>
                    <w:wordWrap/>
                    <w:overflowPunct/>
                    <w:topLinePunct w:val="0"/>
                    <w:bidi w:val="0"/>
                    <w:adjustRightInd/>
                    <w:snapToGrid/>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+100</w:t>
                  </w:r>
                </w:p>
              </w:tc>
              <w:tc>
                <w:tcPr>
                  <w:tcW w:w="418" w:type="pct"/>
                  <w:tcBorders>
                    <w:tl2br w:val="nil"/>
                    <w:tr2bl w:val="nil"/>
                  </w:tcBorders>
                  <w:noWrap w:val="0"/>
                  <w:vAlign w:val="center"/>
                </w:tcPr>
                <w:p w14:paraId="3BABCCB8">
                  <w:pPr>
                    <w:keepNext w:val="0"/>
                    <w:keepLines w:val="0"/>
                    <w:pageBreakBefore w:val="0"/>
                    <w:kinsoku/>
                    <w:wordWrap/>
                    <w:overflowPunct/>
                    <w:topLinePunct w:val="0"/>
                    <w:bidi w:val="0"/>
                    <w:adjustRightInd/>
                    <w:snapToGrid/>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10</w:t>
                  </w:r>
                </w:p>
              </w:tc>
              <w:tc>
                <w:tcPr>
                  <w:tcW w:w="665" w:type="pct"/>
                  <w:tcBorders>
                    <w:tl2br w:val="nil"/>
                    <w:tr2bl w:val="nil"/>
                  </w:tcBorders>
                  <w:noWrap w:val="0"/>
                  <w:vAlign w:val="center"/>
                </w:tcPr>
                <w:p w14:paraId="75191416">
                  <w:pPr>
                    <w:keepNext w:val="0"/>
                    <w:keepLines w:val="0"/>
                    <w:pageBreakBefore w:val="0"/>
                    <w:kinsoku/>
                    <w:wordWrap/>
                    <w:overflowPunct/>
                    <w:topLinePunct w:val="0"/>
                    <w:bidi w:val="0"/>
                    <w:adjustRightInd/>
                    <w:snapToGrid/>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辅料库</w:t>
                  </w:r>
                </w:p>
              </w:tc>
              <w:tc>
                <w:tcPr>
                  <w:tcW w:w="573" w:type="pct"/>
                  <w:tcBorders>
                    <w:tl2br w:val="nil"/>
                    <w:tr2bl w:val="nil"/>
                  </w:tcBorders>
                  <w:noWrap w:val="0"/>
                  <w:vAlign w:val="center"/>
                </w:tcPr>
                <w:p w14:paraId="4F72D4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pPr>
                  <w:r>
                    <w:rPr>
                      <w:rFonts w:hint="eastAsia" w:cs="Times New Roman"/>
                      <w:color w:val="auto"/>
                      <w:sz w:val="21"/>
                      <w:szCs w:val="21"/>
                      <w:lang w:val="en-US" w:eastAsia="zh-CN"/>
                    </w:rPr>
                    <w:t>本项目</w:t>
                  </w:r>
                </w:p>
              </w:tc>
              <w:tc>
                <w:tcPr>
                  <w:tcW w:w="277" w:type="pct"/>
                  <w:vMerge w:val="continue"/>
                  <w:tcBorders>
                    <w:tl2br w:val="nil"/>
                    <w:tr2bl w:val="nil"/>
                  </w:tcBorders>
                  <w:noWrap w:val="0"/>
                  <w:vAlign w:val="center"/>
                </w:tcPr>
                <w:p w14:paraId="5A390018">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kern w:val="2"/>
                      <w:sz w:val="21"/>
                      <w:szCs w:val="21"/>
                      <w:lang w:val="en-US" w:eastAsia="zh-CN" w:bidi="ar-SA"/>
                    </w:rPr>
                  </w:pPr>
                </w:p>
              </w:tc>
            </w:tr>
            <w:tr w14:paraId="34F14A5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6" w:type="dxa"/>
                  <w:bottom w:w="0" w:type="dxa"/>
                  <w:right w:w="6" w:type="dxa"/>
                </w:tblCellMar>
              </w:tblPrEx>
              <w:trPr>
                <w:trHeight w:val="90" w:hRule="atLeast"/>
                <w:jc w:val="center"/>
              </w:trPr>
              <w:tc>
                <w:tcPr>
                  <w:tcW w:w="142" w:type="pct"/>
                  <w:tcBorders>
                    <w:tl2br w:val="nil"/>
                    <w:tr2bl w:val="nil"/>
                  </w:tcBorders>
                  <w:noWrap w:val="0"/>
                  <w:vAlign w:val="center"/>
                </w:tcPr>
                <w:p w14:paraId="2E4ECD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t>4</w:t>
                  </w:r>
                </w:p>
              </w:tc>
              <w:tc>
                <w:tcPr>
                  <w:tcW w:w="665" w:type="pct"/>
                  <w:tcBorders>
                    <w:tl2br w:val="nil"/>
                    <w:tr2bl w:val="nil"/>
                  </w:tcBorders>
                  <w:noWrap w:val="0"/>
                  <w:vAlign w:val="center"/>
                </w:tcPr>
                <w:p w14:paraId="6A9174A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色拉油</w:t>
                  </w:r>
                </w:p>
              </w:tc>
              <w:tc>
                <w:tcPr>
                  <w:tcW w:w="649" w:type="pct"/>
                  <w:tcBorders>
                    <w:tl2br w:val="nil"/>
                    <w:tr2bl w:val="nil"/>
                  </w:tcBorders>
                  <w:noWrap w:val="0"/>
                  <w:vAlign w:val="center"/>
                </w:tcPr>
                <w:p w14:paraId="6F39C52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色拉油</w:t>
                  </w:r>
                </w:p>
              </w:tc>
              <w:tc>
                <w:tcPr>
                  <w:tcW w:w="254" w:type="pct"/>
                  <w:tcBorders>
                    <w:tl2br w:val="nil"/>
                    <w:tr2bl w:val="nil"/>
                  </w:tcBorders>
                  <w:noWrap w:val="0"/>
                  <w:vAlign w:val="center"/>
                </w:tcPr>
                <w:p w14:paraId="2355B8A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固</w:t>
                  </w:r>
                </w:p>
              </w:tc>
              <w:tc>
                <w:tcPr>
                  <w:tcW w:w="363" w:type="pct"/>
                  <w:tcBorders>
                    <w:tl2br w:val="nil"/>
                    <w:tr2bl w:val="nil"/>
                  </w:tcBorders>
                  <w:noWrap w:val="0"/>
                  <w:vAlign w:val="center"/>
                </w:tcPr>
                <w:p w14:paraId="68CB4435">
                  <w:pPr>
                    <w:keepNext w:val="0"/>
                    <w:keepLines w:val="0"/>
                    <w:pageBreakBefore w:val="0"/>
                    <w:kinsoku/>
                    <w:wordWrap/>
                    <w:overflowPunct/>
                    <w:topLinePunct w:val="0"/>
                    <w:bidi w:val="0"/>
                    <w:adjustRightInd/>
                    <w:snapToGrid/>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0</w:t>
                  </w:r>
                </w:p>
              </w:tc>
              <w:tc>
                <w:tcPr>
                  <w:tcW w:w="516" w:type="pct"/>
                  <w:tcBorders>
                    <w:tl2br w:val="nil"/>
                    <w:tr2bl w:val="nil"/>
                  </w:tcBorders>
                  <w:noWrap w:val="0"/>
                  <w:vAlign w:val="center"/>
                </w:tcPr>
                <w:p w14:paraId="645E8234">
                  <w:pPr>
                    <w:keepNext w:val="0"/>
                    <w:keepLines w:val="0"/>
                    <w:pageBreakBefore w:val="0"/>
                    <w:kinsoku/>
                    <w:wordWrap/>
                    <w:overflowPunct/>
                    <w:topLinePunct w:val="0"/>
                    <w:bidi w:val="0"/>
                    <w:adjustRightInd/>
                    <w:snapToGrid/>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30</w:t>
                  </w:r>
                </w:p>
              </w:tc>
              <w:tc>
                <w:tcPr>
                  <w:tcW w:w="472" w:type="pct"/>
                  <w:tcBorders>
                    <w:tl2br w:val="nil"/>
                    <w:tr2bl w:val="nil"/>
                  </w:tcBorders>
                  <w:shd w:val="clear" w:color="auto" w:fill="auto"/>
                  <w:noWrap w:val="0"/>
                  <w:vAlign w:val="center"/>
                </w:tcPr>
                <w:p w14:paraId="34D8EFF8">
                  <w:pPr>
                    <w:keepNext w:val="0"/>
                    <w:keepLines w:val="0"/>
                    <w:pageBreakBefore w:val="0"/>
                    <w:kinsoku/>
                    <w:wordWrap/>
                    <w:overflowPunct/>
                    <w:topLinePunct w:val="0"/>
                    <w:bidi w:val="0"/>
                    <w:adjustRightInd/>
                    <w:snapToGrid/>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+30</w:t>
                  </w:r>
                </w:p>
              </w:tc>
              <w:tc>
                <w:tcPr>
                  <w:tcW w:w="418" w:type="pct"/>
                  <w:tcBorders>
                    <w:tl2br w:val="nil"/>
                    <w:tr2bl w:val="nil"/>
                  </w:tcBorders>
                  <w:noWrap w:val="0"/>
                  <w:vAlign w:val="center"/>
                </w:tcPr>
                <w:p w14:paraId="40FA7686">
                  <w:pPr>
                    <w:keepNext w:val="0"/>
                    <w:keepLines w:val="0"/>
                    <w:pageBreakBefore w:val="0"/>
                    <w:kinsoku/>
                    <w:wordWrap/>
                    <w:overflowPunct/>
                    <w:topLinePunct w:val="0"/>
                    <w:bidi w:val="0"/>
                    <w:adjustRightInd/>
                    <w:snapToGrid/>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5</w:t>
                  </w:r>
                </w:p>
              </w:tc>
              <w:tc>
                <w:tcPr>
                  <w:tcW w:w="665" w:type="pct"/>
                  <w:tcBorders>
                    <w:tl2br w:val="nil"/>
                    <w:tr2bl w:val="nil"/>
                  </w:tcBorders>
                  <w:noWrap w:val="0"/>
                  <w:vAlign w:val="center"/>
                </w:tcPr>
                <w:p w14:paraId="2945FF38">
                  <w:pPr>
                    <w:keepNext w:val="0"/>
                    <w:keepLines w:val="0"/>
                    <w:pageBreakBefore w:val="0"/>
                    <w:kinsoku/>
                    <w:wordWrap/>
                    <w:overflowPunct/>
                    <w:topLinePunct w:val="0"/>
                    <w:bidi w:val="0"/>
                    <w:adjustRightInd/>
                    <w:snapToGrid/>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辅料库</w:t>
                  </w:r>
                </w:p>
              </w:tc>
              <w:tc>
                <w:tcPr>
                  <w:tcW w:w="573" w:type="pct"/>
                  <w:tcBorders>
                    <w:tl2br w:val="nil"/>
                    <w:tr2bl w:val="nil"/>
                  </w:tcBorders>
                  <w:noWrap w:val="0"/>
                  <w:vAlign w:val="center"/>
                </w:tcPr>
                <w:p w14:paraId="09CDA51C">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pPr>
                  <w:r>
                    <w:rPr>
                      <w:rFonts w:hint="eastAsia" w:cs="Times New Roman"/>
                      <w:color w:val="auto"/>
                      <w:sz w:val="21"/>
                      <w:szCs w:val="21"/>
                      <w:lang w:val="en-US" w:eastAsia="zh-CN"/>
                    </w:rPr>
                    <w:t>本项目</w:t>
                  </w:r>
                </w:p>
              </w:tc>
              <w:tc>
                <w:tcPr>
                  <w:tcW w:w="277" w:type="pct"/>
                  <w:vMerge w:val="continue"/>
                  <w:tcBorders>
                    <w:tl2br w:val="nil"/>
                    <w:tr2bl w:val="nil"/>
                  </w:tcBorders>
                  <w:noWrap w:val="0"/>
                  <w:vAlign w:val="center"/>
                </w:tcPr>
                <w:p w14:paraId="34EFFB82">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kern w:val="2"/>
                      <w:sz w:val="21"/>
                      <w:szCs w:val="21"/>
                      <w:lang w:val="en-US" w:eastAsia="zh-CN" w:bidi="ar-SA"/>
                    </w:rPr>
                  </w:pPr>
                </w:p>
              </w:tc>
            </w:tr>
            <w:tr w14:paraId="781A4E9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6" w:type="dxa"/>
                  <w:bottom w:w="0" w:type="dxa"/>
                  <w:right w:w="6" w:type="dxa"/>
                </w:tblCellMar>
              </w:tblPrEx>
              <w:trPr>
                <w:trHeight w:val="847" w:hRule="atLeast"/>
                <w:jc w:val="center"/>
              </w:trPr>
              <w:tc>
                <w:tcPr>
                  <w:tcW w:w="142" w:type="pct"/>
                  <w:tcBorders>
                    <w:tl2br w:val="nil"/>
                    <w:tr2bl w:val="nil"/>
                  </w:tcBorders>
                  <w:noWrap w:val="0"/>
                  <w:vAlign w:val="center"/>
                </w:tcPr>
                <w:p w14:paraId="3DD042B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5</w:t>
                  </w:r>
                </w:p>
              </w:tc>
              <w:tc>
                <w:tcPr>
                  <w:tcW w:w="665" w:type="pct"/>
                  <w:tcBorders>
                    <w:tl2br w:val="nil"/>
                    <w:tr2bl w:val="nil"/>
                  </w:tcBorders>
                  <w:noWrap w:val="0"/>
                  <w:vAlign w:val="center"/>
                </w:tcPr>
                <w:p w14:paraId="5B31477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r>
                    <w:rPr>
                      <w:rFonts w:hint="eastAsia" w:cs="Times New Roman"/>
                      <w:color w:val="auto"/>
                      <w:lang w:val="en-US" w:eastAsia="zh-CN"/>
                    </w:rPr>
                    <w:t>藻类</w:t>
                  </w:r>
                  <w:r>
                    <w:rPr>
                      <w:rFonts w:hint="eastAsia" w:ascii="Times New Roman" w:hAnsi="Times New Roman" w:eastAsia="宋体" w:cs="Times New Roman"/>
                      <w:color w:val="auto"/>
                      <w:lang w:val="en-US" w:eastAsia="zh-CN"/>
                    </w:rPr>
                    <w:t>原料</w:t>
                  </w:r>
                </w:p>
              </w:tc>
              <w:tc>
                <w:tcPr>
                  <w:tcW w:w="649" w:type="pct"/>
                  <w:tcBorders>
                    <w:tl2br w:val="nil"/>
                    <w:tr2bl w:val="nil"/>
                  </w:tcBorders>
                  <w:noWrap w:val="0"/>
                  <w:vAlign w:val="center"/>
                </w:tcPr>
                <w:p w14:paraId="669E3B73">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冷冻裙</w:t>
                  </w:r>
                </w:p>
                <w:p w14:paraId="5879BE9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带菜叶</w:t>
                  </w:r>
                </w:p>
              </w:tc>
              <w:tc>
                <w:tcPr>
                  <w:tcW w:w="254" w:type="pct"/>
                  <w:tcBorders>
                    <w:tl2br w:val="nil"/>
                    <w:tr2bl w:val="nil"/>
                  </w:tcBorders>
                  <w:noWrap w:val="0"/>
                  <w:vAlign w:val="center"/>
                </w:tcPr>
                <w:p w14:paraId="58E8A3A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r>
                    <w:rPr>
                      <w:rFonts w:hint="eastAsia" w:cs="Times New Roman"/>
                      <w:color w:val="auto"/>
                      <w:lang w:val="en-US" w:eastAsia="zh-CN"/>
                    </w:rPr>
                    <w:t>固</w:t>
                  </w:r>
                </w:p>
              </w:tc>
              <w:tc>
                <w:tcPr>
                  <w:tcW w:w="363" w:type="pct"/>
                  <w:tcBorders>
                    <w:tl2br w:val="nil"/>
                    <w:tr2bl w:val="nil"/>
                  </w:tcBorders>
                  <w:noWrap w:val="0"/>
                  <w:vAlign w:val="center"/>
                </w:tcPr>
                <w:p w14:paraId="77BE7230">
                  <w:pPr>
                    <w:keepNext w:val="0"/>
                    <w:keepLines w:val="0"/>
                    <w:pageBreakBefore w:val="0"/>
                    <w:kinsoku/>
                    <w:wordWrap/>
                    <w:overflowPunct/>
                    <w:topLinePunct w:val="0"/>
                    <w:bidi w:val="0"/>
                    <w:adjustRightInd/>
                    <w:snapToGrid/>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0</w:t>
                  </w:r>
                </w:p>
              </w:tc>
              <w:tc>
                <w:tcPr>
                  <w:tcW w:w="516" w:type="pct"/>
                  <w:tcBorders>
                    <w:tl2br w:val="nil"/>
                    <w:tr2bl w:val="nil"/>
                  </w:tcBorders>
                  <w:noWrap w:val="0"/>
                  <w:vAlign w:val="center"/>
                </w:tcPr>
                <w:p w14:paraId="1309A267">
                  <w:pPr>
                    <w:keepNext w:val="0"/>
                    <w:keepLines w:val="0"/>
                    <w:pageBreakBefore w:val="0"/>
                    <w:kinsoku/>
                    <w:wordWrap/>
                    <w:overflowPunct/>
                    <w:topLinePunct w:val="0"/>
                    <w:bidi w:val="0"/>
                    <w:adjustRightInd/>
                    <w:snapToGrid/>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5000</w:t>
                  </w:r>
                </w:p>
              </w:tc>
              <w:tc>
                <w:tcPr>
                  <w:tcW w:w="472" w:type="pct"/>
                  <w:tcBorders>
                    <w:tl2br w:val="nil"/>
                    <w:tr2bl w:val="nil"/>
                  </w:tcBorders>
                  <w:shd w:val="clear" w:color="auto" w:fill="auto"/>
                  <w:noWrap w:val="0"/>
                  <w:vAlign w:val="center"/>
                </w:tcPr>
                <w:p w14:paraId="5B102858">
                  <w:pPr>
                    <w:keepNext w:val="0"/>
                    <w:keepLines w:val="0"/>
                    <w:pageBreakBefore w:val="0"/>
                    <w:kinsoku/>
                    <w:wordWrap/>
                    <w:overflowPunct/>
                    <w:topLinePunct w:val="0"/>
                    <w:bidi w:val="0"/>
                    <w:adjustRightInd/>
                    <w:snapToGrid/>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+5000</w:t>
                  </w:r>
                </w:p>
              </w:tc>
              <w:tc>
                <w:tcPr>
                  <w:tcW w:w="418" w:type="pct"/>
                  <w:tcBorders>
                    <w:tl2br w:val="nil"/>
                    <w:tr2bl w:val="nil"/>
                  </w:tcBorders>
                  <w:noWrap w:val="0"/>
                  <w:vAlign w:val="center"/>
                </w:tcPr>
                <w:p w14:paraId="111C0D3E">
                  <w:pPr>
                    <w:keepNext w:val="0"/>
                    <w:keepLines w:val="0"/>
                    <w:pageBreakBefore w:val="0"/>
                    <w:kinsoku/>
                    <w:wordWrap/>
                    <w:overflowPunct/>
                    <w:topLinePunct w:val="0"/>
                    <w:bidi w:val="0"/>
                    <w:adjustRightInd/>
                    <w:snapToGrid/>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1000</w:t>
                  </w:r>
                </w:p>
              </w:tc>
              <w:tc>
                <w:tcPr>
                  <w:tcW w:w="665" w:type="pct"/>
                  <w:tcBorders>
                    <w:tl2br w:val="nil"/>
                    <w:tr2bl w:val="nil"/>
                  </w:tcBorders>
                  <w:noWrap w:val="0"/>
                  <w:vAlign w:val="center"/>
                </w:tcPr>
                <w:p w14:paraId="0D11D123">
                  <w:pPr>
                    <w:keepNext w:val="0"/>
                    <w:keepLines w:val="0"/>
                    <w:pageBreakBefore w:val="0"/>
                    <w:kinsoku/>
                    <w:wordWrap/>
                    <w:overflowPunct/>
                    <w:topLinePunct w:val="0"/>
                    <w:bidi w:val="0"/>
                    <w:adjustRightInd/>
                    <w:snapToGrid/>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冷冻库</w:t>
                  </w:r>
                </w:p>
              </w:tc>
              <w:tc>
                <w:tcPr>
                  <w:tcW w:w="573" w:type="pct"/>
                  <w:tcBorders>
                    <w:tl2br w:val="nil"/>
                    <w:tr2bl w:val="nil"/>
                  </w:tcBorders>
                  <w:noWrap w:val="0"/>
                  <w:vAlign w:val="center"/>
                </w:tcPr>
                <w:p w14:paraId="64DC7BF2">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本项目</w:t>
                  </w:r>
                </w:p>
              </w:tc>
              <w:tc>
                <w:tcPr>
                  <w:tcW w:w="277" w:type="pct"/>
                  <w:vMerge w:val="continue"/>
                  <w:tcBorders>
                    <w:tl2br w:val="nil"/>
                    <w:tr2bl w:val="nil"/>
                  </w:tcBorders>
                  <w:noWrap w:val="0"/>
                  <w:vAlign w:val="center"/>
                </w:tcPr>
                <w:p w14:paraId="126304D4">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sz w:val="21"/>
                      <w:szCs w:val="21"/>
                    </w:rPr>
                  </w:pPr>
                </w:p>
              </w:tc>
            </w:tr>
            <w:tr w14:paraId="169B917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6" w:type="dxa"/>
                  <w:bottom w:w="0" w:type="dxa"/>
                  <w:right w:w="6" w:type="dxa"/>
                </w:tblCellMar>
              </w:tblPrEx>
              <w:trPr>
                <w:trHeight w:val="90" w:hRule="atLeast"/>
                <w:jc w:val="center"/>
              </w:trPr>
              <w:tc>
                <w:tcPr>
                  <w:tcW w:w="142" w:type="pct"/>
                  <w:tcBorders>
                    <w:tl2br w:val="nil"/>
                    <w:tr2bl w:val="nil"/>
                  </w:tcBorders>
                  <w:noWrap w:val="0"/>
                  <w:vAlign w:val="center"/>
                </w:tcPr>
                <w:p w14:paraId="643ACA8B">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6</w:t>
                  </w:r>
                </w:p>
              </w:tc>
              <w:tc>
                <w:tcPr>
                  <w:tcW w:w="665" w:type="pct"/>
                  <w:tcBorders>
                    <w:tl2br w:val="nil"/>
                    <w:tr2bl w:val="nil"/>
                  </w:tcBorders>
                  <w:noWrap w:val="0"/>
                  <w:vAlign w:val="center"/>
                </w:tcPr>
                <w:p w14:paraId="0228D142">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eastAsia="zh-CN"/>
                    </w:rPr>
                    <w:t>冷冻牛肉</w:t>
                  </w:r>
                </w:p>
              </w:tc>
              <w:tc>
                <w:tcPr>
                  <w:tcW w:w="649" w:type="pct"/>
                  <w:tcBorders>
                    <w:tl2br w:val="nil"/>
                    <w:tr2bl w:val="nil"/>
                  </w:tcBorders>
                  <w:noWrap w:val="0"/>
                  <w:vAlign w:val="center"/>
                </w:tcPr>
                <w:p w14:paraId="0650F52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冷冻牛肉</w:t>
                  </w:r>
                </w:p>
              </w:tc>
              <w:tc>
                <w:tcPr>
                  <w:tcW w:w="254" w:type="pct"/>
                  <w:tcBorders>
                    <w:tl2br w:val="nil"/>
                    <w:tr2bl w:val="nil"/>
                  </w:tcBorders>
                  <w:noWrap w:val="0"/>
                  <w:vAlign w:val="center"/>
                </w:tcPr>
                <w:p w14:paraId="691ED9A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固</w:t>
                  </w:r>
                </w:p>
              </w:tc>
              <w:tc>
                <w:tcPr>
                  <w:tcW w:w="363" w:type="pct"/>
                  <w:tcBorders>
                    <w:tl2br w:val="nil"/>
                    <w:tr2bl w:val="nil"/>
                  </w:tcBorders>
                  <w:noWrap w:val="0"/>
                  <w:vAlign w:val="center"/>
                </w:tcPr>
                <w:p w14:paraId="5EFC0114">
                  <w:pPr>
                    <w:keepNext w:val="0"/>
                    <w:keepLines w:val="0"/>
                    <w:pageBreakBefore w:val="0"/>
                    <w:kinsoku/>
                    <w:wordWrap/>
                    <w:overflowPunct/>
                    <w:topLinePunct w:val="0"/>
                    <w:bidi w:val="0"/>
                    <w:adjustRightInd/>
                    <w:snapToGrid/>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0</w:t>
                  </w:r>
                </w:p>
              </w:tc>
              <w:tc>
                <w:tcPr>
                  <w:tcW w:w="516" w:type="pct"/>
                  <w:tcBorders>
                    <w:tl2br w:val="nil"/>
                    <w:tr2bl w:val="nil"/>
                  </w:tcBorders>
                  <w:noWrap w:val="0"/>
                  <w:vAlign w:val="center"/>
                </w:tcPr>
                <w:p w14:paraId="41443F08">
                  <w:pPr>
                    <w:keepNext w:val="0"/>
                    <w:keepLines w:val="0"/>
                    <w:pageBreakBefore w:val="0"/>
                    <w:kinsoku/>
                    <w:wordWrap/>
                    <w:overflowPunct/>
                    <w:topLinePunct w:val="0"/>
                    <w:bidi w:val="0"/>
                    <w:adjustRightInd/>
                    <w:snapToGrid/>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4000</w:t>
                  </w:r>
                </w:p>
              </w:tc>
              <w:tc>
                <w:tcPr>
                  <w:tcW w:w="472" w:type="pct"/>
                  <w:tcBorders>
                    <w:tl2br w:val="nil"/>
                    <w:tr2bl w:val="nil"/>
                  </w:tcBorders>
                  <w:shd w:val="clear" w:color="auto" w:fill="auto"/>
                  <w:noWrap w:val="0"/>
                  <w:vAlign w:val="center"/>
                </w:tcPr>
                <w:p w14:paraId="37A08227">
                  <w:pPr>
                    <w:keepNext w:val="0"/>
                    <w:keepLines w:val="0"/>
                    <w:pageBreakBefore w:val="0"/>
                    <w:kinsoku/>
                    <w:wordWrap/>
                    <w:overflowPunct/>
                    <w:topLinePunct w:val="0"/>
                    <w:bidi w:val="0"/>
                    <w:adjustRightInd/>
                    <w:snapToGrid/>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+4000</w:t>
                  </w:r>
                </w:p>
              </w:tc>
              <w:tc>
                <w:tcPr>
                  <w:tcW w:w="418" w:type="pct"/>
                  <w:tcBorders>
                    <w:tl2br w:val="nil"/>
                    <w:tr2bl w:val="nil"/>
                  </w:tcBorders>
                  <w:noWrap w:val="0"/>
                  <w:vAlign w:val="center"/>
                </w:tcPr>
                <w:p w14:paraId="024C8AC5">
                  <w:pPr>
                    <w:keepNext w:val="0"/>
                    <w:keepLines w:val="0"/>
                    <w:pageBreakBefore w:val="0"/>
                    <w:kinsoku/>
                    <w:wordWrap/>
                    <w:overflowPunct/>
                    <w:topLinePunct w:val="0"/>
                    <w:bidi w:val="0"/>
                    <w:adjustRightInd/>
                    <w:snapToGrid/>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1000</w:t>
                  </w:r>
                </w:p>
              </w:tc>
              <w:tc>
                <w:tcPr>
                  <w:tcW w:w="665" w:type="pct"/>
                  <w:tcBorders>
                    <w:tl2br w:val="nil"/>
                    <w:tr2bl w:val="nil"/>
                  </w:tcBorders>
                  <w:noWrap w:val="0"/>
                  <w:vAlign w:val="center"/>
                </w:tcPr>
                <w:p w14:paraId="2D142D21">
                  <w:pPr>
                    <w:keepNext w:val="0"/>
                    <w:keepLines w:val="0"/>
                    <w:pageBreakBefore w:val="0"/>
                    <w:kinsoku/>
                    <w:wordWrap/>
                    <w:overflowPunct/>
                    <w:topLinePunct w:val="0"/>
                    <w:bidi w:val="0"/>
                    <w:adjustRightInd/>
                    <w:snapToGrid/>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冷冻库</w:t>
                  </w:r>
                </w:p>
              </w:tc>
              <w:tc>
                <w:tcPr>
                  <w:tcW w:w="573" w:type="pct"/>
                  <w:tcBorders>
                    <w:tl2br w:val="nil"/>
                    <w:tr2bl w:val="nil"/>
                  </w:tcBorders>
                  <w:noWrap w:val="0"/>
                  <w:vAlign w:val="center"/>
                </w:tcPr>
                <w:p w14:paraId="612662FD">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本项目</w:t>
                  </w:r>
                </w:p>
              </w:tc>
              <w:tc>
                <w:tcPr>
                  <w:tcW w:w="277" w:type="pct"/>
                  <w:vMerge w:val="continue"/>
                  <w:tcBorders>
                    <w:tl2br w:val="nil"/>
                    <w:tr2bl w:val="nil"/>
                  </w:tcBorders>
                  <w:noWrap w:val="0"/>
                  <w:vAlign w:val="center"/>
                </w:tcPr>
                <w:p w14:paraId="606FBA72">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sz w:val="21"/>
                      <w:szCs w:val="21"/>
                    </w:rPr>
                  </w:pPr>
                </w:p>
              </w:tc>
            </w:tr>
            <w:tr w14:paraId="5142E69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6" w:type="dxa"/>
                  <w:bottom w:w="0" w:type="dxa"/>
                  <w:right w:w="6" w:type="dxa"/>
                </w:tblCellMar>
              </w:tblPrEx>
              <w:trPr>
                <w:trHeight w:val="90" w:hRule="atLeast"/>
                <w:jc w:val="center"/>
              </w:trPr>
              <w:tc>
                <w:tcPr>
                  <w:tcW w:w="142" w:type="pct"/>
                  <w:tcBorders>
                    <w:tl2br w:val="nil"/>
                    <w:tr2bl w:val="nil"/>
                  </w:tcBorders>
                  <w:noWrap w:val="0"/>
                  <w:vAlign w:val="center"/>
                </w:tcPr>
                <w:p w14:paraId="7989B233">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7</w:t>
                  </w:r>
                </w:p>
              </w:tc>
              <w:tc>
                <w:tcPr>
                  <w:tcW w:w="665" w:type="pct"/>
                  <w:tcBorders>
                    <w:tl2br w:val="nil"/>
                    <w:tr2bl w:val="nil"/>
                  </w:tcBorders>
                  <w:shd w:val="clear" w:color="auto" w:fill="auto"/>
                  <w:noWrap w:val="0"/>
                  <w:vAlign w:val="center"/>
                </w:tcPr>
                <w:p w14:paraId="15713BB1">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杏鲍菇</w:t>
                  </w:r>
                </w:p>
              </w:tc>
              <w:tc>
                <w:tcPr>
                  <w:tcW w:w="649" w:type="pct"/>
                  <w:tcBorders>
                    <w:tl2br w:val="nil"/>
                    <w:tr2bl w:val="nil"/>
                  </w:tcBorders>
                  <w:shd w:val="clear" w:color="auto" w:fill="auto"/>
                  <w:noWrap w:val="0"/>
                  <w:vAlign w:val="center"/>
                </w:tcPr>
                <w:p w14:paraId="527AA580">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杏鲍菇</w:t>
                  </w:r>
                </w:p>
              </w:tc>
              <w:tc>
                <w:tcPr>
                  <w:tcW w:w="254" w:type="pct"/>
                  <w:tcBorders>
                    <w:tl2br w:val="nil"/>
                    <w:tr2bl w:val="nil"/>
                  </w:tcBorders>
                  <w:shd w:val="clear" w:color="auto" w:fill="auto"/>
                  <w:noWrap w:val="0"/>
                  <w:vAlign w:val="center"/>
                </w:tcPr>
                <w:p w14:paraId="4F43C7D5">
                  <w:pPr>
                    <w:adjustRightInd w:val="0"/>
                    <w:snapToGrid w:val="0"/>
                    <w:jc w:val="center"/>
                    <w:rPr>
                      <w:rFonts w:hint="default" w:ascii="Times New Roman" w:hAnsi="Times New Roman" w:eastAsia="宋体" w:cs="Times New Roman"/>
                      <w:color w:val="auto"/>
                      <w:kern w:val="2"/>
                      <w:sz w:val="21"/>
                      <w:szCs w:val="21"/>
                      <w:lang w:val="en-US" w:eastAsia="zh-CN" w:bidi="ar-SA"/>
                    </w:rPr>
                  </w:pPr>
                  <w:r>
                    <w:rPr>
                      <w:color w:val="auto"/>
                      <w:szCs w:val="21"/>
                    </w:rPr>
                    <w:t>固</w:t>
                  </w:r>
                </w:p>
              </w:tc>
              <w:tc>
                <w:tcPr>
                  <w:tcW w:w="363" w:type="pct"/>
                  <w:tcBorders>
                    <w:tl2br w:val="nil"/>
                    <w:tr2bl w:val="nil"/>
                  </w:tcBorders>
                  <w:shd w:val="clear" w:color="auto" w:fill="auto"/>
                  <w:noWrap w:val="0"/>
                  <w:vAlign w:val="center"/>
                </w:tcPr>
                <w:p w14:paraId="1746ABAF">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7</w:t>
                  </w:r>
                  <w:r>
                    <w:rPr>
                      <w:color w:val="auto"/>
                      <w:szCs w:val="21"/>
                    </w:rPr>
                    <w:t>224</w:t>
                  </w:r>
                </w:p>
              </w:tc>
              <w:tc>
                <w:tcPr>
                  <w:tcW w:w="516" w:type="pct"/>
                  <w:tcBorders>
                    <w:tl2br w:val="nil"/>
                    <w:tr2bl w:val="nil"/>
                  </w:tcBorders>
                  <w:shd w:val="clear" w:color="auto" w:fill="auto"/>
                  <w:noWrap w:val="0"/>
                  <w:vAlign w:val="center"/>
                </w:tcPr>
                <w:p w14:paraId="5F0C0AA2">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7</w:t>
                  </w:r>
                  <w:r>
                    <w:rPr>
                      <w:color w:val="auto"/>
                      <w:szCs w:val="21"/>
                    </w:rPr>
                    <w:t>224</w:t>
                  </w:r>
                </w:p>
              </w:tc>
              <w:tc>
                <w:tcPr>
                  <w:tcW w:w="472" w:type="pct"/>
                  <w:tcBorders>
                    <w:tl2br w:val="nil"/>
                    <w:tr2bl w:val="nil"/>
                  </w:tcBorders>
                  <w:shd w:val="clear" w:color="auto" w:fill="auto"/>
                  <w:noWrap w:val="0"/>
                  <w:vAlign w:val="center"/>
                </w:tcPr>
                <w:p w14:paraId="5A0CB1DC">
                  <w:pPr>
                    <w:keepNext w:val="0"/>
                    <w:keepLines w:val="0"/>
                    <w:pageBreakBefore w:val="0"/>
                    <w:kinsoku/>
                    <w:wordWrap/>
                    <w:overflowPunct/>
                    <w:topLinePunct w:val="0"/>
                    <w:bidi w:val="0"/>
                    <w:adjustRightInd/>
                    <w:snapToGrid/>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0</w:t>
                  </w:r>
                </w:p>
              </w:tc>
              <w:tc>
                <w:tcPr>
                  <w:tcW w:w="418" w:type="pct"/>
                  <w:tcBorders>
                    <w:tl2br w:val="nil"/>
                    <w:tr2bl w:val="nil"/>
                  </w:tcBorders>
                  <w:shd w:val="clear" w:color="auto" w:fill="auto"/>
                  <w:noWrap w:val="0"/>
                  <w:vAlign w:val="center"/>
                </w:tcPr>
                <w:p w14:paraId="028067A4">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50</w:t>
                  </w:r>
                </w:p>
              </w:tc>
              <w:tc>
                <w:tcPr>
                  <w:tcW w:w="665" w:type="pct"/>
                  <w:tcBorders>
                    <w:tl2br w:val="nil"/>
                    <w:tr2bl w:val="nil"/>
                  </w:tcBorders>
                  <w:shd w:val="clear" w:color="auto" w:fill="auto"/>
                  <w:noWrap w:val="0"/>
                  <w:vAlign w:val="center"/>
                </w:tcPr>
                <w:p w14:paraId="35350396">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原料仓库</w:t>
                  </w:r>
                </w:p>
              </w:tc>
              <w:tc>
                <w:tcPr>
                  <w:tcW w:w="573" w:type="pct"/>
                  <w:tcBorders>
                    <w:tl2br w:val="nil"/>
                    <w:tr2bl w:val="nil"/>
                  </w:tcBorders>
                  <w:noWrap w:val="0"/>
                  <w:vAlign w:val="center"/>
                </w:tcPr>
                <w:p w14:paraId="10F8E255">
                  <w:pPr>
                    <w:keepNext w:val="0"/>
                    <w:keepLines w:val="0"/>
                    <w:pageBreakBefore w:val="0"/>
                    <w:kinsoku/>
                    <w:wordWrap/>
                    <w:overflowPunct/>
                    <w:topLinePunct w:val="0"/>
                    <w:bidi w:val="0"/>
                    <w:adjustRightInd/>
                    <w:snapToGrid/>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现有项目</w:t>
                  </w:r>
                </w:p>
              </w:tc>
              <w:tc>
                <w:tcPr>
                  <w:tcW w:w="277" w:type="pct"/>
                  <w:vMerge w:val="continue"/>
                  <w:tcBorders>
                    <w:tl2br w:val="nil"/>
                    <w:tr2bl w:val="nil"/>
                  </w:tcBorders>
                  <w:noWrap w:val="0"/>
                  <w:vAlign w:val="center"/>
                </w:tcPr>
                <w:p w14:paraId="159ED1F8">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sz w:val="21"/>
                      <w:szCs w:val="21"/>
                    </w:rPr>
                  </w:pPr>
                </w:p>
              </w:tc>
            </w:tr>
            <w:tr w14:paraId="7217028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6" w:type="dxa"/>
                  <w:bottom w:w="0" w:type="dxa"/>
                  <w:right w:w="6" w:type="dxa"/>
                </w:tblCellMar>
              </w:tblPrEx>
              <w:trPr>
                <w:trHeight w:val="90" w:hRule="atLeast"/>
                <w:jc w:val="center"/>
              </w:trPr>
              <w:tc>
                <w:tcPr>
                  <w:tcW w:w="142" w:type="pct"/>
                  <w:tcBorders>
                    <w:tl2br w:val="nil"/>
                    <w:tr2bl w:val="nil"/>
                  </w:tcBorders>
                  <w:noWrap w:val="0"/>
                  <w:vAlign w:val="center"/>
                </w:tcPr>
                <w:p w14:paraId="0AC1D353">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10</w:t>
                  </w:r>
                </w:p>
              </w:tc>
              <w:tc>
                <w:tcPr>
                  <w:tcW w:w="665" w:type="pct"/>
                  <w:tcBorders>
                    <w:tl2br w:val="nil"/>
                    <w:tr2bl w:val="nil"/>
                  </w:tcBorders>
                  <w:shd w:val="clear" w:color="auto" w:fill="auto"/>
                  <w:noWrap w:val="0"/>
                  <w:vAlign w:val="center"/>
                </w:tcPr>
                <w:p w14:paraId="56CD2FA2">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黄豆</w:t>
                  </w:r>
                </w:p>
              </w:tc>
              <w:tc>
                <w:tcPr>
                  <w:tcW w:w="649" w:type="pct"/>
                  <w:tcBorders>
                    <w:tl2br w:val="nil"/>
                    <w:tr2bl w:val="nil"/>
                  </w:tcBorders>
                  <w:shd w:val="clear" w:color="auto" w:fill="auto"/>
                  <w:noWrap w:val="0"/>
                  <w:vAlign w:val="center"/>
                </w:tcPr>
                <w:p w14:paraId="7937E64C">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黄豆</w:t>
                  </w:r>
                </w:p>
              </w:tc>
              <w:tc>
                <w:tcPr>
                  <w:tcW w:w="254" w:type="pct"/>
                  <w:tcBorders>
                    <w:tl2br w:val="nil"/>
                    <w:tr2bl w:val="nil"/>
                  </w:tcBorders>
                  <w:shd w:val="clear" w:color="auto" w:fill="auto"/>
                  <w:noWrap w:val="0"/>
                  <w:vAlign w:val="center"/>
                </w:tcPr>
                <w:p w14:paraId="62F26679">
                  <w:pPr>
                    <w:adjustRightInd w:val="0"/>
                    <w:snapToGrid w:val="0"/>
                    <w:jc w:val="center"/>
                    <w:rPr>
                      <w:rFonts w:hint="default" w:ascii="Times New Roman" w:hAnsi="Times New Roman" w:eastAsia="宋体" w:cs="Times New Roman"/>
                      <w:color w:val="auto"/>
                      <w:kern w:val="2"/>
                      <w:sz w:val="21"/>
                      <w:szCs w:val="21"/>
                      <w:lang w:val="en-US" w:eastAsia="zh-CN" w:bidi="ar-SA"/>
                    </w:rPr>
                  </w:pPr>
                  <w:r>
                    <w:rPr>
                      <w:color w:val="auto"/>
                      <w:szCs w:val="21"/>
                    </w:rPr>
                    <w:t>固</w:t>
                  </w:r>
                </w:p>
              </w:tc>
              <w:tc>
                <w:tcPr>
                  <w:tcW w:w="363" w:type="pct"/>
                  <w:tcBorders>
                    <w:tl2br w:val="nil"/>
                    <w:tr2bl w:val="nil"/>
                  </w:tcBorders>
                  <w:shd w:val="clear" w:color="auto" w:fill="auto"/>
                  <w:noWrap w:val="0"/>
                  <w:vAlign w:val="center"/>
                </w:tcPr>
                <w:p w14:paraId="68886804">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3750</w:t>
                  </w:r>
                </w:p>
              </w:tc>
              <w:tc>
                <w:tcPr>
                  <w:tcW w:w="516" w:type="pct"/>
                  <w:tcBorders>
                    <w:tl2br w:val="nil"/>
                    <w:tr2bl w:val="nil"/>
                  </w:tcBorders>
                  <w:shd w:val="clear" w:color="auto" w:fill="auto"/>
                  <w:noWrap w:val="0"/>
                  <w:vAlign w:val="center"/>
                </w:tcPr>
                <w:p w14:paraId="1B436A75">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3750</w:t>
                  </w:r>
                </w:p>
              </w:tc>
              <w:tc>
                <w:tcPr>
                  <w:tcW w:w="472" w:type="pct"/>
                  <w:tcBorders>
                    <w:tl2br w:val="nil"/>
                    <w:tr2bl w:val="nil"/>
                  </w:tcBorders>
                  <w:shd w:val="clear" w:color="auto" w:fill="auto"/>
                  <w:noWrap w:val="0"/>
                  <w:vAlign w:val="center"/>
                </w:tcPr>
                <w:p w14:paraId="09BF5B22">
                  <w:pPr>
                    <w:keepNext w:val="0"/>
                    <w:keepLines w:val="0"/>
                    <w:pageBreakBefore w:val="0"/>
                    <w:kinsoku/>
                    <w:wordWrap/>
                    <w:overflowPunct/>
                    <w:topLinePunct w:val="0"/>
                    <w:bidi w:val="0"/>
                    <w:adjustRightInd/>
                    <w:snapToGrid/>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0</w:t>
                  </w:r>
                </w:p>
              </w:tc>
              <w:tc>
                <w:tcPr>
                  <w:tcW w:w="418" w:type="pct"/>
                  <w:tcBorders>
                    <w:tl2br w:val="nil"/>
                    <w:tr2bl w:val="nil"/>
                  </w:tcBorders>
                  <w:shd w:val="clear" w:color="auto" w:fill="auto"/>
                  <w:noWrap w:val="0"/>
                  <w:vAlign w:val="center"/>
                </w:tcPr>
                <w:p w14:paraId="7BD9BB03">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15</w:t>
                  </w:r>
                </w:p>
              </w:tc>
              <w:tc>
                <w:tcPr>
                  <w:tcW w:w="665" w:type="pct"/>
                  <w:tcBorders>
                    <w:tl2br w:val="nil"/>
                    <w:tr2bl w:val="nil"/>
                  </w:tcBorders>
                  <w:shd w:val="clear" w:color="auto" w:fill="auto"/>
                  <w:noWrap w:val="0"/>
                  <w:vAlign w:val="center"/>
                </w:tcPr>
                <w:p w14:paraId="3269F1C1">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原料仓库</w:t>
                  </w:r>
                </w:p>
              </w:tc>
              <w:tc>
                <w:tcPr>
                  <w:tcW w:w="573" w:type="pct"/>
                  <w:tcBorders>
                    <w:tl2br w:val="nil"/>
                    <w:tr2bl w:val="nil"/>
                  </w:tcBorders>
                  <w:noWrap w:val="0"/>
                  <w:vAlign w:val="center"/>
                </w:tcPr>
                <w:p w14:paraId="1B311B6A">
                  <w:pPr>
                    <w:keepNext w:val="0"/>
                    <w:keepLines w:val="0"/>
                    <w:pageBreakBefore w:val="0"/>
                    <w:kinsoku/>
                    <w:wordWrap/>
                    <w:overflowPunct/>
                    <w:topLinePunct w:val="0"/>
                    <w:bidi w:val="0"/>
                    <w:adjustRightInd/>
                    <w:snapToGrid/>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现有项目</w:t>
                  </w:r>
                </w:p>
              </w:tc>
              <w:tc>
                <w:tcPr>
                  <w:tcW w:w="277" w:type="pct"/>
                  <w:vMerge w:val="continue"/>
                  <w:tcBorders>
                    <w:tl2br w:val="nil"/>
                    <w:tr2bl w:val="nil"/>
                  </w:tcBorders>
                  <w:noWrap w:val="0"/>
                  <w:vAlign w:val="center"/>
                </w:tcPr>
                <w:p w14:paraId="34A85BC3">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sz w:val="21"/>
                      <w:szCs w:val="21"/>
                    </w:rPr>
                  </w:pPr>
                </w:p>
              </w:tc>
            </w:tr>
            <w:tr w14:paraId="69A7560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6" w:type="dxa"/>
                  <w:bottom w:w="0" w:type="dxa"/>
                  <w:right w:w="6" w:type="dxa"/>
                </w:tblCellMar>
              </w:tblPrEx>
              <w:trPr>
                <w:trHeight w:val="90" w:hRule="atLeast"/>
                <w:jc w:val="center"/>
              </w:trPr>
              <w:tc>
                <w:tcPr>
                  <w:tcW w:w="142" w:type="pct"/>
                  <w:tcBorders>
                    <w:tl2br w:val="nil"/>
                    <w:tr2bl w:val="nil"/>
                  </w:tcBorders>
                  <w:noWrap w:val="0"/>
                  <w:vAlign w:val="center"/>
                </w:tcPr>
                <w:p w14:paraId="402B5543">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11</w:t>
                  </w:r>
                </w:p>
              </w:tc>
              <w:tc>
                <w:tcPr>
                  <w:tcW w:w="665" w:type="pct"/>
                  <w:tcBorders>
                    <w:tl2br w:val="nil"/>
                    <w:tr2bl w:val="nil"/>
                  </w:tcBorders>
                  <w:shd w:val="clear" w:color="auto" w:fill="auto"/>
                  <w:noWrap w:val="0"/>
                  <w:vAlign w:val="center"/>
                </w:tcPr>
                <w:p w14:paraId="4923B382">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芥兰</w:t>
                  </w:r>
                </w:p>
              </w:tc>
              <w:tc>
                <w:tcPr>
                  <w:tcW w:w="649" w:type="pct"/>
                  <w:tcBorders>
                    <w:tl2br w:val="nil"/>
                    <w:tr2bl w:val="nil"/>
                  </w:tcBorders>
                  <w:shd w:val="clear" w:color="auto" w:fill="auto"/>
                  <w:noWrap w:val="0"/>
                  <w:vAlign w:val="center"/>
                </w:tcPr>
                <w:p w14:paraId="4CB89CE3">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芥兰</w:t>
                  </w:r>
                </w:p>
              </w:tc>
              <w:tc>
                <w:tcPr>
                  <w:tcW w:w="254" w:type="pct"/>
                  <w:tcBorders>
                    <w:tl2br w:val="nil"/>
                    <w:tr2bl w:val="nil"/>
                  </w:tcBorders>
                  <w:shd w:val="clear" w:color="auto" w:fill="auto"/>
                  <w:noWrap w:val="0"/>
                  <w:vAlign w:val="center"/>
                </w:tcPr>
                <w:p w14:paraId="0C0683AE">
                  <w:pPr>
                    <w:adjustRightInd w:val="0"/>
                    <w:snapToGrid w:val="0"/>
                    <w:jc w:val="center"/>
                    <w:rPr>
                      <w:rFonts w:hint="default" w:ascii="Times New Roman" w:hAnsi="Times New Roman" w:eastAsia="宋体" w:cs="Times New Roman"/>
                      <w:color w:val="auto"/>
                      <w:kern w:val="2"/>
                      <w:sz w:val="21"/>
                      <w:szCs w:val="21"/>
                      <w:lang w:val="en-US" w:eastAsia="zh-CN" w:bidi="ar-SA"/>
                    </w:rPr>
                  </w:pPr>
                  <w:r>
                    <w:rPr>
                      <w:color w:val="auto"/>
                      <w:szCs w:val="21"/>
                    </w:rPr>
                    <w:t>固</w:t>
                  </w:r>
                </w:p>
              </w:tc>
              <w:tc>
                <w:tcPr>
                  <w:tcW w:w="363" w:type="pct"/>
                  <w:tcBorders>
                    <w:tl2br w:val="nil"/>
                    <w:tr2bl w:val="nil"/>
                  </w:tcBorders>
                  <w:shd w:val="clear" w:color="auto" w:fill="auto"/>
                  <w:noWrap w:val="0"/>
                  <w:vAlign w:val="center"/>
                </w:tcPr>
                <w:p w14:paraId="7EA21D91">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625</w:t>
                  </w:r>
                </w:p>
              </w:tc>
              <w:tc>
                <w:tcPr>
                  <w:tcW w:w="516" w:type="pct"/>
                  <w:tcBorders>
                    <w:tl2br w:val="nil"/>
                    <w:tr2bl w:val="nil"/>
                  </w:tcBorders>
                  <w:shd w:val="clear" w:color="auto" w:fill="auto"/>
                  <w:noWrap w:val="0"/>
                  <w:vAlign w:val="center"/>
                </w:tcPr>
                <w:p w14:paraId="1F8CDDCD">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625</w:t>
                  </w:r>
                </w:p>
              </w:tc>
              <w:tc>
                <w:tcPr>
                  <w:tcW w:w="472" w:type="pct"/>
                  <w:tcBorders>
                    <w:tl2br w:val="nil"/>
                    <w:tr2bl w:val="nil"/>
                  </w:tcBorders>
                  <w:shd w:val="clear" w:color="auto" w:fill="auto"/>
                  <w:noWrap w:val="0"/>
                  <w:vAlign w:val="center"/>
                </w:tcPr>
                <w:p w14:paraId="67974573">
                  <w:pPr>
                    <w:keepNext w:val="0"/>
                    <w:keepLines w:val="0"/>
                    <w:pageBreakBefore w:val="0"/>
                    <w:kinsoku/>
                    <w:wordWrap/>
                    <w:overflowPunct/>
                    <w:topLinePunct w:val="0"/>
                    <w:bidi w:val="0"/>
                    <w:adjustRightInd/>
                    <w:snapToGrid/>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0</w:t>
                  </w:r>
                </w:p>
              </w:tc>
              <w:tc>
                <w:tcPr>
                  <w:tcW w:w="418" w:type="pct"/>
                  <w:tcBorders>
                    <w:tl2br w:val="nil"/>
                    <w:tr2bl w:val="nil"/>
                  </w:tcBorders>
                  <w:shd w:val="clear" w:color="auto" w:fill="auto"/>
                  <w:noWrap w:val="0"/>
                  <w:vAlign w:val="center"/>
                </w:tcPr>
                <w:p w14:paraId="0771C065">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5</w:t>
                  </w:r>
                </w:p>
              </w:tc>
              <w:tc>
                <w:tcPr>
                  <w:tcW w:w="665" w:type="pct"/>
                  <w:tcBorders>
                    <w:tl2br w:val="nil"/>
                    <w:tr2bl w:val="nil"/>
                  </w:tcBorders>
                  <w:shd w:val="clear" w:color="auto" w:fill="auto"/>
                  <w:noWrap w:val="0"/>
                  <w:vAlign w:val="center"/>
                </w:tcPr>
                <w:p w14:paraId="43BE3213">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原料仓库</w:t>
                  </w:r>
                </w:p>
              </w:tc>
              <w:tc>
                <w:tcPr>
                  <w:tcW w:w="573" w:type="pct"/>
                  <w:tcBorders>
                    <w:tl2br w:val="nil"/>
                    <w:tr2bl w:val="nil"/>
                  </w:tcBorders>
                  <w:noWrap w:val="0"/>
                  <w:vAlign w:val="center"/>
                </w:tcPr>
                <w:p w14:paraId="638F46D9">
                  <w:pPr>
                    <w:keepNext w:val="0"/>
                    <w:keepLines w:val="0"/>
                    <w:pageBreakBefore w:val="0"/>
                    <w:kinsoku/>
                    <w:wordWrap/>
                    <w:overflowPunct/>
                    <w:topLinePunct w:val="0"/>
                    <w:bidi w:val="0"/>
                    <w:adjustRightInd/>
                    <w:snapToGrid/>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现有项目</w:t>
                  </w:r>
                </w:p>
              </w:tc>
              <w:tc>
                <w:tcPr>
                  <w:tcW w:w="277" w:type="pct"/>
                  <w:vMerge w:val="continue"/>
                  <w:tcBorders>
                    <w:tl2br w:val="nil"/>
                    <w:tr2bl w:val="nil"/>
                  </w:tcBorders>
                  <w:noWrap w:val="0"/>
                  <w:vAlign w:val="center"/>
                </w:tcPr>
                <w:p w14:paraId="3952BD8D">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sz w:val="21"/>
                      <w:szCs w:val="21"/>
                    </w:rPr>
                  </w:pPr>
                </w:p>
              </w:tc>
            </w:tr>
            <w:tr w14:paraId="7CE0B93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6" w:type="dxa"/>
                  <w:bottom w:w="0" w:type="dxa"/>
                  <w:right w:w="6" w:type="dxa"/>
                </w:tblCellMar>
              </w:tblPrEx>
              <w:trPr>
                <w:trHeight w:val="90" w:hRule="atLeast"/>
                <w:jc w:val="center"/>
              </w:trPr>
              <w:tc>
                <w:tcPr>
                  <w:tcW w:w="142" w:type="pct"/>
                  <w:tcBorders>
                    <w:tl2br w:val="nil"/>
                    <w:tr2bl w:val="nil"/>
                  </w:tcBorders>
                  <w:noWrap w:val="0"/>
                  <w:vAlign w:val="center"/>
                </w:tcPr>
                <w:p w14:paraId="4564A1A1">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12</w:t>
                  </w:r>
                </w:p>
              </w:tc>
              <w:tc>
                <w:tcPr>
                  <w:tcW w:w="665" w:type="pct"/>
                  <w:tcBorders>
                    <w:tl2br w:val="nil"/>
                    <w:tr2bl w:val="nil"/>
                  </w:tcBorders>
                  <w:shd w:val="clear" w:color="auto" w:fill="auto"/>
                  <w:noWrap w:val="0"/>
                  <w:vAlign w:val="center"/>
                </w:tcPr>
                <w:p w14:paraId="3D4B16DC">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莲藕</w:t>
                  </w:r>
                </w:p>
              </w:tc>
              <w:tc>
                <w:tcPr>
                  <w:tcW w:w="649" w:type="pct"/>
                  <w:tcBorders>
                    <w:tl2br w:val="nil"/>
                    <w:tr2bl w:val="nil"/>
                  </w:tcBorders>
                  <w:shd w:val="clear" w:color="auto" w:fill="auto"/>
                  <w:noWrap w:val="0"/>
                  <w:vAlign w:val="center"/>
                </w:tcPr>
                <w:p w14:paraId="2D583A4E">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莲藕</w:t>
                  </w:r>
                </w:p>
              </w:tc>
              <w:tc>
                <w:tcPr>
                  <w:tcW w:w="254" w:type="pct"/>
                  <w:tcBorders>
                    <w:tl2br w:val="nil"/>
                    <w:tr2bl w:val="nil"/>
                  </w:tcBorders>
                  <w:shd w:val="clear" w:color="auto" w:fill="auto"/>
                  <w:noWrap w:val="0"/>
                  <w:vAlign w:val="center"/>
                </w:tcPr>
                <w:p w14:paraId="7CB52CF1">
                  <w:pPr>
                    <w:adjustRightInd w:val="0"/>
                    <w:snapToGrid w:val="0"/>
                    <w:jc w:val="center"/>
                    <w:rPr>
                      <w:rFonts w:hint="default" w:ascii="Times New Roman" w:hAnsi="Times New Roman" w:eastAsia="宋体" w:cs="Times New Roman"/>
                      <w:color w:val="auto"/>
                      <w:kern w:val="2"/>
                      <w:sz w:val="21"/>
                      <w:szCs w:val="21"/>
                      <w:lang w:val="en-US" w:eastAsia="zh-CN" w:bidi="ar-SA"/>
                    </w:rPr>
                  </w:pPr>
                  <w:r>
                    <w:rPr>
                      <w:color w:val="auto"/>
                      <w:szCs w:val="21"/>
                    </w:rPr>
                    <w:t>固</w:t>
                  </w:r>
                </w:p>
              </w:tc>
              <w:tc>
                <w:tcPr>
                  <w:tcW w:w="363" w:type="pct"/>
                  <w:tcBorders>
                    <w:tl2br w:val="nil"/>
                    <w:tr2bl w:val="nil"/>
                  </w:tcBorders>
                  <w:shd w:val="clear" w:color="auto" w:fill="auto"/>
                  <w:noWrap w:val="0"/>
                  <w:vAlign w:val="center"/>
                </w:tcPr>
                <w:p w14:paraId="3B37241B">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4375</w:t>
                  </w:r>
                </w:p>
              </w:tc>
              <w:tc>
                <w:tcPr>
                  <w:tcW w:w="516" w:type="pct"/>
                  <w:tcBorders>
                    <w:tl2br w:val="nil"/>
                    <w:tr2bl w:val="nil"/>
                  </w:tcBorders>
                  <w:shd w:val="clear" w:color="auto" w:fill="auto"/>
                  <w:noWrap w:val="0"/>
                  <w:vAlign w:val="center"/>
                </w:tcPr>
                <w:p w14:paraId="69331243">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4375</w:t>
                  </w:r>
                </w:p>
              </w:tc>
              <w:tc>
                <w:tcPr>
                  <w:tcW w:w="472" w:type="pct"/>
                  <w:tcBorders>
                    <w:tl2br w:val="nil"/>
                    <w:tr2bl w:val="nil"/>
                  </w:tcBorders>
                  <w:shd w:val="clear" w:color="auto" w:fill="auto"/>
                  <w:noWrap w:val="0"/>
                  <w:vAlign w:val="center"/>
                </w:tcPr>
                <w:p w14:paraId="0E139C22">
                  <w:pPr>
                    <w:keepNext w:val="0"/>
                    <w:keepLines w:val="0"/>
                    <w:pageBreakBefore w:val="0"/>
                    <w:kinsoku/>
                    <w:wordWrap/>
                    <w:overflowPunct/>
                    <w:topLinePunct w:val="0"/>
                    <w:bidi w:val="0"/>
                    <w:adjustRightInd/>
                    <w:snapToGrid/>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0</w:t>
                  </w:r>
                </w:p>
              </w:tc>
              <w:tc>
                <w:tcPr>
                  <w:tcW w:w="418" w:type="pct"/>
                  <w:tcBorders>
                    <w:tl2br w:val="nil"/>
                    <w:tr2bl w:val="nil"/>
                  </w:tcBorders>
                  <w:shd w:val="clear" w:color="auto" w:fill="auto"/>
                  <w:noWrap w:val="0"/>
                  <w:vAlign w:val="center"/>
                </w:tcPr>
                <w:p w14:paraId="622E272E">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20</w:t>
                  </w:r>
                </w:p>
              </w:tc>
              <w:tc>
                <w:tcPr>
                  <w:tcW w:w="665" w:type="pct"/>
                  <w:tcBorders>
                    <w:tl2br w:val="nil"/>
                    <w:tr2bl w:val="nil"/>
                  </w:tcBorders>
                  <w:shd w:val="clear" w:color="auto" w:fill="auto"/>
                  <w:noWrap w:val="0"/>
                  <w:vAlign w:val="center"/>
                </w:tcPr>
                <w:p w14:paraId="7B7A0027">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原料仓库</w:t>
                  </w:r>
                </w:p>
              </w:tc>
              <w:tc>
                <w:tcPr>
                  <w:tcW w:w="573" w:type="pct"/>
                  <w:tcBorders>
                    <w:tl2br w:val="nil"/>
                    <w:tr2bl w:val="nil"/>
                  </w:tcBorders>
                  <w:noWrap w:val="0"/>
                  <w:vAlign w:val="center"/>
                </w:tcPr>
                <w:p w14:paraId="0C90E786">
                  <w:pPr>
                    <w:keepNext w:val="0"/>
                    <w:keepLines w:val="0"/>
                    <w:pageBreakBefore w:val="0"/>
                    <w:kinsoku/>
                    <w:wordWrap/>
                    <w:overflowPunct/>
                    <w:topLinePunct w:val="0"/>
                    <w:bidi w:val="0"/>
                    <w:adjustRightInd/>
                    <w:snapToGrid/>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现有项目</w:t>
                  </w:r>
                </w:p>
              </w:tc>
              <w:tc>
                <w:tcPr>
                  <w:tcW w:w="277" w:type="pct"/>
                  <w:vMerge w:val="continue"/>
                  <w:tcBorders>
                    <w:tl2br w:val="nil"/>
                    <w:tr2bl w:val="nil"/>
                  </w:tcBorders>
                  <w:noWrap w:val="0"/>
                  <w:vAlign w:val="center"/>
                </w:tcPr>
                <w:p w14:paraId="6D1A83D8">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sz w:val="21"/>
                      <w:szCs w:val="21"/>
                    </w:rPr>
                  </w:pPr>
                </w:p>
              </w:tc>
            </w:tr>
            <w:tr w14:paraId="5E52D07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6" w:type="dxa"/>
                  <w:bottom w:w="0" w:type="dxa"/>
                  <w:right w:w="6" w:type="dxa"/>
                </w:tblCellMar>
              </w:tblPrEx>
              <w:trPr>
                <w:trHeight w:val="90" w:hRule="atLeast"/>
                <w:jc w:val="center"/>
              </w:trPr>
              <w:tc>
                <w:tcPr>
                  <w:tcW w:w="142" w:type="pct"/>
                  <w:tcBorders>
                    <w:tl2br w:val="nil"/>
                    <w:tr2bl w:val="nil"/>
                  </w:tcBorders>
                  <w:noWrap w:val="0"/>
                  <w:vAlign w:val="center"/>
                </w:tcPr>
                <w:p w14:paraId="497F7FA5">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13</w:t>
                  </w:r>
                </w:p>
              </w:tc>
              <w:tc>
                <w:tcPr>
                  <w:tcW w:w="665" w:type="pct"/>
                  <w:tcBorders>
                    <w:tl2br w:val="nil"/>
                    <w:tr2bl w:val="nil"/>
                  </w:tcBorders>
                  <w:shd w:val="clear" w:color="auto" w:fill="auto"/>
                  <w:noWrap w:val="0"/>
                  <w:vAlign w:val="center"/>
                </w:tcPr>
                <w:p w14:paraId="084483A8">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金针菇</w:t>
                  </w:r>
                </w:p>
              </w:tc>
              <w:tc>
                <w:tcPr>
                  <w:tcW w:w="649" w:type="pct"/>
                  <w:tcBorders>
                    <w:tl2br w:val="nil"/>
                    <w:tr2bl w:val="nil"/>
                  </w:tcBorders>
                  <w:shd w:val="clear" w:color="auto" w:fill="auto"/>
                  <w:noWrap w:val="0"/>
                  <w:vAlign w:val="center"/>
                </w:tcPr>
                <w:p w14:paraId="273CF1FB">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金针菇</w:t>
                  </w:r>
                </w:p>
              </w:tc>
              <w:tc>
                <w:tcPr>
                  <w:tcW w:w="254" w:type="pct"/>
                  <w:tcBorders>
                    <w:tl2br w:val="nil"/>
                    <w:tr2bl w:val="nil"/>
                  </w:tcBorders>
                  <w:shd w:val="clear" w:color="auto" w:fill="auto"/>
                  <w:noWrap w:val="0"/>
                  <w:vAlign w:val="center"/>
                </w:tcPr>
                <w:p w14:paraId="6F4D052B">
                  <w:pPr>
                    <w:adjustRightInd w:val="0"/>
                    <w:snapToGrid w:val="0"/>
                    <w:jc w:val="center"/>
                    <w:rPr>
                      <w:rFonts w:hint="default" w:ascii="Times New Roman" w:hAnsi="Times New Roman" w:eastAsia="宋体" w:cs="Times New Roman"/>
                      <w:color w:val="auto"/>
                      <w:kern w:val="2"/>
                      <w:sz w:val="21"/>
                      <w:szCs w:val="21"/>
                      <w:lang w:val="en-US" w:eastAsia="zh-CN" w:bidi="ar-SA"/>
                    </w:rPr>
                  </w:pPr>
                  <w:r>
                    <w:rPr>
                      <w:color w:val="auto"/>
                      <w:szCs w:val="21"/>
                    </w:rPr>
                    <w:t>固</w:t>
                  </w:r>
                </w:p>
              </w:tc>
              <w:tc>
                <w:tcPr>
                  <w:tcW w:w="363" w:type="pct"/>
                  <w:tcBorders>
                    <w:tl2br w:val="nil"/>
                    <w:tr2bl w:val="nil"/>
                  </w:tcBorders>
                  <w:shd w:val="clear" w:color="auto" w:fill="auto"/>
                  <w:noWrap w:val="0"/>
                  <w:vAlign w:val="center"/>
                </w:tcPr>
                <w:p w14:paraId="485314F2">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4</w:t>
                  </w:r>
                  <w:r>
                    <w:rPr>
                      <w:color w:val="auto"/>
                      <w:szCs w:val="21"/>
                    </w:rPr>
                    <w:t>20</w:t>
                  </w:r>
                </w:p>
              </w:tc>
              <w:tc>
                <w:tcPr>
                  <w:tcW w:w="516" w:type="pct"/>
                  <w:tcBorders>
                    <w:tl2br w:val="nil"/>
                    <w:tr2bl w:val="nil"/>
                  </w:tcBorders>
                  <w:shd w:val="clear" w:color="auto" w:fill="auto"/>
                  <w:noWrap w:val="0"/>
                  <w:vAlign w:val="center"/>
                </w:tcPr>
                <w:p w14:paraId="418EA9F0">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4</w:t>
                  </w:r>
                  <w:r>
                    <w:rPr>
                      <w:color w:val="auto"/>
                      <w:szCs w:val="21"/>
                    </w:rPr>
                    <w:t>20</w:t>
                  </w:r>
                </w:p>
              </w:tc>
              <w:tc>
                <w:tcPr>
                  <w:tcW w:w="472" w:type="pct"/>
                  <w:tcBorders>
                    <w:tl2br w:val="nil"/>
                    <w:tr2bl w:val="nil"/>
                  </w:tcBorders>
                  <w:shd w:val="clear" w:color="auto" w:fill="auto"/>
                  <w:noWrap w:val="0"/>
                  <w:vAlign w:val="center"/>
                </w:tcPr>
                <w:p w14:paraId="41205E80">
                  <w:pPr>
                    <w:keepNext w:val="0"/>
                    <w:keepLines w:val="0"/>
                    <w:pageBreakBefore w:val="0"/>
                    <w:kinsoku/>
                    <w:wordWrap/>
                    <w:overflowPunct/>
                    <w:topLinePunct w:val="0"/>
                    <w:bidi w:val="0"/>
                    <w:adjustRightInd/>
                    <w:snapToGrid/>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0</w:t>
                  </w:r>
                </w:p>
              </w:tc>
              <w:tc>
                <w:tcPr>
                  <w:tcW w:w="418" w:type="pct"/>
                  <w:tcBorders>
                    <w:tl2br w:val="nil"/>
                    <w:tr2bl w:val="nil"/>
                  </w:tcBorders>
                  <w:shd w:val="clear" w:color="auto" w:fill="auto"/>
                  <w:noWrap w:val="0"/>
                  <w:vAlign w:val="center"/>
                </w:tcPr>
                <w:p w14:paraId="30C2AB66">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15</w:t>
                  </w:r>
                </w:p>
              </w:tc>
              <w:tc>
                <w:tcPr>
                  <w:tcW w:w="665" w:type="pct"/>
                  <w:tcBorders>
                    <w:tl2br w:val="nil"/>
                    <w:tr2bl w:val="nil"/>
                  </w:tcBorders>
                  <w:shd w:val="clear" w:color="auto" w:fill="auto"/>
                  <w:noWrap w:val="0"/>
                  <w:vAlign w:val="center"/>
                </w:tcPr>
                <w:p w14:paraId="40BED6D7">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原料仓库</w:t>
                  </w:r>
                </w:p>
              </w:tc>
              <w:tc>
                <w:tcPr>
                  <w:tcW w:w="573" w:type="pct"/>
                  <w:tcBorders>
                    <w:tl2br w:val="nil"/>
                    <w:tr2bl w:val="nil"/>
                  </w:tcBorders>
                  <w:noWrap w:val="0"/>
                  <w:vAlign w:val="center"/>
                </w:tcPr>
                <w:p w14:paraId="1F8CE886">
                  <w:pPr>
                    <w:keepNext w:val="0"/>
                    <w:keepLines w:val="0"/>
                    <w:pageBreakBefore w:val="0"/>
                    <w:kinsoku/>
                    <w:wordWrap/>
                    <w:overflowPunct/>
                    <w:topLinePunct w:val="0"/>
                    <w:bidi w:val="0"/>
                    <w:adjustRightInd/>
                    <w:snapToGrid/>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现有项目</w:t>
                  </w:r>
                </w:p>
              </w:tc>
              <w:tc>
                <w:tcPr>
                  <w:tcW w:w="277" w:type="pct"/>
                  <w:vMerge w:val="continue"/>
                  <w:tcBorders>
                    <w:tl2br w:val="nil"/>
                    <w:tr2bl w:val="nil"/>
                  </w:tcBorders>
                  <w:noWrap w:val="0"/>
                  <w:vAlign w:val="center"/>
                </w:tcPr>
                <w:p w14:paraId="066F2A8C">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sz w:val="21"/>
                      <w:szCs w:val="21"/>
                    </w:rPr>
                  </w:pPr>
                </w:p>
              </w:tc>
            </w:tr>
            <w:tr w14:paraId="6B6B332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6" w:type="dxa"/>
                  <w:bottom w:w="0" w:type="dxa"/>
                  <w:right w:w="6" w:type="dxa"/>
                </w:tblCellMar>
              </w:tblPrEx>
              <w:trPr>
                <w:trHeight w:val="90" w:hRule="atLeast"/>
                <w:jc w:val="center"/>
              </w:trPr>
              <w:tc>
                <w:tcPr>
                  <w:tcW w:w="142" w:type="pct"/>
                  <w:tcBorders>
                    <w:tl2br w:val="nil"/>
                    <w:tr2bl w:val="nil"/>
                  </w:tcBorders>
                  <w:noWrap w:val="0"/>
                  <w:vAlign w:val="center"/>
                </w:tcPr>
                <w:p w14:paraId="7513892C">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14</w:t>
                  </w:r>
                </w:p>
              </w:tc>
              <w:tc>
                <w:tcPr>
                  <w:tcW w:w="665" w:type="pct"/>
                  <w:tcBorders>
                    <w:tl2br w:val="nil"/>
                    <w:tr2bl w:val="nil"/>
                  </w:tcBorders>
                  <w:shd w:val="clear" w:color="auto" w:fill="auto"/>
                  <w:noWrap w:val="0"/>
                  <w:vAlign w:val="center"/>
                </w:tcPr>
                <w:p w14:paraId="2D06B2F8">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双孢菇</w:t>
                  </w:r>
                </w:p>
              </w:tc>
              <w:tc>
                <w:tcPr>
                  <w:tcW w:w="649" w:type="pct"/>
                  <w:tcBorders>
                    <w:tl2br w:val="nil"/>
                    <w:tr2bl w:val="nil"/>
                  </w:tcBorders>
                  <w:shd w:val="clear" w:color="auto" w:fill="auto"/>
                  <w:noWrap w:val="0"/>
                  <w:vAlign w:val="center"/>
                </w:tcPr>
                <w:p w14:paraId="6029EF1F">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双孢菇</w:t>
                  </w:r>
                </w:p>
              </w:tc>
              <w:tc>
                <w:tcPr>
                  <w:tcW w:w="254" w:type="pct"/>
                  <w:tcBorders>
                    <w:tl2br w:val="nil"/>
                    <w:tr2bl w:val="nil"/>
                  </w:tcBorders>
                  <w:shd w:val="clear" w:color="auto" w:fill="auto"/>
                  <w:noWrap w:val="0"/>
                  <w:vAlign w:val="center"/>
                </w:tcPr>
                <w:p w14:paraId="075D0BB2">
                  <w:pPr>
                    <w:adjustRightInd w:val="0"/>
                    <w:snapToGrid w:val="0"/>
                    <w:jc w:val="center"/>
                    <w:rPr>
                      <w:rFonts w:hint="default" w:ascii="Times New Roman" w:hAnsi="Times New Roman" w:eastAsia="宋体" w:cs="Times New Roman"/>
                      <w:color w:val="auto"/>
                      <w:kern w:val="2"/>
                      <w:sz w:val="21"/>
                      <w:szCs w:val="21"/>
                      <w:lang w:val="en-US" w:eastAsia="zh-CN" w:bidi="ar-SA"/>
                    </w:rPr>
                  </w:pPr>
                  <w:r>
                    <w:rPr>
                      <w:color w:val="auto"/>
                      <w:szCs w:val="21"/>
                    </w:rPr>
                    <w:t>固</w:t>
                  </w:r>
                </w:p>
              </w:tc>
              <w:tc>
                <w:tcPr>
                  <w:tcW w:w="363" w:type="pct"/>
                  <w:tcBorders>
                    <w:tl2br w:val="nil"/>
                    <w:tr2bl w:val="nil"/>
                  </w:tcBorders>
                  <w:shd w:val="clear" w:color="auto" w:fill="auto"/>
                  <w:noWrap w:val="0"/>
                  <w:vAlign w:val="center"/>
                </w:tcPr>
                <w:p w14:paraId="7DEED6CC">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4</w:t>
                  </w:r>
                  <w:r>
                    <w:rPr>
                      <w:color w:val="auto"/>
                      <w:szCs w:val="21"/>
                    </w:rPr>
                    <w:t>20</w:t>
                  </w:r>
                </w:p>
              </w:tc>
              <w:tc>
                <w:tcPr>
                  <w:tcW w:w="516" w:type="pct"/>
                  <w:tcBorders>
                    <w:tl2br w:val="nil"/>
                    <w:tr2bl w:val="nil"/>
                  </w:tcBorders>
                  <w:shd w:val="clear" w:color="auto" w:fill="auto"/>
                  <w:noWrap w:val="0"/>
                  <w:vAlign w:val="center"/>
                </w:tcPr>
                <w:p w14:paraId="14BD4C64">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4</w:t>
                  </w:r>
                  <w:r>
                    <w:rPr>
                      <w:color w:val="auto"/>
                      <w:szCs w:val="21"/>
                    </w:rPr>
                    <w:t>20</w:t>
                  </w:r>
                </w:p>
              </w:tc>
              <w:tc>
                <w:tcPr>
                  <w:tcW w:w="472" w:type="pct"/>
                  <w:tcBorders>
                    <w:tl2br w:val="nil"/>
                    <w:tr2bl w:val="nil"/>
                  </w:tcBorders>
                  <w:shd w:val="clear" w:color="auto" w:fill="auto"/>
                  <w:noWrap w:val="0"/>
                  <w:vAlign w:val="center"/>
                </w:tcPr>
                <w:p w14:paraId="1991425E">
                  <w:pPr>
                    <w:keepNext w:val="0"/>
                    <w:keepLines w:val="0"/>
                    <w:pageBreakBefore w:val="0"/>
                    <w:kinsoku/>
                    <w:wordWrap/>
                    <w:overflowPunct/>
                    <w:topLinePunct w:val="0"/>
                    <w:bidi w:val="0"/>
                    <w:adjustRightInd/>
                    <w:snapToGrid/>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0</w:t>
                  </w:r>
                </w:p>
              </w:tc>
              <w:tc>
                <w:tcPr>
                  <w:tcW w:w="418" w:type="pct"/>
                  <w:tcBorders>
                    <w:tl2br w:val="nil"/>
                    <w:tr2bl w:val="nil"/>
                  </w:tcBorders>
                  <w:shd w:val="clear" w:color="auto" w:fill="auto"/>
                  <w:noWrap w:val="0"/>
                  <w:vAlign w:val="center"/>
                </w:tcPr>
                <w:p w14:paraId="3F7153C3">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2</w:t>
                  </w:r>
                </w:p>
              </w:tc>
              <w:tc>
                <w:tcPr>
                  <w:tcW w:w="665" w:type="pct"/>
                  <w:tcBorders>
                    <w:tl2br w:val="nil"/>
                    <w:tr2bl w:val="nil"/>
                  </w:tcBorders>
                  <w:shd w:val="clear" w:color="auto" w:fill="auto"/>
                  <w:noWrap w:val="0"/>
                  <w:vAlign w:val="center"/>
                </w:tcPr>
                <w:p w14:paraId="23CE2DAA">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原料仓库</w:t>
                  </w:r>
                </w:p>
              </w:tc>
              <w:tc>
                <w:tcPr>
                  <w:tcW w:w="573" w:type="pct"/>
                  <w:tcBorders>
                    <w:tl2br w:val="nil"/>
                    <w:tr2bl w:val="nil"/>
                  </w:tcBorders>
                  <w:noWrap w:val="0"/>
                  <w:vAlign w:val="center"/>
                </w:tcPr>
                <w:p w14:paraId="5B3E5305">
                  <w:pPr>
                    <w:keepNext w:val="0"/>
                    <w:keepLines w:val="0"/>
                    <w:pageBreakBefore w:val="0"/>
                    <w:kinsoku/>
                    <w:wordWrap/>
                    <w:overflowPunct/>
                    <w:topLinePunct w:val="0"/>
                    <w:bidi w:val="0"/>
                    <w:adjustRightInd/>
                    <w:snapToGrid/>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现有项目</w:t>
                  </w:r>
                </w:p>
              </w:tc>
              <w:tc>
                <w:tcPr>
                  <w:tcW w:w="277" w:type="pct"/>
                  <w:vMerge w:val="continue"/>
                  <w:tcBorders>
                    <w:tl2br w:val="nil"/>
                    <w:tr2bl w:val="nil"/>
                  </w:tcBorders>
                  <w:noWrap w:val="0"/>
                  <w:vAlign w:val="center"/>
                </w:tcPr>
                <w:p w14:paraId="1D36C20D">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sz w:val="21"/>
                      <w:szCs w:val="21"/>
                    </w:rPr>
                  </w:pPr>
                </w:p>
              </w:tc>
            </w:tr>
            <w:tr w14:paraId="4C6B05D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6" w:type="dxa"/>
                  <w:bottom w:w="0" w:type="dxa"/>
                  <w:right w:w="6" w:type="dxa"/>
                </w:tblCellMar>
              </w:tblPrEx>
              <w:trPr>
                <w:trHeight w:val="90" w:hRule="atLeast"/>
                <w:jc w:val="center"/>
              </w:trPr>
              <w:tc>
                <w:tcPr>
                  <w:tcW w:w="142" w:type="pct"/>
                  <w:tcBorders>
                    <w:tl2br w:val="nil"/>
                    <w:tr2bl w:val="nil"/>
                  </w:tcBorders>
                  <w:noWrap w:val="0"/>
                  <w:vAlign w:val="center"/>
                </w:tcPr>
                <w:p w14:paraId="1EFA1BB0">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15</w:t>
                  </w:r>
                </w:p>
              </w:tc>
              <w:tc>
                <w:tcPr>
                  <w:tcW w:w="665" w:type="pct"/>
                  <w:tcBorders>
                    <w:tl2br w:val="nil"/>
                    <w:tr2bl w:val="nil"/>
                  </w:tcBorders>
                  <w:shd w:val="clear" w:color="auto" w:fill="auto"/>
                  <w:noWrap w:val="0"/>
                  <w:vAlign w:val="center"/>
                </w:tcPr>
                <w:p w14:paraId="54147312">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蟹味菇</w:t>
                  </w:r>
                </w:p>
              </w:tc>
              <w:tc>
                <w:tcPr>
                  <w:tcW w:w="649" w:type="pct"/>
                  <w:tcBorders>
                    <w:tl2br w:val="nil"/>
                    <w:tr2bl w:val="nil"/>
                  </w:tcBorders>
                  <w:shd w:val="clear" w:color="auto" w:fill="auto"/>
                  <w:noWrap w:val="0"/>
                  <w:vAlign w:val="center"/>
                </w:tcPr>
                <w:p w14:paraId="672882A7">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蟹味菇</w:t>
                  </w:r>
                </w:p>
              </w:tc>
              <w:tc>
                <w:tcPr>
                  <w:tcW w:w="254" w:type="pct"/>
                  <w:tcBorders>
                    <w:tl2br w:val="nil"/>
                    <w:tr2bl w:val="nil"/>
                  </w:tcBorders>
                  <w:shd w:val="clear" w:color="auto" w:fill="auto"/>
                  <w:noWrap w:val="0"/>
                  <w:vAlign w:val="center"/>
                </w:tcPr>
                <w:p w14:paraId="78808EBF">
                  <w:pPr>
                    <w:adjustRightInd w:val="0"/>
                    <w:snapToGrid w:val="0"/>
                    <w:jc w:val="center"/>
                    <w:rPr>
                      <w:rFonts w:hint="default" w:ascii="Times New Roman" w:hAnsi="Times New Roman" w:eastAsia="宋体" w:cs="Times New Roman"/>
                      <w:color w:val="auto"/>
                      <w:kern w:val="2"/>
                      <w:sz w:val="21"/>
                      <w:szCs w:val="21"/>
                      <w:lang w:val="en-US" w:eastAsia="zh-CN" w:bidi="ar-SA"/>
                    </w:rPr>
                  </w:pPr>
                  <w:r>
                    <w:rPr>
                      <w:color w:val="auto"/>
                      <w:szCs w:val="21"/>
                    </w:rPr>
                    <w:t>固</w:t>
                  </w:r>
                </w:p>
              </w:tc>
              <w:tc>
                <w:tcPr>
                  <w:tcW w:w="363" w:type="pct"/>
                  <w:tcBorders>
                    <w:tl2br w:val="nil"/>
                    <w:tr2bl w:val="nil"/>
                  </w:tcBorders>
                  <w:shd w:val="clear" w:color="auto" w:fill="auto"/>
                  <w:noWrap w:val="0"/>
                  <w:vAlign w:val="center"/>
                </w:tcPr>
                <w:p w14:paraId="141E8B7D">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2</w:t>
                  </w:r>
                  <w:r>
                    <w:rPr>
                      <w:color w:val="auto"/>
                      <w:szCs w:val="21"/>
                    </w:rPr>
                    <w:t>10</w:t>
                  </w:r>
                </w:p>
              </w:tc>
              <w:tc>
                <w:tcPr>
                  <w:tcW w:w="516" w:type="pct"/>
                  <w:tcBorders>
                    <w:tl2br w:val="nil"/>
                    <w:tr2bl w:val="nil"/>
                  </w:tcBorders>
                  <w:shd w:val="clear" w:color="auto" w:fill="auto"/>
                  <w:noWrap w:val="0"/>
                  <w:vAlign w:val="center"/>
                </w:tcPr>
                <w:p w14:paraId="689CF1B6">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2</w:t>
                  </w:r>
                  <w:r>
                    <w:rPr>
                      <w:color w:val="auto"/>
                      <w:szCs w:val="21"/>
                    </w:rPr>
                    <w:t>10</w:t>
                  </w:r>
                </w:p>
              </w:tc>
              <w:tc>
                <w:tcPr>
                  <w:tcW w:w="472" w:type="pct"/>
                  <w:tcBorders>
                    <w:tl2br w:val="nil"/>
                    <w:tr2bl w:val="nil"/>
                  </w:tcBorders>
                  <w:shd w:val="clear" w:color="auto" w:fill="auto"/>
                  <w:noWrap w:val="0"/>
                  <w:vAlign w:val="center"/>
                </w:tcPr>
                <w:p w14:paraId="5C8CE35C">
                  <w:pPr>
                    <w:keepNext w:val="0"/>
                    <w:keepLines w:val="0"/>
                    <w:pageBreakBefore w:val="0"/>
                    <w:kinsoku/>
                    <w:wordWrap/>
                    <w:overflowPunct/>
                    <w:topLinePunct w:val="0"/>
                    <w:bidi w:val="0"/>
                    <w:adjustRightInd/>
                    <w:snapToGrid/>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0</w:t>
                  </w:r>
                </w:p>
              </w:tc>
              <w:tc>
                <w:tcPr>
                  <w:tcW w:w="418" w:type="pct"/>
                  <w:tcBorders>
                    <w:tl2br w:val="nil"/>
                    <w:tr2bl w:val="nil"/>
                  </w:tcBorders>
                  <w:shd w:val="clear" w:color="auto" w:fill="auto"/>
                  <w:noWrap w:val="0"/>
                  <w:vAlign w:val="center"/>
                </w:tcPr>
                <w:p w14:paraId="0F1A4AAD">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30</w:t>
                  </w:r>
                </w:p>
              </w:tc>
              <w:tc>
                <w:tcPr>
                  <w:tcW w:w="665" w:type="pct"/>
                  <w:tcBorders>
                    <w:tl2br w:val="nil"/>
                    <w:tr2bl w:val="nil"/>
                  </w:tcBorders>
                  <w:shd w:val="clear" w:color="auto" w:fill="auto"/>
                  <w:noWrap w:val="0"/>
                  <w:vAlign w:val="center"/>
                </w:tcPr>
                <w:p w14:paraId="2E915216">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原料仓库</w:t>
                  </w:r>
                </w:p>
              </w:tc>
              <w:tc>
                <w:tcPr>
                  <w:tcW w:w="573" w:type="pct"/>
                  <w:tcBorders>
                    <w:tl2br w:val="nil"/>
                    <w:tr2bl w:val="nil"/>
                  </w:tcBorders>
                  <w:noWrap w:val="0"/>
                  <w:vAlign w:val="center"/>
                </w:tcPr>
                <w:p w14:paraId="72BDC719">
                  <w:pPr>
                    <w:keepNext w:val="0"/>
                    <w:keepLines w:val="0"/>
                    <w:pageBreakBefore w:val="0"/>
                    <w:kinsoku/>
                    <w:wordWrap/>
                    <w:overflowPunct/>
                    <w:topLinePunct w:val="0"/>
                    <w:bidi w:val="0"/>
                    <w:adjustRightInd/>
                    <w:snapToGrid/>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现有项目</w:t>
                  </w:r>
                </w:p>
              </w:tc>
              <w:tc>
                <w:tcPr>
                  <w:tcW w:w="277" w:type="pct"/>
                  <w:vMerge w:val="continue"/>
                  <w:tcBorders>
                    <w:tl2br w:val="nil"/>
                    <w:tr2bl w:val="nil"/>
                  </w:tcBorders>
                  <w:noWrap w:val="0"/>
                  <w:vAlign w:val="center"/>
                </w:tcPr>
                <w:p w14:paraId="12E6A3C9">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sz w:val="21"/>
                      <w:szCs w:val="21"/>
                    </w:rPr>
                  </w:pPr>
                </w:p>
              </w:tc>
            </w:tr>
            <w:tr w14:paraId="1EEF8FE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6" w:type="dxa"/>
                  <w:bottom w:w="0" w:type="dxa"/>
                  <w:right w:w="6" w:type="dxa"/>
                </w:tblCellMar>
              </w:tblPrEx>
              <w:trPr>
                <w:trHeight w:val="90" w:hRule="atLeast"/>
                <w:jc w:val="center"/>
              </w:trPr>
              <w:tc>
                <w:tcPr>
                  <w:tcW w:w="142" w:type="pct"/>
                  <w:tcBorders>
                    <w:tl2br w:val="nil"/>
                    <w:tr2bl w:val="nil"/>
                  </w:tcBorders>
                  <w:noWrap w:val="0"/>
                  <w:vAlign w:val="center"/>
                </w:tcPr>
                <w:p w14:paraId="010EA2A1">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16</w:t>
                  </w:r>
                </w:p>
              </w:tc>
              <w:tc>
                <w:tcPr>
                  <w:tcW w:w="665" w:type="pct"/>
                  <w:tcBorders>
                    <w:tl2br w:val="nil"/>
                    <w:tr2bl w:val="nil"/>
                  </w:tcBorders>
                  <w:shd w:val="clear" w:color="auto" w:fill="auto"/>
                  <w:noWrap w:val="0"/>
                  <w:vAlign w:val="center"/>
                </w:tcPr>
                <w:p w14:paraId="007FCDD2">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辣椒酱</w:t>
                  </w:r>
                </w:p>
              </w:tc>
              <w:tc>
                <w:tcPr>
                  <w:tcW w:w="649" w:type="pct"/>
                  <w:tcBorders>
                    <w:tl2br w:val="nil"/>
                    <w:tr2bl w:val="nil"/>
                  </w:tcBorders>
                  <w:shd w:val="clear" w:color="auto" w:fill="auto"/>
                  <w:noWrap w:val="0"/>
                  <w:vAlign w:val="center"/>
                </w:tcPr>
                <w:p w14:paraId="7C2DB0AD">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辣椒酱</w:t>
                  </w:r>
                </w:p>
              </w:tc>
              <w:tc>
                <w:tcPr>
                  <w:tcW w:w="254" w:type="pct"/>
                  <w:tcBorders>
                    <w:tl2br w:val="nil"/>
                    <w:tr2bl w:val="nil"/>
                  </w:tcBorders>
                  <w:shd w:val="clear" w:color="auto" w:fill="auto"/>
                  <w:noWrap w:val="0"/>
                  <w:vAlign w:val="center"/>
                </w:tcPr>
                <w:p w14:paraId="285ECB93">
                  <w:pPr>
                    <w:adjustRightInd w:val="0"/>
                    <w:snapToGrid w:val="0"/>
                    <w:jc w:val="center"/>
                    <w:rPr>
                      <w:rFonts w:hint="default" w:ascii="Times New Roman" w:hAnsi="Times New Roman" w:eastAsia="宋体" w:cs="Times New Roman"/>
                      <w:color w:val="auto"/>
                      <w:kern w:val="2"/>
                      <w:sz w:val="21"/>
                      <w:szCs w:val="21"/>
                      <w:lang w:val="en-US" w:eastAsia="zh-CN" w:bidi="ar-SA"/>
                    </w:rPr>
                  </w:pPr>
                  <w:r>
                    <w:rPr>
                      <w:color w:val="auto"/>
                      <w:szCs w:val="21"/>
                    </w:rPr>
                    <w:t>固</w:t>
                  </w:r>
                </w:p>
              </w:tc>
              <w:tc>
                <w:tcPr>
                  <w:tcW w:w="363" w:type="pct"/>
                  <w:tcBorders>
                    <w:tl2br w:val="nil"/>
                    <w:tr2bl w:val="nil"/>
                  </w:tcBorders>
                  <w:shd w:val="clear" w:color="auto" w:fill="auto"/>
                  <w:noWrap w:val="0"/>
                  <w:vAlign w:val="center"/>
                </w:tcPr>
                <w:p w14:paraId="6050FB91">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50</w:t>
                  </w:r>
                </w:p>
              </w:tc>
              <w:tc>
                <w:tcPr>
                  <w:tcW w:w="516" w:type="pct"/>
                  <w:tcBorders>
                    <w:tl2br w:val="nil"/>
                    <w:tr2bl w:val="nil"/>
                  </w:tcBorders>
                  <w:shd w:val="clear" w:color="auto" w:fill="auto"/>
                  <w:noWrap w:val="0"/>
                  <w:vAlign w:val="center"/>
                </w:tcPr>
                <w:p w14:paraId="77083408">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50</w:t>
                  </w:r>
                </w:p>
              </w:tc>
              <w:tc>
                <w:tcPr>
                  <w:tcW w:w="472" w:type="pct"/>
                  <w:tcBorders>
                    <w:tl2br w:val="nil"/>
                    <w:tr2bl w:val="nil"/>
                  </w:tcBorders>
                  <w:shd w:val="clear" w:color="auto" w:fill="auto"/>
                  <w:noWrap w:val="0"/>
                  <w:vAlign w:val="center"/>
                </w:tcPr>
                <w:p w14:paraId="130D5C0E">
                  <w:pPr>
                    <w:keepNext w:val="0"/>
                    <w:keepLines w:val="0"/>
                    <w:pageBreakBefore w:val="0"/>
                    <w:kinsoku/>
                    <w:wordWrap/>
                    <w:overflowPunct/>
                    <w:topLinePunct w:val="0"/>
                    <w:bidi w:val="0"/>
                    <w:adjustRightInd/>
                    <w:snapToGrid/>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0</w:t>
                  </w:r>
                </w:p>
              </w:tc>
              <w:tc>
                <w:tcPr>
                  <w:tcW w:w="418" w:type="pct"/>
                  <w:tcBorders>
                    <w:tl2br w:val="nil"/>
                    <w:tr2bl w:val="nil"/>
                  </w:tcBorders>
                  <w:shd w:val="clear" w:color="auto" w:fill="auto"/>
                  <w:noWrap w:val="0"/>
                  <w:vAlign w:val="center"/>
                </w:tcPr>
                <w:p w14:paraId="48B95356">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20</w:t>
                  </w:r>
                </w:p>
              </w:tc>
              <w:tc>
                <w:tcPr>
                  <w:tcW w:w="665" w:type="pct"/>
                  <w:tcBorders>
                    <w:tl2br w:val="nil"/>
                    <w:tr2bl w:val="nil"/>
                  </w:tcBorders>
                  <w:shd w:val="clear" w:color="auto" w:fill="auto"/>
                  <w:noWrap w:val="0"/>
                  <w:vAlign w:val="center"/>
                </w:tcPr>
                <w:p w14:paraId="29AC8DA0">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辅料储存室</w:t>
                  </w:r>
                </w:p>
              </w:tc>
              <w:tc>
                <w:tcPr>
                  <w:tcW w:w="573" w:type="pct"/>
                  <w:tcBorders>
                    <w:tl2br w:val="nil"/>
                    <w:tr2bl w:val="nil"/>
                  </w:tcBorders>
                  <w:noWrap w:val="0"/>
                  <w:vAlign w:val="center"/>
                </w:tcPr>
                <w:p w14:paraId="405CF2E4">
                  <w:pPr>
                    <w:keepNext w:val="0"/>
                    <w:keepLines w:val="0"/>
                    <w:pageBreakBefore w:val="0"/>
                    <w:kinsoku/>
                    <w:wordWrap/>
                    <w:overflowPunct/>
                    <w:topLinePunct w:val="0"/>
                    <w:bidi w:val="0"/>
                    <w:adjustRightInd/>
                    <w:snapToGrid/>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现有项目</w:t>
                  </w:r>
                </w:p>
              </w:tc>
              <w:tc>
                <w:tcPr>
                  <w:tcW w:w="277" w:type="pct"/>
                  <w:vMerge w:val="continue"/>
                  <w:tcBorders>
                    <w:tl2br w:val="nil"/>
                    <w:tr2bl w:val="nil"/>
                  </w:tcBorders>
                  <w:noWrap w:val="0"/>
                  <w:vAlign w:val="center"/>
                </w:tcPr>
                <w:p w14:paraId="74149869">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sz w:val="21"/>
                      <w:szCs w:val="21"/>
                    </w:rPr>
                  </w:pPr>
                </w:p>
              </w:tc>
            </w:tr>
            <w:tr w14:paraId="51B93F1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6" w:type="dxa"/>
                  <w:bottom w:w="0" w:type="dxa"/>
                  <w:right w:w="6" w:type="dxa"/>
                </w:tblCellMar>
              </w:tblPrEx>
              <w:trPr>
                <w:trHeight w:val="90" w:hRule="atLeast"/>
                <w:jc w:val="center"/>
              </w:trPr>
              <w:tc>
                <w:tcPr>
                  <w:tcW w:w="142" w:type="pct"/>
                  <w:tcBorders>
                    <w:tl2br w:val="nil"/>
                    <w:tr2bl w:val="nil"/>
                  </w:tcBorders>
                  <w:noWrap w:val="0"/>
                  <w:vAlign w:val="center"/>
                </w:tcPr>
                <w:p w14:paraId="63EF1E0E">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17</w:t>
                  </w:r>
                </w:p>
              </w:tc>
              <w:tc>
                <w:tcPr>
                  <w:tcW w:w="665" w:type="pct"/>
                  <w:tcBorders>
                    <w:tl2br w:val="nil"/>
                    <w:tr2bl w:val="nil"/>
                  </w:tcBorders>
                  <w:shd w:val="clear" w:color="auto" w:fill="auto"/>
                  <w:noWrap w:val="0"/>
                  <w:vAlign w:val="center"/>
                </w:tcPr>
                <w:p w14:paraId="73CC0122">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辣椒粉</w:t>
                  </w:r>
                </w:p>
              </w:tc>
              <w:tc>
                <w:tcPr>
                  <w:tcW w:w="649" w:type="pct"/>
                  <w:tcBorders>
                    <w:tl2br w:val="nil"/>
                    <w:tr2bl w:val="nil"/>
                  </w:tcBorders>
                  <w:shd w:val="clear" w:color="auto" w:fill="auto"/>
                  <w:noWrap w:val="0"/>
                  <w:vAlign w:val="center"/>
                </w:tcPr>
                <w:p w14:paraId="4115CFF4">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辣椒粉</w:t>
                  </w:r>
                </w:p>
              </w:tc>
              <w:tc>
                <w:tcPr>
                  <w:tcW w:w="254" w:type="pct"/>
                  <w:tcBorders>
                    <w:tl2br w:val="nil"/>
                    <w:tr2bl w:val="nil"/>
                  </w:tcBorders>
                  <w:shd w:val="clear" w:color="auto" w:fill="auto"/>
                  <w:noWrap w:val="0"/>
                  <w:vAlign w:val="center"/>
                </w:tcPr>
                <w:p w14:paraId="0DBAADD2">
                  <w:pPr>
                    <w:adjustRightInd w:val="0"/>
                    <w:snapToGrid w:val="0"/>
                    <w:jc w:val="center"/>
                    <w:rPr>
                      <w:rFonts w:hint="default" w:ascii="Times New Roman" w:hAnsi="Times New Roman" w:eastAsia="宋体" w:cs="Times New Roman"/>
                      <w:color w:val="auto"/>
                      <w:kern w:val="2"/>
                      <w:sz w:val="21"/>
                      <w:szCs w:val="21"/>
                      <w:lang w:val="en-US" w:eastAsia="zh-CN" w:bidi="ar-SA"/>
                    </w:rPr>
                  </w:pPr>
                  <w:r>
                    <w:rPr>
                      <w:color w:val="auto"/>
                      <w:szCs w:val="21"/>
                    </w:rPr>
                    <w:t>固</w:t>
                  </w:r>
                </w:p>
              </w:tc>
              <w:tc>
                <w:tcPr>
                  <w:tcW w:w="363" w:type="pct"/>
                  <w:tcBorders>
                    <w:tl2br w:val="nil"/>
                    <w:tr2bl w:val="nil"/>
                  </w:tcBorders>
                  <w:shd w:val="clear" w:color="auto" w:fill="auto"/>
                  <w:noWrap w:val="0"/>
                  <w:vAlign w:val="center"/>
                </w:tcPr>
                <w:p w14:paraId="795F2777">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10</w:t>
                  </w:r>
                </w:p>
              </w:tc>
              <w:tc>
                <w:tcPr>
                  <w:tcW w:w="516" w:type="pct"/>
                  <w:tcBorders>
                    <w:tl2br w:val="nil"/>
                    <w:tr2bl w:val="nil"/>
                  </w:tcBorders>
                  <w:shd w:val="clear" w:color="auto" w:fill="auto"/>
                  <w:noWrap w:val="0"/>
                  <w:vAlign w:val="center"/>
                </w:tcPr>
                <w:p w14:paraId="4BCFBB20">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10</w:t>
                  </w:r>
                </w:p>
              </w:tc>
              <w:tc>
                <w:tcPr>
                  <w:tcW w:w="472" w:type="pct"/>
                  <w:tcBorders>
                    <w:tl2br w:val="nil"/>
                    <w:tr2bl w:val="nil"/>
                  </w:tcBorders>
                  <w:shd w:val="clear" w:color="auto" w:fill="auto"/>
                  <w:noWrap w:val="0"/>
                  <w:vAlign w:val="center"/>
                </w:tcPr>
                <w:p w14:paraId="61974782">
                  <w:pPr>
                    <w:keepNext w:val="0"/>
                    <w:keepLines w:val="0"/>
                    <w:pageBreakBefore w:val="0"/>
                    <w:kinsoku/>
                    <w:wordWrap/>
                    <w:overflowPunct/>
                    <w:topLinePunct w:val="0"/>
                    <w:bidi w:val="0"/>
                    <w:adjustRightInd/>
                    <w:snapToGrid/>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0</w:t>
                  </w:r>
                </w:p>
              </w:tc>
              <w:tc>
                <w:tcPr>
                  <w:tcW w:w="418" w:type="pct"/>
                  <w:tcBorders>
                    <w:tl2br w:val="nil"/>
                    <w:tr2bl w:val="nil"/>
                  </w:tcBorders>
                  <w:shd w:val="clear" w:color="auto" w:fill="auto"/>
                  <w:noWrap w:val="0"/>
                  <w:vAlign w:val="center"/>
                </w:tcPr>
                <w:p w14:paraId="3004FAC8">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5</w:t>
                  </w:r>
                </w:p>
              </w:tc>
              <w:tc>
                <w:tcPr>
                  <w:tcW w:w="665" w:type="pct"/>
                  <w:tcBorders>
                    <w:tl2br w:val="nil"/>
                    <w:tr2bl w:val="nil"/>
                  </w:tcBorders>
                  <w:shd w:val="clear" w:color="auto" w:fill="auto"/>
                  <w:noWrap w:val="0"/>
                  <w:vAlign w:val="center"/>
                </w:tcPr>
                <w:p w14:paraId="69688550">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辅料储存室</w:t>
                  </w:r>
                </w:p>
              </w:tc>
              <w:tc>
                <w:tcPr>
                  <w:tcW w:w="573" w:type="pct"/>
                  <w:tcBorders>
                    <w:tl2br w:val="nil"/>
                    <w:tr2bl w:val="nil"/>
                  </w:tcBorders>
                  <w:noWrap w:val="0"/>
                  <w:vAlign w:val="center"/>
                </w:tcPr>
                <w:p w14:paraId="1030FD29">
                  <w:pPr>
                    <w:keepNext w:val="0"/>
                    <w:keepLines w:val="0"/>
                    <w:pageBreakBefore w:val="0"/>
                    <w:kinsoku/>
                    <w:wordWrap/>
                    <w:overflowPunct/>
                    <w:topLinePunct w:val="0"/>
                    <w:bidi w:val="0"/>
                    <w:adjustRightInd/>
                    <w:snapToGrid/>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现有项目</w:t>
                  </w:r>
                </w:p>
              </w:tc>
              <w:tc>
                <w:tcPr>
                  <w:tcW w:w="277" w:type="pct"/>
                  <w:vMerge w:val="continue"/>
                  <w:tcBorders>
                    <w:tl2br w:val="nil"/>
                    <w:tr2bl w:val="nil"/>
                  </w:tcBorders>
                  <w:noWrap w:val="0"/>
                  <w:vAlign w:val="center"/>
                </w:tcPr>
                <w:p w14:paraId="7777406F">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sz w:val="21"/>
                      <w:szCs w:val="21"/>
                    </w:rPr>
                  </w:pPr>
                </w:p>
              </w:tc>
            </w:tr>
            <w:tr w14:paraId="142E2C0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6" w:type="dxa"/>
                  <w:bottom w:w="0" w:type="dxa"/>
                  <w:right w:w="6" w:type="dxa"/>
                </w:tblCellMar>
              </w:tblPrEx>
              <w:trPr>
                <w:trHeight w:val="90" w:hRule="atLeast"/>
                <w:jc w:val="center"/>
              </w:trPr>
              <w:tc>
                <w:tcPr>
                  <w:tcW w:w="142" w:type="pct"/>
                  <w:tcBorders>
                    <w:tl2br w:val="nil"/>
                    <w:tr2bl w:val="nil"/>
                  </w:tcBorders>
                  <w:noWrap w:val="0"/>
                  <w:vAlign w:val="center"/>
                </w:tcPr>
                <w:p w14:paraId="092896C9">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18</w:t>
                  </w:r>
                </w:p>
              </w:tc>
              <w:tc>
                <w:tcPr>
                  <w:tcW w:w="665" w:type="pct"/>
                  <w:tcBorders>
                    <w:tl2br w:val="nil"/>
                    <w:tr2bl w:val="nil"/>
                  </w:tcBorders>
                  <w:shd w:val="clear" w:color="auto" w:fill="auto"/>
                  <w:noWrap w:val="0"/>
                  <w:vAlign w:val="center"/>
                </w:tcPr>
                <w:p w14:paraId="2B85CE76">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麦芽糖浆</w:t>
                  </w:r>
                </w:p>
              </w:tc>
              <w:tc>
                <w:tcPr>
                  <w:tcW w:w="649" w:type="pct"/>
                  <w:tcBorders>
                    <w:tl2br w:val="nil"/>
                    <w:tr2bl w:val="nil"/>
                  </w:tcBorders>
                  <w:noWrap w:val="0"/>
                  <w:vAlign w:val="center"/>
                </w:tcPr>
                <w:p w14:paraId="64A87385">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lang w:val="en-US" w:eastAsia="zh-CN"/>
                    </w:rPr>
                  </w:pPr>
                  <w:r>
                    <w:rPr>
                      <w:color w:val="auto"/>
                      <w:szCs w:val="21"/>
                    </w:rPr>
                    <w:t>麦芽糖</w:t>
                  </w:r>
                </w:p>
              </w:tc>
              <w:tc>
                <w:tcPr>
                  <w:tcW w:w="254" w:type="pct"/>
                  <w:tcBorders>
                    <w:tl2br w:val="nil"/>
                    <w:tr2bl w:val="nil"/>
                  </w:tcBorders>
                  <w:shd w:val="clear" w:color="auto" w:fill="auto"/>
                  <w:noWrap w:val="0"/>
                  <w:vAlign w:val="center"/>
                </w:tcPr>
                <w:p w14:paraId="170C5AEF">
                  <w:pPr>
                    <w:adjustRightInd w:val="0"/>
                    <w:snapToGrid w:val="0"/>
                    <w:jc w:val="center"/>
                    <w:rPr>
                      <w:rFonts w:hint="default" w:ascii="Times New Roman" w:hAnsi="Times New Roman" w:eastAsia="宋体" w:cs="Times New Roman"/>
                      <w:color w:val="auto"/>
                      <w:kern w:val="2"/>
                      <w:sz w:val="21"/>
                      <w:szCs w:val="21"/>
                      <w:lang w:val="en-US" w:eastAsia="zh-CN" w:bidi="ar-SA"/>
                    </w:rPr>
                  </w:pPr>
                  <w:r>
                    <w:rPr>
                      <w:color w:val="auto"/>
                      <w:szCs w:val="21"/>
                    </w:rPr>
                    <w:t>液</w:t>
                  </w:r>
                </w:p>
              </w:tc>
              <w:tc>
                <w:tcPr>
                  <w:tcW w:w="363" w:type="pct"/>
                  <w:tcBorders>
                    <w:tl2br w:val="nil"/>
                    <w:tr2bl w:val="nil"/>
                  </w:tcBorders>
                  <w:shd w:val="clear" w:color="auto" w:fill="auto"/>
                  <w:noWrap w:val="0"/>
                  <w:vAlign w:val="center"/>
                </w:tcPr>
                <w:p w14:paraId="1E4EF5F0">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10</w:t>
                  </w:r>
                </w:p>
              </w:tc>
              <w:tc>
                <w:tcPr>
                  <w:tcW w:w="516" w:type="pct"/>
                  <w:tcBorders>
                    <w:tl2br w:val="nil"/>
                    <w:tr2bl w:val="nil"/>
                  </w:tcBorders>
                  <w:shd w:val="clear" w:color="auto" w:fill="auto"/>
                  <w:noWrap w:val="0"/>
                  <w:vAlign w:val="center"/>
                </w:tcPr>
                <w:p w14:paraId="00BD23FA">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15</w:t>
                  </w:r>
                </w:p>
              </w:tc>
              <w:tc>
                <w:tcPr>
                  <w:tcW w:w="472" w:type="pct"/>
                  <w:tcBorders>
                    <w:tl2br w:val="nil"/>
                    <w:tr2bl w:val="nil"/>
                  </w:tcBorders>
                  <w:shd w:val="clear" w:color="auto" w:fill="auto"/>
                  <w:noWrap w:val="0"/>
                  <w:vAlign w:val="center"/>
                </w:tcPr>
                <w:p w14:paraId="44E16D39">
                  <w:pPr>
                    <w:keepNext w:val="0"/>
                    <w:keepLines w:val="0"/>
                    <w:pageBreakBefore w:val="0"/>
                    <w:kinsoku/>
                    <w:wordWrap/>
                    <w:overflowPunct/>
                    <w:topLinePunct w:val="0"/>
                    <w:bidi w:val="0"/>
                    <w:adjustRightInd/>
                    <w:snapToGrid/>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+5</w:t>
                  </w:r>
                </w:p>
              </w:tc>
              <w:tc>
                <w:tcPr>
                  <w:tcW w:w="418" w:type="pct"/>
                  <w:tcBorders>
                    <w:tl2br w:val="nil"/>
                    <w:tr2bl w:val="nil"/>
                  </w:tcBorders>
                  <w:shd w:val="clear" w:color="auto" w:fill="auto"/>
                  <w:noWrap w:val="0"/>
                  <w:vAlign w:val="center"/>
                </w:tcPr>
                <w:p w14:paraId="299E278B">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10</w:t>
                  </w:r>
                </w:p>
              </w:tc>
              <w:tc>
                <w:tcPr>
                  <w:tcW w:w="665" w:type="pct"/>
                  <w:tcBorders>
                    <w:tl2br w:val="nil"/>
                    <w:tr2bl w:val="nil"/>
                  </w:tcBorders>
                  <w:shd w:val="clear" w:color="auto" w:fill="auto"/>
                  <w:noWrap w:val="0"/>
                  <w:vAlign w:val="center"/>
                </w:tcPr>
                <w:p w14:paraId="4EE09372">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辅料储存室</w:t>
                  </w:r>
                </w:p>
              </w:tc>
              <w:tc>
                <w:tcPr>
                  <w:tcW w:w="573" w:type="pct"/>
                  <w:tcBorders>
                    <w:tl2br w:val="nil"/>
                    <w:tr2bl w:val="nil"/>
                  </w:tcBorders>
                  <w:noWrap w:val="0"/>
                  <w:vAlign w:val="center"/>
                </w:tcPr>
                <w:p w14:paraId="1B9A0AA7">
                  <w:pPr>
                    <w:keepNext w:val="0"/>
                    <w:keepLines w:val="0"/>
                    <w:pageBreakBefore w:val="0"/>
                    <w:kinsoku/>
                    <w:wordWrap/>
                    <w:overflowPunct/>
                    <w:topLinePunct w:val="0"/>
                    <w:bidi w:val="0"/>
                    <w:adjustRightInd/>
                    <w:snapToGrid/>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w:t>
                  </w:r>
                </w:p>
              </w:tc>
              <w:tc>
                <w:tcPr>
                  <w:tcW w:w="277" w:type="pct"/>
                  <w:vMerge w:val="continue"/>
                  <w:tcBorders>
                    <w:tl2br w:val="nil"/>
                    <w:tr2bl w:val="nil"/>
                  </w:tcBorders>
                  <w:noWrap w:val="0"/>
                  <w:vAlign w:val="center"/>
                </w:tcPr>
                <w:p w14:paraId="198A73C8">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sz w:val="21"/>
                      <w:szCs w:val="21"/>
                    </w:rPr>
                  </w:pPr>
                </w:p>
              </w:tc>
            </w:tr>
            <w:tr w14:paraId="34E56AE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6" w:type="dxa"/>
                  <w:bottom w:w="0" w:type="dxa"/>
                  <w:right w:w="6" w:type="dxa"/>
                </w:tblCellMar>
              </w:tblPrEx>
              <w:trPr>
                <w:trHeight w:val="90" w:hRule="atLeast"/>
                <w:jc w:val="center"/>
              </w:trPr>
              <w:tc>
                <w:tcPr>
                  <w:tcW w:w="142" w:type="pct"/>
                  <w:tcBorders>
                    <w:tl2br w:val="nil"/>
                    <w:tr2bl w:val="nil"/>
                  </w:tcBorders>
                  <w:noWrap w:val="0"/>
                  <w:vAlign w:val="center"/>
                </w:tcPr>
                <w:p w14:paraId="4A29EEF3">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19</w:t>
                  </w:r>
                </w:p>
              </w:tc>
              <w:tc>
                <w:tcPr>
                  <w:tcW w:w="665" w:type="pct"/>
                  <w:tcBorders>
                    <w:tl2br w:val="nil"/>
                    <w:tr2bl w:val="nil"/>
                  </w:tcBorders>
                  <w:shd w:val="clear" w:color="auto" w:fill="auto"/>
                  <w:noWrap w:val="0"/>
                  <w:vAlign w:val="center"/>
                </w:tcPr>
                <w:p w14:paraId="4F505D5E">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果葡糖浆</w:t>
                  </w:r>
                </w:p>
              </w:tc>
              <w:tc>
                <w:tcPr>
                  <w:tcW w:w="649" w:type="pct"/>
                  <w:tcBorders>
                    <w:tl2br w:val="nil"/>
                    <w:tr2bl w:val="nil"/>
                  </w:tcBorders>
                  <w:noWrap w:val="0"/>
                  <w:vAlign w:val="center"/>
                </w:tcPr>
                <w:p w14:paraId="7828010C">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lang w:val="en-US" w:eastAsia="zh-CN"/>
                    </w:rPr>
                  </w:pPr>
                  <w:r>
                    <w:rPr>
                      <w:color w:val="auto"/>
                      <w:szCs w:val="21"/>
                    </w:rPr>
                    <w:t>果葡糖</w:t>
                  </w:r>
                </w:p>
              </w:tc>
              <w:tc>
                <w:tcPr>
                  <w:tcW w:w="254" w:type="pct"/>
                  <w:tcBorders>
                    <w:tl2br w:val="nil"/>
                    <w:tr2bl w:val="nil"/>
                  </w:tcBorders>
                  <w:shd w:val="clear" w:color="auto" w:fill="auto"/>
                  <w:noWrap w:val="0"/>
                  <w:vAlign w:val="center"/>
                </w:tcPr>
                <w:p w14:paraId="0CDDF926">
                  <w:pPr>
                    <w:adjustRightInd w:val="0"/>
                    <w:snapToGrid w:val="0"/>
                    <w:jc w:val="center"/>
                    <w:rPr>
                      <w:rFonts w:hint="default" w:ascii="Times New Roman" w:hAnsi="Times New Roman" w:eastAsia="宋体" w:cs="Times New Roman"/>
                      <w:color w:val="auto"/>
                      <w:kern w:val="2"/>
                      <w:sz w:val="21"/>
                      <w:szCs w:val="21"/>
                      <w:lang w:val="en-US" w:eastAsia="zh-CN" w:bidi="ar-SA"/>
                    </w:rPr>
                  </w:pPr>
                  <w:r>
                    <w:rPr>
                      <w:color w:val="auto"/>
                      <w:szCs w:val="21"/>
                    </w:rPr>
                    <w:t>液</w:t>
                  </w:r>
                </w:p>
              </w:tc>
              <w:tc>
                <w:tcPr>
                  <w:tcW w:w="363" w:type="pct"/>
                  <w:tcBorders>
                    <w:tl2br w:val="nil"/>
                    <w:tr2bl w:val="nil"/>
                  </w:tcBorders>
                  <w:shd w:val="clear" w:color="auto" w:fill="auto"/>
                  <w:noWrap w:val="0"/>
                  <w:vAlign w:val="center"/>
                </w:tcPr>
                <w:p w14:paraId="2E504DA6">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35</w:t>
                  </w:r>
                </w:p>
              </w:tc>
              <w:tc>
                <w:tcPr>
                  <w:tcW w:w="516" w:type="pct"/>
                  <w:tcBorders>
                    <w:tl2br w:val="nil"/>
                    <w:tr2bl w:val="nil"/>
                  </w:tcBorders>
                  <w:shd w:val="clear" w:color="auto" w:fill="auto"/>
                  <w:noWrap w:val="0"/>
                  <w:vAlign w:val="center"/>
                </w:tcPr>
                <w:p w14:paraId="622325FF">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60</w:t>
                  </w:r>
                </w:p>
              </w:tc>
              <w:tc>
                <w:tcPr>
                  <w:tcW w:w="472" w:type="pct"/>
                  <w:tcBorders>
                    <w:tl2br w:val="nil"/>
                    <w:tr2bl w:val="nil"/>
                  </w:tcBorders>
                  <w:shd w:val="clear" w:color="auto" w:fill="auto"/>
                  <w:noWrap w:val="0"/>
                  <w:vAlign w:val="center"/>
                </w:tcPr>
                <w:p w14:paraId="207A049C">
                  <w:pPr>
                    <w:keepNext w:val="0"/>
                    <w:keepLines w:val="0"/>
                    <w:pageBreakBefore w:val="0"/>
                    <w:kinsoku/>
                    <w:wordWrap/>
                    <w:overflowPunct/>
                    <w:topLinePunct w:val="0"/>
                    <w:bidi w:val="0"/>
                    <w:adjustRightInd/>
                    <w:snapToGrid/>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+25</w:t>
                  </w:r>
                </w:p>
              </w:tc>
              <w:tc>
                <w:tcPr>
                  <w:tcW w:w="418" w:type="pct"/>
                  <w:tcBorders>
                    <w:tl2br w:val="nil"/>
                    <w:tr2bl w:val="nil"/>
                  </w:tcBorders>
                  <w:shd w:val="clear" w:color="auto" w:fill="auto"/>
                  <w:noWrap w:val="0"/>
                  <w:vAlign w:val="center"/>
                </w:tcPr>
                <w:p w14:paraId="0F5B97B9">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5</w:t>
                  </w:r>
                </w:p>
              </w:tc>
              <w:tc>
                <w:tcPr>
                  <w:tcW w:w="665" w:type="pct"/>
                  <w:tcBorders>
                    <w:tl2br w:val="nil"/>
                    <w:tr2bl w:val="nil"/>
                  </w:tcBorders>
                  <w:shd w:val="clear" w:color="auto" w:fill="auto"/>
                  <w:noWrap w:val="0"/>
                  <w:vAlign w:val="center"/>
                </w:tcPr>
                <w:p w14:paraId="2F1D3F8E">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辅料储存室</w:t>
                  </w:r>
                </w:p>
              </w:tc>
              <w:tc>
                <w:tcPr>
                  <w:tcW w:w="573" w:type="pct"/>
                  <w:tcBorders>
                    <w:tl2br w:val="nil"/>
                    <w:tr2bl w:val="nil"/>
                  </w:tcBorders>
                  <w:noWrap w:val="0"/>
                  <w:vAlign w:val="center"/>
                </w:tcPr>
                <w:p w14:paraId="26C9753C">
                  <w:pPr>
                    <w:keepNext w:val="0"/>
                    <w:keepLines w:val="0"/>
                    <w:pageBreakBefore w:val="0"/>
                    <w:kinsoku/>
                    <w:wordWrap/>
                    <w:overflowPunct/>
                    <w:topLinePunct w:val="0"/>
                    <w:bidi w:val="0"/>
                    <w:adjustRightInd/>
                    <w:snapToGrid/>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w:t>
                  </w:r>
                </w:p>
              </w:tc>
              <w:tc>
                <w:tcPr>
                  <w:tcW w:w="277" w:type="pct"/>
                  <w:vMerge w:val="continue"/>
                  <w:tcBorders>
                    <w:tl2br w:val="nil"/>
                    <w:tr2bl w:val="nil"/>
                  </w:tcBorders>
                  <w:noWrap w:val="0"/>
                  <w:vAlign w:val="center"/>
                </w:tcPr>
                <w:p w14:paraId="3E6B2046">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sz w:val="21"/>
                      <w:szCs w:val="21"/>
                    </w:rPr>
                  </w:pPr>
                </w:p>
              </w:tc>
            </w:tr>
            <w:tr w14:paraId="2732DAA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6" w:type="dxa"/>
                  <w:bottom w:w="0" w:type="dxa"/>
                  <w:right w:w="6" w:type="dxa"/>
                </w:tblCellMar>
              </w:tblPrEx>
              <w:trPr>
                <w:trHeight w:val="90" w:hRule="atLeast"/>
                <w:jc w:val="center"/>
              </w:trPr>
              <w:tc>
                <w:tcPr>
                  <w:tcW w:w="142" w:type="pct"/>
                  <w:vAlign w:val="center"/>
                </w:tcPr>
                <w:p w14:paraId="5ABDF686">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20</w:t>
                  </w:r>
                </w:p>
              </w:tc>
              <w:tc>
                <w:tcPr>
                  <w:tcW w:w="665" w:type="pct"/>
                  <w:shd w:val="clear" w:color="auto" w:fill="auto"/>
                  <w:vAlign w:val="center"/>
                </w:tcPr>
                <w:p w14:paraId="7AC89520">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食用油</w:t>
                  </w:r>
                </w:p>
              </w:tc>
              <w:tc>
                <w:tcPr>
                  <w:tcW w:w="649" w:type="pct"/>
                </w:tcPr>
                <w:p w14:paraId="28E0134C">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lang w:val="en-US" w:eastAsia="zh-CN"/>
                    </w:rPr>
                  </w:pPr>
                  <w:r>
                    <w:rPr>
                      <w:color w:val="auto"/>
                      <w:szCs w:val="21"/>
                    </w:rPr>
                    <w:t>油</w:t>
                  </w:r>
                </w:p>
              </w:tc>
              <w:tc>
                <w:tcPr>
                  <w:tcW w:w="254" w:type="pct"/>
                  <w:shd w:val="clear" w:color="auto" w:fill="auto"/>
                  <w:vAlign w:val="center"/>
                </w:tcPr>
                <w:p w14:paraId="1DAB3B1D">
                  <w:pPr>
                    <w:adjustRightInd w:val="0"/>
                    <w:snapToGrid w:val="0"/>
                    <w:jc w:val="center"/>
                    <w:rPr>
                      <w:rFonts w:hint="default" w:ascii="Times New Roman" w:hAnsi="Times New Roman" w:eastAsia="宋体" w:cs="Times New Roman"/>
                      <w:color w:val="auto"/>
                      <w:kern w:val="2"/>
                      <w:sz w:val="21"/>
                      <w:szCs w:val="21"/>
                      <w:lang w:val="en-US" w:eastAsia="zh-CN" w:bidi="ar-SA"/>
                    </w:rPr>
                  </w:pPr>
                  <w:r>
                    <w:rPr>
                      <w:color w:val="auto"/>
                      <w:szCs w:val="21"/>
                    </w:rPr>
                    <w:t>液</w:t>
                  </w:r>
                </w:p>
              </w:tc>
              <w:tc>
                <w:tcPr>
                  <w:tcW w:w="363" w:type="pct"/>
                  <w:shd w:val="clear" w:color="auto" w:fill="auto"/>
                  <w:vAlign w:val="center"/>
                </w:tcPr>
                <w:p w14:paraId="3C1F9726">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40</w:t>
                  </w:r>
                </w:p>
              </w:tc>
              <w:tc>
                <w:tcPr>
                  <w:tcW w:w="516" w:type="pct"/>
                  <w:shd w:val="clear" w:color="auto" w:fill="auto"/>
                  <w:vAlign w:val="center"/>
                </w:tcPr>
                <w:p w14:paraId="0BAE608B">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40</w:t>
                  </w:r>
                </w:p>
              </w:tc>
              <w:tc>
                <w:tcPr>
                  <w:tcW w:w="472" w:type="pct"/>
                </w:tcPr>
                <w:p w14:paraId="616F1F60">
                  <w:pPr>
                    <w:keepNext w:val="0"/>
                    <w:keepLines w:val="0"/>
                    <w:pageBreakBefore w:val="0"/>
                    <w:kinsoku/>
                    <w:wordWrap/>
                    <w:overflowPunct/>
                    <w:topLinePunct w:val="0"/>
                    <w:bidi w:val="0"/>
                    <w:adjustRightInd/>
                    <w:snapToGrid/>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0</w:t>
                  </w:r>
                </w:p>
              </w:tc>
              <w:tc>
                <w:tcPr>
                  <w:tcW w:w="418" w:type="pct"/>
                  <w:shd w:val="clear" w:color="auto" w:fill="auto"/>
                  <w:vAlign w:val="center"/>
                </w:tcPr>
                <w:p w14:paraId="0C695047">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5</w:t>
                  </w:r>
                </w:p>
              </w:tc>
              <w:tc>
                <w:tcPr>
                  <w:tcW w:w="665" w:type="pct"/>
                  <w:shd w:val="clear" w:color="auto" w:fill="auto"/>
                  <w:vAlign w:val="center"/>
                </w:tcPr>
                <w:p w14:paraId="5E057F81">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辅料储存室</w:t>
                  </w:r>
                </w:p>
              </w:tc>
              <w:tc>
                <w:tcPr>
                  <w:tcW w:w="573" w:type="pct"/>
                </w:tcPr>
                <w:p w14:paraId="0B82EE75">
                  <w:pPr>
                    <w:keepNext w:val="0"/>
                    <w:keepLines w:val="0"/>
                    <w:pageBreakBefore w:val="0"/>
                    <w:kinsoku/>
                    <w:wordWrap/>
                    <w:overflowPunct/>
                    <w:topLinePunct w:val="0"/>
                    <w:bidi w:val="0"/>
                    <w:adjustRightInd/>
                    <w:snapToGrid/>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现有项目</w:t>
                  </w:r>
                </w:p>
              </w:tc>
              <w:tc>
                <w:tcPr>
                  <w:tcW w:w="277" w:type="pct"/>
                  <w:vMerge w:val="continue"/>
                </w:tcPr>
                <w:p w14:paraId="35A353E9">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sz w:val="21"/>
                      <w:szCs w:val="21"/>
                    </w:rPr>
                  </w:pPr>
                </w:p>
              </w:tc>
            </w:tr>
            <w:tr w14:paraId="779FA6A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6" w:type="dxa"/>
                  <w:bottom w:w="0" w:type="dxa"/>
                  <w:right w:w="6" w:type="dxa"/>
                </w:tblCellMar>
              </w:tblPrEx>
              <w:trPr>
                <w:trHeight w:val="90" w:hRule="atLeast"/>
                <w:jc w:val="center"/>
              </w:trPr>
              <w:tc>
                <w:tcPr>
                  <w:tcW w:w="142" w:type="pct"/>
                  <w:vAlign w:val="center"/>
                </w:tcPr>
                <w:p w14:paraId="58B7D561">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21</w:t>
                  </w:r>
                </w:p>
              </w:tc>
              <w:tc>
                <w:tcPr>
                  <w:tcW w:w="665" w:type="pct"/>
                  <w:shd w:val="clear" w:color="auto" w:fill="auto"/>
                  <w:vAlign w:val="center"/>
                </w:tcPr>
                <w:p w14:paraId="36A64874">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eastAsia="zh-CN"/>
                    </w:rPr>
                    <w:t>其他材料</w:t>
                  </w:r>
                </w:p>
              </w:tc>
              <w:tc>
                <w:tcPr>
                  <w:tcW w:w="649" w:type="pct"/>
                </w:tcPr>
                <w:p w14:paraId="638322B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r>
                    <w:rPr>
                      <w:rFonts w:hint="eastAsia" w:cs="Times New Roman"/>
                      <w:color w:val="auto"/>
                      <w:lang w:val="en-US" w:eastAsia="zh-CN"/>
                    </w:rPr>
                    <w:t>/</w:t>
                  </w:r>
                </w:p>
              </w:tc>
              <w:tc>
                <w:tcPr>
                  <w:tcW w:w="254" w:type="pct"/>
                  <w:shd w:val="clear" w:color="auto" w:fill="auto"/>
                  <w:vAlign w:val="center"/>
                </w:tcPr>
                <w:p w14:paraId="465BEEA3">
                  <w:pPr>
                    <w:adjustRightInd w:val="0"/>
                    <w:snapToGrid w:val="0"/>
                    <w:jc w:val="center"/>
                    <w:rPr>
                      <w:rFonts w:hint="default" w:ascii="Times New Roman" w:hAnsi="Times New Roman" w:eastAsia="宋体" w:cs="Times New Roman"/>
                      <w:color w:val="auto"/>
                      <w:kern w:val="2"/>
                      <w:sz w:val="21"/>
                      <w:szCs w:val="21"/>
                      <w:lang w:val="en-US" w:eastAsia="zh-CN" w:bidi="ar-SA"/>
                    </w:rPr>
                  </w:pPr>
                  <w:r>
                    <w:rPr>
                      <w:color w:val="auto"/>
                      <w:szCs w:val="21"/>
                    </w:rPr>
                    <w:t>固</w:t>
                  </w:r>
                </w:p>
              </w:tc>
              <w:tc>
                <w:tcPr>
                  <w:tcW w:w="363" w:type="pct"/>
                  <w:shd w:val="clear" w:color="auto" w:fill="auto"/>
                  <w:vAlign w:val="center"/>
                </w:tcPr>
                <w:p w14:paraId="460C6E60">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225</w:t>
                  </w:r>
                </w:p>
              </w:tc>
              <w:tc>
                <w:tcPr>
                  <w:tcW w:w="516" w:type="pct"/>
                  <w:shd w:val="clear" w:color="auto" w:fill="auto"/>
                  <w:vAlign w:val="center"/>
                </w:tcPr>
                <w:p w14:paraId="38FE13F4">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225</w:t>
                  </w:r>
                </w:p>
              </w:tc>
              <w:tc>
                <w:tcPr>
                  <w:tcW w:w="472" w:type="pct"/>
                </w:tcPr>
                <w:p w14:paraId="1ED22526">
                  <w:pPr>
                    <w:keepNext w:val="0"/>
                    <w:keepLines w:val="0"/>
                    <w:pageBreakBefore w:val="0"/>
                    <w:kinsoku/>
                    <w:wordWrap/>
                    <w:overflowPunct/>
                    <w:topLinePunct w:val="0"/>
                    <w:bidi w:val="0"/>
                    <w:adjustRightInd/>
                    <w:snapToGrid/>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0</w:t>
                  </w:r>
                </w:p>
              </w:tc>
              <w:tc>
                <w:tcPr>
                  <w:tcW w:w="418" w:type="pct"/>
                  <w:shd w:val="clear" w:color="auto" w:fill="auto"/>
                  <w:vAlign w:val="center"/>
                </w:tcPr>
                <w:p w14:paraId="481F683C">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20</w:t>
                  </w:r>
                </w:p>
              </w:tc>
              <w:tc>
                <w:tcPr>
                  <w:tcW w:w="665" w:type="pct"/>
                  <w:shd w:val="clear" w:color="auto" w:fill="auto"/>
                  <w:vAlign w:val="center"/>
                </w:tcPr>
                <w:p w14:paraId="302E0DB0">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辅料储存室</w:t>
                  </w:r>
                </w:p>
              </w:tc>
              <w:tc>
                <w:tcPr>
                  <w:tcW w:w="573" w:type="pct"/>
                </w:tcPr>
                <w:p w14:paraId="0033F1F7">
                  <w:pPr>
                    <w:keepNext w:val="0"/>
                    <w:keepLines w:val="0"/>
                    <w:pageBreakBefore w:val="0"/>
                    <w:kinsoku/>
                    <w:wordWrap/>
                    <w:overflowPunct/>
                    <w:topLinePunct w:val="0"/>
                    <w:bidi w:val="0"/>
                    <w:adjustRightInd/>
                    <w:snapToGrid/>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现有项目</w:t>
                  </w:r>
                </w:p>
              </w:tc>
              <w:tc>
                <w:tcPr>
                  <w:tcW w:w="277" w:type="pct"/>
                  <w:vMerge w:val="continue"/>
                </w:tcPr>
                <w:p w14:paraId="59906B3A">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sz w:val="21"/>
                      <w:szCs w:val="21"/>
                    </w:rPr>
                  </w:pPr>
                </w:p>
              </w:tc>
            </w:tr>
            <w:tr w14:paraId="155B069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6" w:type="dxa"/>
                  <w:bottom w:w="0" w:type="dxa"/>
                  <w:right w:w="6" w:type="dxa"/>
                </w:tblCellMar>
              </w:tblPrEx>
              <w:trPr>
                <w:trHeight w:val="90" w:hRule="atLeast"/>
                <w:jc w:val="center"/>
              </w:trPr>
              <w:tc>
                <w:tcPr>
                  <w:tcW w:w="142" w:type="pct"/>
                  <w:vAlign w:val="center"/>
                </w:tcPr>
                <w:p w14:paraId="2B23F558">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22</w:t>
                  </w:r>
                </w:p>
              </w:tc>
              <w:tc>
                <w:tcPr>
                  <w:tcW w:w="665" w:type="pct"/>
                  <w:shd w:val="clear" w:color="auto" w:fill="auto"/>
                  <w:vAlign w:val="center"/>
                </w:tcPr>
                <w:p w14:paraId="3D310EEF">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塑料包装袋</w:t>
                  </w:r>
                </w:p>
              </w:tc>
              <w:tc>
                <w:tcPr>
                  <w:tcW w:w="649" w:type="pct"/>
                </w:tcPr>
                <w:p w14:paraId="5968143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r>
                    <w:rPr>
                      <w:rFonts w:hint="eastAsia" w:cs="Times New Roman"/>
                      <w:color w:val="auto"/>
                      <w:lang w:val="en-US" w:eastAsia="zh-CN"/>
                    </w:rPr>
                    <w:t>/</w:t>
                  </w:r>
                </w:p>
              </w:tc>
              <w:tc>
                <w:tcPr>
                  <w:tcW w:w="254" w:type="pct"/>
                  <w:shd w:val="clear" w:color="auto" w:fill="auto"/>
                  <w:vAlign w:val="center"/>
                </w:tcPr>
                <w:p w14:paraId="1B796F02">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rPr>
                    <w:t>固</w:t>
                  </w:r>
                </w:p>
              </w:tc>
              <w:tc>
                <w:tcPr>
                  <w:tcW w:w="363" w:type="pct"/>
                  <w:shd w:val="clear" w:color="auto" w:fill="auto"/>
                  <w:vAlign w:val="center"/>
                </w:tcPr>
                <w:p w14:paraId="3E9E8096">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2</w:t>
                  </w:r>
                  <w:r>
                    <w:rPr>
                      <w:color w:val="auto"/>
                      <w:szCs w:val="21"/>
                    </w:rPr>
                    <w:t>50</w:t>
                  </w:r>
                </w:p>
              </w:tc>
              <w:tc>
                <w:tcPr>
                  <w:tcW w:w="516" w:type="pct"/>
                  <w:shd w:val="clear" w:color="auto" w:fill="auto"/>
                  <w:vAlign w:val="center"/>
                </w:tcPr>
                <w:p w14:paraId="1EFE66D7">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400</w:t>
                  </w:r>
                </w:p>
              </w:tc>
              <w:tc>
                <w:tcPr>
                  <w:tcW w:w="472" w:type="pct"/>
                </w:tcPr>
                <w:p w14:paraId="0AC80C21">
                  <w:pPr>
                    <w:keepNext w:val="0"/>
                    <w:keepLines w:val="0"/>
                    <w:pageBreakBefore w:val="0"/>
                    <w:kinsoku/>
                    <w:wordWrap/>
                    <w:overflowPunct/>
                    <w:topLinePunct w:val="0"/>
                    <w:bidi w:val="0"/>
                    <w:adjustRightInd/>
                    <w:snapToGrid/>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+150</w:t>
                  </w:r>
                </w:p>
              </w:tc>
              <w:tc>
                <w:tcPr>
                  <w:tcW w:w="418" w:type="pct"/>
                  <w:shd w:val="clear" w:color="auto" w:fill="auto"/>
                  <w:vAlign w:val="center"/>
                </w:tcPr>
                <w:p w14:paraId="1FA7650D">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20</w:t>
                  </w:r>
                </w:p>
              </w:tc>
              <w:tc>
                <w:tcPr>
                  <w:tcW w:w="665" w:type="pct"/>
                  <w:shd w:val="clear" w:color="auto" w:fill="auto"/>
                  <w:vAlign w:val="center"/>
                </w:tcPr>
                <w:p w14:paraId="3CD97A71">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辅料储存室</w:t>
                  </w:r>
                </w:p>
              </w:tc>
              <w:tc>
                <w:tcPr>
                  <w:tcW w:w="573" w:type="pct"/>
                </w:tcPr>
                <w:p w14:paraId="3D7B23C3">
                  <w:pPr>
                    <w:keepNext w:val="0"/>
                    <w:keepLines w:val="0"/>
                    <w:pageBreakBefore w:val="0"/>
                    <w:kinsoku/>
                    <w:wordWrap/>
                    <w:overflowPunct/>
                    <w:topLinePunct w:val="0"/>
                    <w:bidi w:val="0"/>
                    <w:adjustRightInd/>
                    <w:snapToGrid/>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w:t>
                  </w:r>
                </w:p>
              </w:tc>
              <w:tc>
                <w:tcPr>
                  <w:tcW w:w="277" w:type="pct"/>
                  <w:vMerge w:val="continue"/>
                </w:tcPr>
                <w:p w14:paraId="3ED94577">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sz w:val="21"/>
                      <w:szCs w:val="21"/>
                    </w:rPr>
                  </w:pPr>
                </w:p>
              </w:tc>
            </w:tr>
            <w:tr w14:paraId="785901B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6" w:type="dxa"/>
                  <w:bottom w:w="0" w:type="dxa"/>
                  <w:right w:w="6" w:type="dxa"/>
                </w:tblCellMar>
              </w:tblPrEx>
              <w:trPr>
                <w:trHeight w:val="90" w:hRule="atLeast"/>
                <w:jc w:val="center"/>
              </w:trPr>
              <w:tc>
                <w:tcPr>
                  <w:tcW w:w="142" w:type="pct"/>
                  <w:vAlign w:val="center"/>
                </w:tcPr>
                <w:p w14:paraId="3B502F98">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23</w:t>
                  </w:r>
                </w:p>
              </w:tc>
              <w:tc>
                <w:tcPr>
                  <w:tcW w:w="665" w:type="pct"/>
                  <w:shd w:val="clear" w:color="auto" w:fill="auto"/>
                  <w:vAlign w:val="center"/>
                </w:tcPr>
                <w:p w14:paraId="4E4062AE">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纸箱</w:t>
                  </w:r>
                </w:p>
              </w:tc>
              <w:tc>
                <w:tcPr>
                  <w:tcW w:w="649" w:type="pct"/>
                </w:tcPr>
                <w:p w14:paraId="2E28BB82">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lang w:val="en-US" w:eastAsia="zh-CN"/>
                    </w:rPr>
                  </w:pPr>
                </w:p>
              </w:tc>
              <w:tc>
                <w:tcPr>
                  <w:tcW w:w="254" w:type="pct"/>
                  <w:shd w:val="clear" w:color="auto" w:fill="auto"/>
                  <w:vAlign w:val="center"/>
                </w:tcPr>
                <w:p w14:paraId="3EBE282C">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rPr>
                    <w:t>固</w:t>
                  </w:r>
                </w:p>
              </w:tc>
              <w:tc>
                <w:tcPr>
                  <w:tcW w:w="363" w:type="pct"/>
                  <w:shd w:val="clear" w:color="auto" w:fill="auto"/>
                  <w:vAlign w:val="center"/>
                </w:tcPr>
                <w:p w14:paraId="1805E642">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1</w:t>
                  </w:r>
                  <w:r>
                    <w:rPr>
                      <w:color w:val="auto"/>
                      <w:szCs w:val="21"/>
                    </w:rPr>
                    <w:t>000</w:t>
                  </w:r>
                </w:p>
              </w:tc>
              <w:tc>
                <w:tcPr>
                  <w:tcW w:w="516" w:type="pct"/>
                  <w:shd w:val="clear" w:color="auto" w:fill="auto"/>
                  <w:vAlign w:val="center"/>
                </w:tcPr>
                <w:p w14:paraId="73FB0E94">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1</w:t>
                  </w:r>
                  <w:r>
                    <w:rPr>
                      <w:rFonts w:hint="eastAsia"/>
                      <w:color w:val="auto"/>
                      <w:szCs w:val="21"/>
                      <w:lang w:val="en-US" w:eastAsia="zh-CN"/>
                    </w:rPr>
                    <w:t>1</w:t>
                  </w:r>
                  <w:r>
                    <w:rPr>
                      <w:color w:val="auto"/>
                      <w:szCs w:val="21"/>
                    </w:rPr>
                    <w:t>00</w:t>
                  </w:r>
                </w:p>
              </w:tc>
              <w:tc>
                <w:tcPr>
                  <w:tcW w:w="472" w:type="pct"/>
                </w:tcPr>
                <w:p w14:paraId="37952042">
                  <w:pPr>
                    <w:keepNext w:val="0"/>
                    <w:keepLines w:val="0"/>
                    <w:pageBreakBefore w:val="0"/>
                    <w:kinsoku/>
                    <w:wordWrap/>
                    <w:overflowPunct/>
                    <w:topLinePunct w:val="0"/>
                    <w:bidi w:val="0"/>
                    <w:adjustRightInd/>
                    <w:snapToGrid/>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+100</w:t>
                  </w:r>
                </w:p>
              </w:tc>
              <w:tc>
                <w:tcPr>
                  <w:tcW w:w="418" w:type="pct"/>
                  <w:shd w:val="clear" w:color="auto" w:fill="auto"/>
                  <w:vAlign w:val="center"/>
                </w:tcPr>
                <w:p w14:paraId="1B468885">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5</w:t>
                  </w:r>
                  <w:r>
                    <w:rPr>
                      <w:color w:val="auto"/>
                      <w:szCs w:val="21"/>
                    </w:rPr>
                    <w:t>0</w:t>
                  </w:r>
                </w:p>
              </w:tc>
              <w:tc>
                <w:tcPr>
                  <w:tcW w:w="665" w:type="pct"/>
                  <w:shd w:val="clear" w:color="auto" w:fill="auto"/>
                  <w:vAlign w:val="center"/>
                </w:tcPr>
                <w:p w14:paraId="25924195">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辅料储存室</w:t>
                  </w:r>
                </w:p>
              </w:tc>
              <w:tc>
                <w:tcPr>
                  <w:tcW w:w="573" w:type="pct"/>
                </w:tcPr>
                <w:p w14:paraId="41782D84">
                  <w:pPr>
                    <w:keepNext w:val="0"/>
                    <w:keepLines w:val="0"/>
                    <w:pageBreakBefore w:val="0"/>
                    <w:kinsoku/>
                    <w:wordWrap/>
                    <w:overflowPunct/>
                    <w:topLinePunct w:val="0"/>
                    <w:bidi w:val="0"/>
                    <w:adjustRightInd/>
                    <w:snapToGrid/>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w:t>
                  </w:r>
                </w:p>
              </w:tc>
              <w:tc>
                <w:tcPr>
                  <w:tcW w:w="277" w:type="pct"/>
                  <w:vMerge w:val="continue"/>
                </w:tcPr>
                <w:p w14:paraId="65974D66">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sz w:val="21"/>
                      <w:szCs w:val="21"/>
                    </w:rPr>
                  </w:pPr>
                </w:p>
              </w:tc>
            </w:tr>
            <w:tr w14:paraId="61F260D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6" w:type="dxa"/>
                  <w:bottom w:w="0" w:type="dxa"/>
                  <w:right w:w="6" w:type="dxa"/>
                </w:tblCellMar>
              </w:tblPrEx>
              <w:trPr>
                <w:trHeight w:val="90" w:hRule="atLeast"/>
                <w:jc w:val="center"/>
              </w:trPr>
              <w:tc>
                <w:tcPr>
                  <w:tcW w:w="142" w:type="pct"/>
                  <w:vAlign w:val="center"/>
                </w:tcPr>
                <w:p w14:paraId="7B0252BB">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24</w:t>
                  </w:r>
                </w:p>
              </w:tc>
              <w:tc>
                <w:tcPr>
                  <w:tcW w:w="665" w:type="pct"/>
                  <w:shd w:val="clear" w:color="auto" w:fill="auto"/>
                  <w:vAlign w:val="center"/>
                </w:tcPr>
                <w:p w14:paraId="14296F52">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洗涤剂</w:t>
                  </w:r>
                </w:p>
              </w:tc>
              <w:tc>
                <w:tcPr>
                  <w:tcW w:w="649" w:type="pct"/>
                </w:tcPr>
                <w:p w14:paraId="52281C7D">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lang w:val="en-US" w:eastAsia="zh-CN"/>
                    </w:rPr>
                  </w:pPr>
                  <w:r>
                    <w:rPr>
                      <w:color w:val="auto"/>
                    </w:rPr>
                    <w:fldChar w:fldCharType="begin"/>
                  </w:r>
                  <w:r>
                    <w:rPr>
                      <w:color w:val="auto"/>
                    </w:rPr>
                    <w:instrText xml:space="preserve"> HYPERLINK "https://baike.baidu.com/item/%E7%83%B7%E5%9F%BA%E7%A3%BA%E9%85%B8%E9%92%A0/4415178" \t "_blank" </w:instrText>
                  </w:r>
                  <w:r>
                    <w:rPr>
                      <w:color w:val="auto"/>
                    </w:rPr>
                    <w:fldChar w:fldCharType="separate"/>
                  </w:r>
                  <w:r>
                    <w:rPr>
                      <w:bCs/>
                      <w:color w:val="auto"/>
                    </w:rPr>
                    <w:t>烷基磺酸钠</w:t>
                  </w:r>
                  <w:r>
                    <w:rPr>
                      <w:bCs/>
                      <w:color w:val="auto"/>
                    </w:rPr>
                    <w:fldChar w:fldCharType="end"/>
                  </w:r>
                </w:p>
              </w:tc>
              <w:tc>
                <w:tcPr>
                  <w:tcW w:w="254" w:type="pct"/>
                  <w:shd w:val="clear" w:color="auto" w:fill="auto"/>
                  <w:vAlign w:val="center"/>
                </w:tcPr>
                <w:p w14:paraId="0FC01421">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rPr>
                    <w:t>液</w:t>
                  </w:r>
                </w:p>
              </w:tc>
              <w:tc>
                <w:tcPr>
                  <w:tcW w:w="363" w:type="pct"/>
                  <w:shd w:val="clear" w:color="auto" w:fill="auto"/>
                  <w:vAlign w:val="center"/>
                </w:tcPr>
                <w:p w14:paraId="17C20A6A">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1</w:t>
                  </w:r>
                </w:p>
              </w:tc>
              <w:tc>
                <w:tcPr>
                  <w:tcW w:w="516" w:type="pct"/>
                  <w:shd w:val="clear" w:color="auto" w:fill="auto"/>
                  <w:vAlign w:val="center"/>
                </w:tcPr>
                <w:p w14:paraId="3777B2E0">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2</w:t>
                  </w:r>
                </w:p>
              </w:tc>
              <w:tc>
                <w:tcPr>
                  <w:tcW w:w="472" w:type="pct"/>
                </w:tcPr>
                <w:p w14:paraId="4A24B9C0">
                  <w:pPr>
                    <w:keepNext w:val="0"/>
                    <w:keepLines w:val="0"/>
                    <w:pageBreakBefore w:val="0"/>
                    <w:kinsoku/>
                    <w:wordWrap/>
                    <w:overflowPunct/>
                    <w:topLinePunct w:val="0"/>
                    <w:bidi w:val="0"/>
                    <w:adjustRightInd/>
                    <w:snapToGrid/>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+1</w:t>
                  </w:r>
                </w:p>
              </w:tc>
              <w:tc>
                <w:tcPr>
                  <w:tcW w:w="418" w:type="pct"/>
                  <w:shd w:val="clear" w:color="auto" w:fill="auto"/>
                  <w:vAlign w:val="center"/>
                </w:tcPr>
                <w:p w14:paraId="00F3F69F">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0</w:t>
                  </w:r>
                  <w:r>
                    <w:rPr>
                      <w:color w:val="auto"/>
                      <w:szCs w:val="21"/>
                    </w:rPr>
                    <w:t>.01</w:t>
                  </w:r>
                </w:p>
              </w:tc>
              <w:tc>
                <w:tcPr>
                  <w:tcW w:w="665" w:type="pct"/>
                  <w:shd w:val="clear" w:color="auto" w:fill="auto"/>
                  <w:vAlign w:val="center"/>
                </w:tcPr>
                <w:p w14:paraId="1949769D">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辅料储存室</w:t>
                  </w:r>
                </w:p>
              </w:tc>
              <w:tc>
                <w:tcPr>
                  <w:tcW w:w="573" w:type="pct"/>
                </w:tcPr>
                <w:p w14:paraId="1F15CF73">
                  <w:pPr>
                    <w:keepNext w:val="0"/>
                    <w:keepLines w:val="0"/>
                    <w:pageBreakBefore w:val="0"/>
                    <w:kinsoku/>
                    <w:wordWrap/>
                    <w:overflowPunct/>
                    <w:topLinePunct w:val="0"/>
                    <w:bidi w:val="0"/>
                    <w:adjustRightInd/>
                    <w:snapToGrid/>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w:t>
                  </w:r>
                </w:p>
              </w:tc>
              <w:tc>
                <w:tcPr>
                  <w:tcW w:w="277" w:type="pct"/>
                  <w:vMerge w:val="continue"/>
                </w:tcPr>
                <w:p w14:paraId="25756EE2">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sz w:val="21"/>
                      <w:szCs w:val="21"/>
                    </w:rPr>
                  </w:pPr>
                </w:p>
              </w:tc>
            </w:tr>
            <w:tr w14:paraId="63390AD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6" w:type="dxa"/>
                  <w:bottom w:w="0" w:type="dxa"/>
                  <w:right w:w="6" w:type="dxa"/>
                </w:tblCellMar>
              </w:tblPrEx>
              <w:trPr>
                <w:trHeight w:val="90" w:hRule="atLeast"/>
                <w:jc w:val="center"/>
              </w:trPr>
              <w:tc>
                <w:tcPr>
                  <w:tcW w:w="142" w:type="pct"/>
                  <w:vAlign w:val="center"/>
                </w:tcPr>
                <w:p w14:paraId="7B788C1F">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25</w:t>
                  </w:r>
                </w:p>
              </w:tc>
              <w:tc>
                <w:tcPr>
                  <w:tcW w:w="665" w:type="pct"/>
                  <w:shd w:val="clear" w:color="auto" w:fill="auto"/>
                  <w:vAlign w:val="center"/>
                </w:tcPr>
                <w:p w14:paraId="3F204626">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3</w:t>
                  </w:r>
                  <w:r>
                    <w:rPr>
                      <w:color w:val="auto"/>
                      <w:szCs w:val="21"/>
                    </w:rPr>
                    <w:t>M</w:t>
                  </w:r>
                  <w:r>
                    <w:rPr>
                      <w:rFonts w:hint="eastAsia"/>
                      <w:color w:val="auto"/>
                      <w:szCs w:val="21"/>
                    </w:rPr>
                    <w:t>检测试片</w:t>
                  </w:r>
                </w:p>
              </w:tc>
              <w:tc>
                <w:tcPr>
                  <w:tcW w:w="649" w:type="pct"/>
                  <w:vAlign w:val="center"/>
                </w:tcPr>
                <w:p w14:paraId="1FFCFA8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lang w:val="en-US" w:eastAsia="zh-CN"/>
                    </w:rPr>
                  </w:pPr>
                  <w:r>
                    <w:rPr>
                      <w:rFonts w:hint="eastAsia" w:cs="Times New Roman"/>
                      <w:color w:val="auto"/>
                      <w:lang w:val="en-US" w:eastAsia="zh-CN"/>
                    </w:rPr>
                    <w:t>/</w:t>
                  </w:r>
                </w:p>
              </w:tc>
              <w:tc>
                <w:tcPr>
                  <w:tcW w:w="254" w:type="pct"/>
                  <w:shd w:val="clear" w:color="auto" w:fill="auto"/>
                  <w:vAlign w:val="center"/>
                </w:tcPr>
                <w:p w14:paraId="78701D10">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rPr>
                    <w:t>固</w:t>
                  </w:r>
                </w:p>
              </w:tc>
              <w:tc>
                <w:tcPr>
                  <w:tcW w:w="363" w:type="pct"/>
                  <w:shd w:val="clear" w:color="auto" w:fill="auto"/>
                  <w:vAlign w:val="center"/>
                </w:tcPr>
                <w:p w14:paraId="0E473FEE">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3</w:t>
                  </w:r>
                  <w:r>
                    <w:rPr>
                      <w:color w:val="auto"/>
                      <w:szCs w:val="21"/>
                    </w:rPr>
                    <w:t>600</w:t>
                  </w:r>
                  <w:r>
                    <w:rPr>
                      <w:rFonts w:hint="eastAsia"/>
                      <w:color w:val="auto"/>
                      <w:szCs w:val="21"/>
                    </w:rPr>
                    <w:t>片</w:t>
                  </w:r>
                </w:p>
              </w:tc>
              <w:tc>
                <w:tcPr>
                  <w:tcW w:w="516" w:type="pct"/>
                  <w:shd w:val="clear" w:color="auto" w:fill="auto"/>
                  <w:vAlign w:val="center"/>
                </w:tcPr>
                <w:p w14:paraId="78A78897">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5000</w:t>
                  </w:r>
                  <w:r>
                    <w:rPr>
                      <w:rFonts w:hint="eastAsia"/>
                      <w:color w:val="auto"/>
                      <w:szCs w:val="21"/>
                    </w:rPr>
                    <w:t>片</w:t>
                  </w:r>
                </w:p>
              </w:tc>
              <w:tc>
                <w:tcPr>
                  <w:tcW w:w="472" w:type="pct"/>
                  <w:vAlign w:val="center"/>
                </w:tcPr>
                <w:p w14:paraId="14F3A552">
                  <w:pPr>
                    <w:keepNext w:val="0"/>
                    <w:keepLines w:val="0"/>
                    <w:pageBreakBefore w:val="0"/>
                    <w:kinsoku/>
                    <w:wordWrap/>
                    <w:overflowPunct/>
                    <w:topLinePunct w:val="0"/>
                    <w:bidi w:val="0"/>
                    <w:adjustRightInd/>
                    <w:snapToGrid/>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+1400片</w:t>
                  </w:r>
                </w:p>
              </w:tc>
              <w:tc>
                <w:tcPr>
                  <w:tcW w:w="418" w:type="pct"/>
                  <w:shd w:val="clear" w:color="auto" w:fill="auto"/>
                  <w:vAlign w:val="center"/>
                </w:tcPr>
                <w:p w14:paraId="5AA9D9F9">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1200</w:t>
                  </w:r>
                  <w:r>
                    <w:rPr>
                      <w:rFonts w:hint="eastAsia"/>
                      <w:color w:val="auto"/>
                      <w:szCs w:val="21"/>
                    </w:rPr>
                    <w:t>片</w:t>
                  </w:r>
                </w:p>
              </w:tc>
              <w:tc>
                <w:tcPr>
                  <w:tcW w:w="665" w:type="pct"/>
                  <w:shd w:val="clear" w:color="auto" w:fill="auto"/>
                  <w:vAlign w:val="center"/>
                </w:tcPr>
                <w:p w14:paraId="1A874D7A">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化验室</w:t>
                  </w:r>
                </w:p>
              </w:tc>
              <w:tc>
                <w:tcPr>
                  <w:tcW w:w="573" w:type="pct"/>
                  <w:vAlign w:val="center"/>
                </w:tcPr>
                <w:p w14:paraId="53C6CF49">
                  <w:pPr>
                    <w:keepNext w:val="0"/>
                    <w:keepLines w:val="0"/>
                    <w:pageBreakBefore w:val="0"/>
                    <w:kinsoku/>
                    <w:wordWrap/>
                    <w:overflowPunct/>
                    <w:topLinePunct w:val="0"/>
                    <w:bidi w:val="0"/>
                    <w:adjustRightInd/>
                    <w:snapToGrid/>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w:t>
                  </w:r>
                </w:p>
              </w:tc>
              <w:tc>
                <w:tcPr>
                  <w:tcW w:w="277" w:type="pct"/>
                  <w:vMerge w:val="continue"/>
                </w:tcPr>
                <w:p w14:paraId="53D317D7">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sz w:val="21"/>
                      <w:szCs w:val="21"/>
                    </w:rPr>
                  </w:pPr>
                </w:p>
              </w:tc>
            </w:tr>
            <w:tr w14:paraId="1431CE5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6" w:type="dxa"/>
                  <w:bottom w:w="0" w:type="dxa"/>
                  <w:right w:w="6" w:type="dxa"/>
                </w:tblCellMar>
              </w:tblPrEx>
              <w:trPr>
                <w:trHeight w:val="90" w:hRule="atLeast"/>
                <w:jc w:val="center"/>
              </w:trPr>
              <w:tc>
                <w:tcPr>
                  <w:tcW w:w="142" w:type="pct"/>
                  <w:vAlign w:val="center"/>
                </w:tcPr>
                <w:p w14:paraId="2C3E4B2E">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26</w:t>
                  </w:r>
                </w:p>
              </w:tc>
              <w:tc>
                <w:tcPr>
                  <w:tcW w:w="665" w:type="pct"/>
                  <w:shd w:val="clear" w:color="auto" w:fill="auto"/>
                  <w:vAlign w:val="center"/>
                </w:tcPr>
                <w:p w14:paraId="3F63CBE7">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酒精（7</w:t>
                  </w:r>
                  <w:r>
                    <w:rPr>
                      <w:color w:val="auto"/>
                      <w:szCs w:val="21"/>
                    </w:rPr>
                    <w:t>5%</w:t>
                  </w:r>
                  <w:r>
                    <w:rPr>
                      <w:rFonts w:hint="eastAsia"/>
                      <w:color w:val="auto"/>
                      <w:szCs w:val="21"/>
                    </w:rPr>
                    <w:t>）</w:t>
                  </w:r>
                </w:p>
              </w:tc>
              <w:tc>
                <w:tcPr>
                  <w:tcW w:w="649" w:type="pct"/>
                </w:tcPr>
                <w:p w14:paraId="102D85AE">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lang w:val="en-US" w:eastAsia="zh-CN"/>
                    </w:rPr>
                  </w:pPr>
                  <w:r>
                    <w:rPr>
                      <w:rFonts w:hint="eastAsia"/>
                      <w:color w:val="auto"/>
                      <w:szCs w:val="21"/>
                    </w:rPr>
                    <w:t>7</w:t>
                  </w:r>
                  <w:r>
                    <w:rPr>
                      <w:color w:val="auto"/>
                      <w:szCs w:val="21"/>
                    </w:rPr>
                    <w:t>5%</w:t>
                  </w:r>
                  <w:r>
                    <w:rPr>
                      <w:rFonts w:hint="eastAsia"/>
                      <w:color w:val="auto"/>
                      <w:szCs w:val="21"/>
                      <w:lang w:eastAsia="zh-CN"/>
                    </w:rPr>
                    <w:t>乙醇</w:t>
                  </w:r>
                </w:p>
              </w:tc>
              <w:tc>
                <w:tcPr>
                  <w:tcW w:w="254" w:type="pct"/>
                  <w:shd w:val="clear" w:color="auto" w:fill="auto"/>
                  <w:vAlign w:val="center"/>
                </w:tcPr>
                <w:p w14:paraId="12AA382C">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rPr>
                    <w:t>液</w:t>
                  </w:r>
                </w:p>
              </w:tc>
              <w:tc>
                <w:tcPr>
                  <w:tcW w:w="363" w:type="pct"/>
                  <w:shd w:val="clear" w:color="auto" w:fill="auto"/>
                  <w:vAlign w:val="center"/>
                </w:tcPr>
                <w:p w14:paraId="011579FE">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2.4</w:t>
                  </w:r>
                </w:p>
              </w:tc>
              <w:tc>
                <w:tcPr>
                  <w:tcW w:w="516" w:type="pct"/>
                  <w:shd w:val="clear" w:color="auto" w:fill="auto"/>
                  <w:vAlign w:val="center"/>
                </w:tcPr>
                <w:p w14:paraId="7DED0AC3">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5</w:t>
                  </w:r>
                </w:p>
              </w:tc>
              <w:tc>
                <w:tcPr>
                  <w:tcW w:w="472" w:type="pct"/>
                </w:tcPr>
                <w:p w14:paraId="51B83296">
                  <w:pPr>
                    <w:keepNext w:val="0"/>
                    <w:keepLines w:val="0"/>
                    <w:pageBreakBefore w:val="0"/>
                    <w:kinsoku/>
                    <w:wordWrap/>
                    <w:overflowPunct/>
                    <w:topLinePunct w:val="0"/>
                    <w:bidi w:val="0"/>
                    <w:adjustRightInd/>
                    <w:snapToGrid/>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+2.6</w:t>
                  </w:r>
                </w:p>
              </w:tc>
              <w:tc>
                <w:tcPr>
                  <w:tcW w:w="418" w:type="pct"/>
                  <w:shd w:val="clear" w:color="auto" w:fill="auto"/>
                  <w:vAlign w:val="center"/>
                </w:tcPr>
                <w:p w14:paraId="2B5E5E22">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0.05</w:t>
                  </w:r>
                </w:p>
              </w:tc>
              <w:tc>
                <w:tcPr>
                  <w:tcW w:w="665" w:type="pct"/>
                  <w:shd w:val="clear" w:color="auto" w:fill="auto"/>
                  <w:vAlign w:val="center"/>
                </w:tcPr>
                <w:p w14:paraId="4CA9F035">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危险品库</w:t>
                  </w:r>
                </w:p>
              </w:tc>
              <w:tc>
                <w:tcPr>
                  <w:tcW w:w="573" w:type="pct"/>
                </w:tcPr>
                <w:p w14:paraId="464393A6">
                  <w:pPr>
                    <w:keepNext w:val="0"/>
                    <w:keepLines w:val="0"/>
                    <w:pageBreakBefore w:val="0"/>
                    <w:kinsoku/>
                    <w:wordWrap/>
                    <w:overflowPunct/>
                    <w:topLinePunct w:val="0"/>
                    <w:bidi w:val="0"/>
                    <w:adjustRightInd/>
                    <w:snapToGrid/>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w:t>
                  </w:r>
                </w:p>
              </w:tc>
              <w:tc>
                <w:tcPr>
                  <w:tcW w:w="277" w:type="pct"/>
                  <w:vMerge w:val="continue"/>
                </w:tcPr>
                <w:p w14:paraId="68917E8B">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sz w:val="21"/>
                      <w:szCs w:val="21"/>
                    </w:rPr>
                  </w:pPr>
                </w:p>
              </w:tc>
            </w:tr>
            <w:tr w14:paraId="3EC06CC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6" w:type="dxa"/>
                  <w:bottom w:w="0" w:type="dxa"/>
                  <w:right w:w="6" w:type="dxa"/>
                </w:tblCellMar>
              </w:tblPrEx>
              <w:trPr>
                <w:trHeight w:val="90" w:hRule="atLeast"/>
                <w:jc w:val="center"/>
              </w:trPr>
              <w:tc>
                <w:tcPr>
                  <w:tcW w:w="142" w:type="pct"/>
                  <w:vAlign w:val="center"/>
                </w:tcPr>
                <w:p w14:paraId="24F88CCD">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27</w:t>
                  </w:r>
                </w:p>
              </w:tc>
              <w:tc>
                <w:tcPr>
                  <w:tcW w:w="665" w:type="pct"/>
                  <w:shd w:val="clear" w:color="auto" w:fill="auto"/>
                  <w:vAlign w:val="center"/>
                </w:tcPr>
                <w:p w14:paraId="0AEC6942">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制冷剂</w:t>
                  </w:r>
                </w:p>
              </w:tc>
              <w:tc>
                <w:tcPr>
                  <w:tcW w:w="649" w:type="pct"/>
                </w:tcPr>
                <w:p w14:paraId="3723D47B">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lang w:val="en-US" w:eastAsia="zh-CN"/>
                    </w:rPr>
                  </w:pPr>
                </w:p>
              </w:tc>
              <w:tc>
                <w:tcPr>
                  <w:tcW w:w="254" w:type="pct"/>
                  <w:shd w:val="clear" w:color="auto" w:fill="auto"/>
                  <w:vAlign w:val="center"/>
                </w:tcPr>
                <w:p w14:paraId="3373766A">
                  <w:pPr>
                    <w:adjustRightInd w:val="0"/>
                    <w:snapToGrid w:val="0"/>
                    <w:jc w:val="center"/>
                    <w:rPr>
                      <w:rFonts w:hint="default" w:ascii="Times New Roman" w:hAnsi="Times New Roman" w:eastAsia="宋体" w:cs="Times New Roman"/>
                      <w:color w:val="auto"/>
                      <w:kern w:val="2"/>
                      <w:sz w:val="21"/>
                      <w:szCs w:val="21"/>
                      <w:lang w:val="en-US" w:eastAsia="zh-CN" w:bidi="ar-SA"/>
                    </w:rPr>
                  </w:pPr>
                  <w:r>
                    <w:rPr>
                      <w:color w:val="auto"/>
                      <w:szCs w:val="21"/>
                    </w:rPr>
                    <w:t>液</w:t>
                  </w:r>
                </w:p>
              </w:tc>
              <w:tc>
                <w:tcPr>
                  <w:tcW w:w="363" w:type="pct"/>
                  <w:shd w:val="clear" w:color="auto" w:fill="auto"/>
                  <w:vAlign w:val="center"/>
                </w:tcPr>
                <w:p w14:paraId="3179F4C4">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1.6</w:t>
                  </w:r>
                </w:p>
              </w:tc>
              <w:tc>
                <w:tcPr>
                  <w:tcW w:w="516" w:type="pct"/>
                  <w:shd w:val="clear" w:color="auto" w:fill="auto"/>
                  <w:vAlign w:val="center"/>
                </w:tcPr>
                <w:p w14:paraId="5E210FED">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3</w:t>
                  </w:r>
                </w:p>
              </w:tc>
              <w:tc>
                <w:tcPr>
                  <w:tcW w:w="472" w:type="pct"/>
                </w:tcPr>
                <w:p w14:paraId="5FB87D2B">
                  <w:pPr>
                    <w:keepNext w:val="0"/>
                    <w:keepLines w:val="0"/>
                    <w:pageBreakBefore w:val="0"/>
                    <w:kinsoku/>
                    <w:wordWrap/>
                    <w:overflowPunct/>
                    <w:topLinePunct w:val="0"/>
                    <w:bidi w:val="0"/>
                    <w:adjustRightInd/>
                    <w:snapToGrid/>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+1.4</w:t>
                  </w:r>
                </w:p>
              </w:tc>
              <w:tc>
                <w:tcPr>
                  <w:tcW w:w="418" w:type="pct"/>
                  <w:shd w:val="clear" w:color="auto" w:fill="auto"/>
                  <w:vAlign w:val="center"/>
                </w:tcPr>
                <w:p w14:paraId="51A4E96A">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1.6</w:t>
                  </w:r>
                </w:p>
              </w:tc>
              <w:tc>
                <w:tcPr>
                  <w:tcW w:w="665" w:type="pct"/>
                  <w:shd w:val="clear" w:color="auto" w:fill="auto"/>
                  <w:vAlign w:val="center"/>
                </w:tcPr>
                <w:p w14:paraId="34F84AA9">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辅料储存室</w:t>
                  </w:r>
                </w:p>
              </w:tc>
              <w:tc>
                <w:tcPr>
                  <w:tcW w:w="573" w:type="pct"/>
                </w:tcPr>
                <w:p w14:paraId="69A4E815">
                  <w:pPr>
                    <w:keepNext w:val="0"/>
                    <w:keepLines w:val="0"/>
                    <w:pageBreakBefore w:val="0"/>
                    <w:kinsoku/>
                    <w:wordWrap/>
                    <w:overflowPunct/>
                    <w:topLinePunct w:val="0"/>
                    <w:bidi w:val="0"/>
                    <w:adjustRightInd/>
                    <w:snapToGrid/>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w:t>
                  </w:r>
                </w:p>
              </w:tc>
              <w:tc>
                <w:tcPr>
                  <w:tcW w:w="277" w:type="pct"/>
                  <w:vMerge w:val="continue"/>
                </w:tcPr>
                <w:p w14:paraId="244C67CD">
                  <w:pPr>
                    <w:keepNext w:val="0"/>
                    <w:keepLines w:val="0"/>
                    <w:pageBreakBefore w:val="0"/>
                    <w:kinsoku/>
                    <w:wordWrap/>
                    <w:overflowPunct/>
                    <w:topLinePunct w:val="0"/>
                    <w:bidi w:val="0"/>
                    <w:adjustRightInd/>
                    <w:snapToGrid/>
                    <w:ind w:firstLine="0" w:firstLineChars="0"/>
                    <w:jc w:val="center"/>
                    <w:rPr>
                      <w:rFonts w:hint="default" w:ascii="Times New Roman" w:hAnsi="Times New Roman" w:eastAsia="宋体" w:cs="Times New Roman"/>
                      <w:color w:val="auto"/>
                      <w:sz w:val="21"/>
                      <w:szCs w:val="21"/>
                    </w:rPr>
                  </w:pPr>
                </w:p>
              </w:tc>
            </w:tr>
          </w:tbl>
          <w:p w14:paraId="7B4C56B0">
            <w:pPr>
              <w:pStyle w:val="40"/>
              <w:spacing w:line="360" w:lineRule="auto"/>
              <w:ind w:firstLine="482"/>
              <w:rPr>
                <w:b/>
                <w:color w:val="auto"/>
                <w:sz w:val="24"/>
              </w:rPr>
            </w:pPr>
            <w:r>
              <w:rPr>
                <w:rFonts w:ascii="Times New Roman" w:hAnsi="Times New Roman" w:eastAsia="宋体" w:cs="Times New Roman"/>
                <w:color w:val="auto"/>
              </w:rPr>
              <w:t>（2）主要原辅材料理化性质、毒性毒理</w:t>
            </w:r>
          </w:p>
          <w:p w14:paraId="1FC807F2">
            <w:pPr>
              <w:keepNext/>
              <w:adjustRightInd w:val="0"/>
              <w:snapToGrid w:val="0"/>
              <w:jc w:val="center"/>
              <w:rPr>
                <w:color w:val="auto"/>
                <w:sz w:val="24"/>
              </w:rPr>
            </w:pPr>
            <w:r>
              <w:rPr>
                <w:b/>
                <w:color w:val="auto"/>
                <w:sz w:val="24"/>
              </w:rPr>
              <w:t>表2-4</w:t>
            </w:r>
            <w:r>
              <w:rPr>
                <w:rFonts w:hint="eastAsia"/>
                <w:b/>
                <w:color w:val="auto"/>
                <w:sz w:val="24"/>
                <w:lang w:eastAsia="zh-CN"/>
              </w:rPr>
              <w:t>本次技改项目涉及</w:t>
            </w:r>
            <w:r>
              <w:rPr>
                <w:b/>
                <w:color w:val="auto"/>
                <w:sz w:val="24"/>
              </w:rPr>
              <w:t>原辅材料理化性质、毒性毒理</w:t>
            </w:r>
          </w:p>
          <w:tbl>
            <w:tblPr>
              <w:tblStyle w:val="32"/>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66"/>
              <w:gridCol w:w="1578"/>
              <w:gridCol w:w="1134"/>
              <w:gridCol w:w="1897"/>
              <w:gridCol w:w="1394"/>
              <w:gridCol w:w="1464"/>
            </w:tblGrid>
            <w:tr w14:paraId="454B28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6" w:type="dxa"/>
                  <w:tcBorders>
                    <w:top w:val="single" w:color="auto" w:sz="12" w:space="0"/>
                    <w:bottom w:val="single" w:color="auto" w:sz="12" w:space="0"/>
                  </w:tcBorders>
                  <w:vAlign w:val="center"/>
                </w:tcPr>
                <w:p w14:paraId="2DC5A07C">
                  <w:pPr>
                    <w:adjustRightInd w:val="0"/>
                    <w:jc w:val="center"/>
                    <w:rPr>
                      <w:b/>
                      <w:color w:val="auto"/>
                      <w:szCs w:val="21"/>
                    </w:rPr>
                  </w:pPr>
                  <w:r>
                    <w:rPr>
                      <w:b/>
                      <w:color w:val="auto"/>
                      <w:szCs w:val="21"/>
                    </w:rPr>
                    <w:t>物质名称</w:t>
                  </w:r>
                </w:p>
              </w:tc>
              <w:tc>
                <w:tcPr>
                  <w:tcW w:w="1578" w:type="dxa"/>
                  <w:tcBorders>
                    <w:top w:val="single" w:color="auto" w:sz="12" w:space="0"/>
                    <w:bottom w:val="single" w:color="auto" w:sz="12" w:space="0"/>
                  </w:tcBorders>
                  <w:vAlign w:val="center"/>
                </w:tcPr>
                <w:p w14:paraId="55217054">
                  <w:pPr>
                    <w:adjustRightInd w:val="0"/>
                    <w:jc w:val="center"/>
                    <w:rPr>
                      <w:b/>
                      <w:color w:val="auto"/>
                      <w:szCs w:val="21"/>
                    </w:rPr>
                  </w:pPr>
                  <w:r>
                    <w:rPr>
                      <w:b/>
                      <w:color w:val="auto"/>
                      <w:szCs w:val="21"/>
                    </w:rPr>
                    <w:t>分子式</w:t>
                  </w:r>
                </w:p>
              </w:tc>
              <w:tc>
                <w:tcPr>
                  <w:tcW w:w="1134" w:type="dxa"/>
                  <w:tcBorders>
                    <w:top w:val="single" w:color="auto" w:sz="12" w:space="0"/>
                    <w:bottom w:val="single" w:color="auto" w:sz="12" w:space="0"/>
                  </w:tcBorders>
                  <w:vAlign w:val="center"/>
                </w:tcPr>
                <w:p w14:paraId="4EC0135B">
                  <w:pPr>
                    <w:adjustRightInd w:val="0"/>
                    <w:jc w:val="center"/>
                    <w:rPr>
                      <w:b/>
                      <w:color w:val="auto"/>
                      <w:szCs w:val="21"/>
                    </w:rPr>
                  </w:pPr>
                  <w:r>
                    <w:rPr>
                      <w:b/>
                      <w:color w:val="auto"/>
                      <w:szCs w:val="21"/>
                    </w:rPr>
                    <w:t>CAS号</w:t>
                  </w:r>
                </w:p>
              </w:tc>
              <w:tc>
                <w:tcPr>
                  <w:tcW w:w="1897" w:type="dxa"/>
                  <w:tcBorders>
                    <w:top w:val="single" w:color="auto" w:sz="12" w:space="0"/>
                    <w:bottom w:val="single" w:color="auto" w:sz="12" w:space="0"/>
                  </w:tcBorders>
                  <w:vAlign w:val="center"/>
                </w:tcPr>
                <w:p w14:paraId="4C9CD43B">
                  <w:pPr>
                    <w:adjustRightInd w:val="0"/>
                    <w:jc w:val="center"/>
                    <w:rPr>
                      <w:b/>
                      <w:color w:val="auto"/>
                      <w:szCs w:val="21"/>
                    </w:rPr>
                  </w:pPr>
                  <w:r>
                    <w:rPr>
                      <w:b/>
                      <w:color w:val="auto"/>
                      <w:szCs w:val="21"/>
                    </w:rPr>
                    <w:t>理化特性</w:t>
                  </w:r>
                </w:p>
              </w:tc>
              <w:tc>
                <w:tcPr>
                  <w:tcW w:w="1394" w:type="dxa"/>
                  <w:tcBorders>
                    <w:top w:val="single" w:color="auto" w:sz="12" w:space="0"/>
                    <w:bottom w:val="single" w:color="auto" w:sz="12" w:space="0"/>
                  </w:tcBorders>
                  <w:tcMar>
                    <w:top w:w="0" w:type="dxa"/>
                    <w:left w:w="0" w:type="dxa"/>
                    <w:bottom w:w="0" w:type="dxa"/>
                    <w:right w:w="0" w:type="dxa"/>
                  </w:tcMar>
                  <w:vAlign w:val="center"/>
                </w:tcPr>
                <w:p w14:paraId="4B395098">
                  <w:pPr>
                    <w:adjustRightInd w:val="0"/>
                    <w:jc w:val="center"/>
                    <w:rPr>
                      <w:b/>
                      <w:color w:val="auto"/>
                      <w:szCs w:val="21"/>
                    </w:rPr>
                  </w:pPr>
                  <w:r>
                    <w:rPr>
                      <w:b/>
                      <w:color w:val="auto"/>
                      <w:szCs w:val="21"/>
                    </w:rPr>
                    <w:t>燃烧爆炸性</w:t>
                  </w:r>
                </w:p>
              </w:tc>
              <w:tc>
                <w:tcPr>
                  <w:tcW w:w="1464" w:type="dxa"/>
                  <w:tcBorders>
                    <w:top w:val="single" w:color="auto" w:sz="12" w:space="0"/>
                    <w:bottom w:val="single" w:color="auto" w:sz="12" w:space="0"/>
                  </w:tcBorders>
                  <w:tcMar>
                    <w:top w:w="0" w:type="dxa"/>
                    <w:left w:w="0" w:type="dxa"/>
                    <w:bottom w:w="0" w:type="dxa"/>
                    <w:right w:w="0" w:type="dxa"/>
                  </w:tcMar>
                  <w:vAlign w:val="center"/>
                </w:tcPr>
                <w:p w14:paraId="032742BD">
                  <w:pPr>
                    <w:adjustRightInd w:val="0"/>
                    <w:jc w:val="center"/>
                    <w:rPr>
                      <w:b/>
                      <w:color w:val="auto"/>
                      <w:szCs w:val="21"/>
                    </w:rPr>
                  </w:pPr>
                  <w:r>
                    <w:rPr>
                      <w:b/>
                      <w:color w:val="auto"/>
                      <w:szCs w:val="21"/>
                    </w:rPr>
                    <w:t>毒性毒理</w:t>
                  </w:r>
                </w:p>
              </w:tc>
            </w:tr>
            <w:tr w14:paraId="2337E9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6" w:type="dxa"/>
                  <w:tcBorders>
                    <w:top w:val="single" w:color="auto" w:sz="12" w:space="0"/>
                  </w:tcBorders>
                  <w:tcMar>
                    <w:top w:w="0" w:type="dxa"/>
                    <w:left w:w="0" w:type="dxa"/>
                    <w:bottom w:w="0" w:type="dxa"/>
                    <w:right w:w="0" w:type="dxa"/>
                  </w:tcMar>
                  <w:vAlign w:val="center"/>
                </w:tcPr>
                <w:p w14:paraId="1FD742AC">
                  <w:pPr>
                    <w:adjustRightInd w:val="0"/>
                    <w:jc w:val="center"/>
                    <w:rPr>
                      <w:rFonts w:hint="eastAsia" w:eastAsia="宋体"/>
                      <w:color w:val="auto"/>
                      <w:szCs w:val="21"/>
                      <w:lang w:eastAsia="zh-CN"/>
                    </w:rPr>
                  </w:pPr>
                  <w:r>
                    <w:rPr>
                      <w:rFonts w:hint="eastAsia"/>
                      <w:color w:val="auto"/>
                      <w:szCs w:val="21"/>
                      <w:lang w:eastAsia="zh-CN"/>
                    </w:rPr>
                    <w:t>制冷剂</w:t>
                  </w:r>
                </w:p>
                <w:p w14:paraId="23A3C483">
                  <w:pPr>
                    <w:adjustRightInd w:val="0"/>
                    <w:jc w:val="center"/>
                    <w:rPr>
                      <w:color w:val="auto"/>
                      <w:szCs w:val="21"/>
                    </w:rPr>
                  </w:pPr>
                  <w:r>
                    <w:rPr>
                      <w:color w:val="auto"/>
                      <w:szCs w:val="21"/>
                    </w:rPr>
                    <w:t>R507</w:t>
                  </w:r>
                </w:p>
              </w:tc>
              <w:tc>
                <w:tcPr>
                  <w:tcW w:w="1578" w:type="dxa"/>
                  <w:tcBorders>
                    <w:top w:val="single" w:color="auto" w:sz="12" w:space="0"/>
                  </w:tcBorders>
                  <w:vAlign w:val="center"/>
                </w:tcPr>
                <w:p w14:paraId="0D5A8F3C">
                  <w:pPr>
                    <w:adjustRightInd w:val="0"/>
                    <w:jc w:val="center"/>
                    <w:rPr>
                      <w:color w:val="auto"/>
                      <w:szCs w:val="21"/>
                    </w:rPr>
                  </w:pPr>
                  <w:r>
                    <w:rPr>
                      <w:rFonts w:hint="eastAsia"/>
                      <w:color w:val="auto"/>
                      <w:szCs w:val="21"/>
                    </w:rPr>
                    <w:t>C</w:t>
                  </w:r>
                  <w:r>
                    <w:rPr>
                      <w:color w:val="auto"/>
                      <w:szCs w:val="21"/>
                      <w:vertAlign w:val="subscript"/>
                    </w:rPr>
                    <w:t>2</w:t>
                  </w:r>
                  <w:r>
                    <w:rPr>
                      <w:color w:val="auto"/>
                      <w:szCs w:val="21"/>
                    </w:rPr>
                    <w:t>HF</w:t>
                  </w:r>
                  <w:r>
                    <w:rPr>
                      <w:color w:val="auto"/>
                      <w:szCs w:val="21"/>
                      <w:vertAlign w:val="subscript"/>
                    </w:rPr>
                    <w:t>5</w:t>
                  </w:r>
                  <w:r>
                    <w:rPr>
                      <w:color w:val="auto"/>
                      <w:szCs w:val="21"/>
                    </w:rPr>
                    <w:t>/C</w:t>
                  </w:r>
                  <w:r>
                    <w:rPr>
                      <w:color w:val="auto"/>
                      <w:szCs w:val="21"/>
                      <w:vertAlign w:val="subscript"/>
                    </w:rPr>
                    <w:t>2</w:t>
                  </w:r>
                  <w:r>
                    <w:rPr>
                      <w:color w:val="auto"/>
                      <w:szCs w:val="21"/>
                    </w:rPr>
                    <w:t>H</w:t>
                  </w:r>
                  <w:r>
                    <w:rPr>
                      <w:color w:val="auto"/>
                      <w:szCs w:val="21"/>
                      <w:vertAlign w:val="subscript"/>
                    </w:rPr>
                    <w:t>5</w:t>
                  </w:r>
                  <w:r>
                    <w:rPr>
                      <w:color w:val="auto"/>
                      <w:szCs w:val="21"/>
                    </w:rPr>
                    <w:t>F</w:t>
                  </w:r>
                </w:p>
              </w:tc>
              <w:tc>
                <w:tcPr>
                  <w:tcW w:w="1134" w:type="dxa"/>
                  <w:tcBorders>
                    <w:top w:val="single" w:color="auto" w:sz="12" w:space="0"/>
                  </w:tcBorders>
                  <w:tcMar>
                    <w:top w:w="0" w:type="dxa"/>
                    <w:left w:w="0" w:type="dxa"/>
                    <w:bottom w:w="0" w:type="dxa"/>
                    <w:right w:w="0" w:type="dxa"/>
                  </w:tcMar>
                  <w:vAlign w:val="center"/>
                </w:tcPr>
                <w:p w14:paraId="0C4A101E">
                  <w:pPr>
                    <w:adjustRightInd w:val="0"/>
                    <w:jc w:val="center"/>
                    <w:rPr>
                      <w:color w:val="auto"/>
                      <w:szCs w:val="21"/>
                    </w:rPr>
                  </w:pPr>
                  <w:r>
                    <w:rPr>
                      <w:color w:val="auto"/>
                      <w:szCs w:val="21"/>
                    </w:rPr>
                    <w:t>354-33-6/353-36-6</w:t>
                  </w:r>
                </w:p>
              </w:tc>
              <w:tc>
                <w:tcPr>
                  <w:tcW w:w="1897" w:type="dxa"/>
                  <w:tcBorders>
                    <w:top w:val="single" w:color="auto" w:sz="12" w:space="0"/>
                  </w:tcBorders>
                  <w:tcMar>
                    <w:top w:w="0" w:type="dxa"/>
                    <w:left w:w="0" w:type="dxa"/>
                    <w:bottom w:w="0" w:type="dxa"/>
                    <w:right w:w="0" w:type="dxa"/>
                  </w:tcMar>
                  <w:vAlign w:val="center"/>
                </w:tcPr>
                <w:p w14:paraId="4F0BF2E7">
                  <w:pPr>
                    <w:rPr>
                      <w:bCs/>
                      <w:color w:val="auto"/>
                      <w:szCs w:val="21"/>
                    </w:rPr>
                  </w:pPr>
                  <w:r>
                    <w:rPr>
                      <w:bCs/>
                      <w:color w:val="auto"/>
                      <w:szCs w:val="21"/>
                    </w:rPr>
                    <w:t>分子量98.9，沸点：-46.75℃，临界压力3.79Mpa，饱和液体密度1.022g/cm</w:t>
                  </w:r>
                  <w:r>
                    <w:rPr>
                      <w:bCs/>
                      <w:color w:val="auto"/>
                      <w:szCs w:val="21"/>
                      <w:vertAlign w:val="superscript"/>
                    </w:rPr>
                    <w:t>3</w:t>
                  </w:r>
                  <w:r>
                    <w:rPr>
                      <w:bCs/>
                      <w:color w:val="auto"/>
                      <w:szCs w:val="21"/>
                    </w:rPr>
                    <w:t>，破坏臭氧潜能值为0，无全球变暖系数值</w:t>
                  </w:r>
                </w:p>
              </w:tc>
              <w:tc>
                <w:tcPr>
                  <w:tcW w:w="1394" w:type="dxa"/>
                  <w:tcBorders>
                    <w:top w:val="single" w:color="auto" w:sz="12" w:space="0"/>
                  </w:tcBorders>
                  <w:tcMar>
                    <w:top w:w="0" w:type="dxa"/>
                    <w:left w:w="0" w:type="dxa"/>
                    <w:bottom w:w="0" w:type="dxa"/>
                    <w:right w:w="0" w:type="dxa"/>
                  </w:tcMar>
                  <w:vAlign w:val="center"/>
                </w:tcPr>
                <w:p w14:paraId="01664853">
                  <w:pPr>
                    <w:adjustRightInd w:val="0"/>
                    <w:jc w:val="center"/>
                    <w:rPr>
                      <w:color w:val="auto"/>
                      <w:szCs w:val="21"/>
                    </w:rPr>
                  </w:pPr>
                  <w:r>
                    <w:rPr>
                      <w:color w:val="auto"/>
                      <w:szCs w:val="21"/>
                    </w:rPr>
                    <w:t>不燃性液化气体，容器在火中受高热可能爆炸</w:t>
                  </w:r>
                </w:p>
              </w:tc>
              <w:tc>
                <w:tcPr>
                  <w:tcW w:w="1464" w:type="dxa"/>
                  <w:tcBorders>
                    <w:top w:val="single" w:color="auto" w:sz="12" w:space="0"/>
                  </w:tcBorders>
                  <w:tcMar>
                    <w:top w:w="0" w:type="dxa"/>
                    <w:left w:w="0" w:type="dxa"/>
                    <w:bottom w:w="0" w:type="dxa"/>
                    <w:right w:w="0" w:type="dxa"/>
                  </w:tcMar>
                  <w:vAlign w:val="center"/>
                </w:tcPr>
                <w:p w14:paraId="0C83AB9F">
                  <w:pPr>
                    <w:adjustRightInd w:val="0"/>
                    <w:jc w:val="center"/>
                    <w:rPr>
                      <w:color w:val="auto"/>
                      <w:szCs w:val="21"/>
                    </w:rPr>
                  </w:pPr>
                  <w:r>
                    <w:rPr>
                      <w:color w:val="auto"/>
                      <w:szCs w:val="21"/>
                    </w:rPr>
                    <w:t>/</w:t>
                  </w:r>
                </w:p>
              </w:tc>
            </w:tr>
            <w:tr w14:paraId="6B59F0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6" w:type="dxa"/>
                  <w:tcMar>
                    <w:top w:w="0" w:type="dxa"/>
                    <w:left w:w="0" w:type="dxa"/>
                    <w:bottom w:w="0" w:type="dxa"/>
                    <w:right w:w="0" w:type="dxa"/>
                  </w:tcMar>
                  <w:vAlign w:val="center"/>
                </w:tcPr>
                <w:p w14:paraId="7691DE46">
                  <w:pPr>
                    <w:adjustRightInd w:val="0"/>
                    <w:jc w:val="center"/>
                    <w:rPr>
                      <w:color w:val="auto"/>
                      <w:szCs w:val="21"/>
                    </w:rPr>
                  </w:pPr>
                  <w:r>
                    <w:rPr>
                      <w:rFonts w:hint="eastAsia"/>
                      <w:color w:val="auto"/>
                      <w:szCs w:val="21"/>
                    </w:rPr>
                    <w:t>乙醇</w:t>
                  </w:r>
                </w:p>
              </w:tc>
              <w:tc>
                <w:tcPr>
                  <w:tcW w:w="1578" w:type="dxa"/>
                  <w:vAlign w:val="center"/>
                </w:tcPr>
                <w:p w14:paraId="2E481A7F">
                  <w:pPr>
                    <w:adjustRightInd w:val="0"/>
                    <w:jc w:val="center"/>
                    <w:rPr>
                      <w:color w:val="auto"/>
                      <w:szCs w:val="21"/>
                    </w:rPr>
                  </w:pPr>
                  <w:r>
                    <w:rPr>
                      <w:rFonts w:hint="eastAsia"/>
                      <w:color w:val="auto"/>
                      <w:szCs w:val="21"/>
                    </w:rPr>
                    <w:t>C</w:t>
                  </w:r>
                  <w:r>
                    <w:rPr>
                      <w:color w:val="auto"/>
                      <w:szCs w:val="21"/>
                      <w:vertAlign w:val="subscript"/>
                    </w:rPr>
                    <w:t>2</w:t>
                  </w:r>
                  <w:r>
                    <w:rPr>
                      <w:color w:val="auto"/>
                      <w:szCs w:val="21"/>
                    </w:rPr>
                    <w:t>H</w:t>
                  </w:r>
                  <w:r>
                    <w:rPr>
                      <w:color w:val="auto"/>
                      <w:szCs w:val="21"/>
                      <w:vertAlign w:val="subscript"/>
                    </w:rPr>
                    <w:t>6</w:t>
                  </w:r>
                  <w:r>
                    <w:rPr>
                      <w:color w:val="auto"/>
                      <w:szCs w:val="21"/>
                    </w:rPr>
                    <w:t>O</w:t>
                  </w:r>
                </w:p>
              </w:tc>
              <w:tc>
                <w:tcPr>
                  <w:tcW w:w="1134" w:type="dxa"/>
                  <w:tcMar>
                    <w:top w:w="0" w:type="dxa"/>
                    <w:left w:w="0" w:type="dxa"/>
                    <w:bottom w:w="0" w:type="dxa"/>
                    <w:right w:w="0" w:type="dxa"/>
                  </w:tcMar>
                  <w:vAlign w:val="center"/>
                </w:tcPr>
                <w:p w14:paraId="7274373D">
                  <w:pPr>
                    <w:adjustRightInd w:val="0"/>
                    <w:jc w:val="center"/>
                    <w:rPr>
                      <w:color w:val="auto"/>
                      <w:szCs w:val="21"/>
                    </w:rPr>
                  </w:pPr>
                  <w:r>
                    <w:rPr>
                      <w:rFonts w:hint="eastAsia"/>
                      <w:color w:val="auto"/>
                      <w:szCs w:val="21"/>
                    </w:rPr>
                    <w:t>6</w:t>
                  </w:r>
                  <w:r>
                    <w:rPr>
                      <w:color w:val="auto"/>
                      <w:szCs w:val="21"/>
                    </w:rPr>
                    <w:t>4-17-5</w:t>
                  </w:r>
                </w:p>
              </w:tc>
              <w:tc>
                <w:tcPr>
                  <w:tcW w:w="1897" w:type="dxa"/>
                  <w:tcMar>
                    <w:top w:w="0" w:type="dxa"/>
                    <w:left w:w="0" w:type="dxa"/>
                    <w:bottom w:w="0" w:type="dxa"/>
                    <w:right w:w="0" w:type="dxa"/>
                  </w:tcMar>
                  <w:vAlign w:val="center"/>
                </w:tcPr>
                <w:p w14:paraId="57059D4B">
                  <w:pPr>
                    <w:rPr>
                      <w:bCs/>
                      <w:color w:val="auto"/>
                      <w:szCs w:val="21"/>
                    </w:rPr>
                  </w:pPr>
                  <w:r>
                    <w:rPr>
                      <w:rFonts w:hint="eastAsia"/>
                      <w:bCs/>
                      <w:color w:val="auto"/>
                      <w:szCs w:val="21"/>
                    </w:rPr>
                    <w:t>分子量4</w:t>
                  </w:r>
                  <w:r>
                    <w:rPr>
                      <w:bCs/>
                      <w:color w:val="auto"/>
                      <w:szCs w:val="21"/>
                    </w:rPr>
                    <w:t>6.07</w:t>
                  </w:r>
                  <w:r>
                    <w:rPr>
                      <w:rFonts w:hint="eastAsia"/>
                      <w:bCs/>
                      <w:color w:val="auto"/>
                      <w:szCs w:val="21"/>
                    </w:rPr>
                    <w:t>，无色液体，熔点-</w:t>
                  </w:r>
                  <w:r>
                    <w:rPr>
                      <w:bCs/>
                      <w:color w:val="auto"/>
                      <w:szCs w:val="21"/>
                    </w:rPr>
                    <w:t>114.1℃</w:t>
                  </w:r>
                  <w:r>
                    <w:rPr>
                      <w:rFonts w:hint="eastAsia"/>
                      <w:bCs/>
                      <w:color w:val="auto"/>
                      <w:szCs w:val="21"/>
                    </w:rPr>
                    <w:t>，相对密度0</w:t>
                  </w:r>
                  <w:r>
                    <w:rPr>
                      <w:bCs/>
                      <w:color w:val="auto"/>
                      <w:szCs w:val="21"/>
                    </w:rPr>
                    <w:t>.79</w:t>
                  </w:r>
                  <w:r>
                    <w:rPr>
                      <w:rFonts w:hint="eastAsia"/>
                      <w:bCs/>
                      <w:color w:val="auto"/>
                      <w:szCs w:val="21"/>
                    </w:rPr>
                    <w:t>（水），沸点7</w:t>
                  </w:r>
                  <w:r>
                    <w:rPr>
                      <w:bCs/>
                      <w:color w:val="auto"/>
                      <w:szCs w:val="21"/>
                    </w:rPr>
                    <w:t>8.3℃</w:t>
                  </w:r>
                  <w:r>
                    <w:rPr>
                      <w:rFonts w:hint="eastAsia"/>
                      <w:bCs/>
                      <w:color w:val="auto"/>
                      <w:szCs w:val="21"/>
                    </w:rPr>
                    <w:t>，</w:t>
                  </w:r>
                  <w:r>
                    <w:rPr>
                      <w:rFonts w:hint="eastAsia"/>
                      <w:bCs/>
                      <w:color w:val="auto"/>
                      <w:szCs w:val="21"/>
                      <w:lang w:eastAsia="zh-CN"/>
                    </w:rPr>
                    <w:t>饱和蒸汽</w:t>
                  </w:r>
                  <w:r>
                    <w:rPr>
                      <w:rFonts w:hint="eastAsia"/>
                      <w:bCs/>
                      <w:color w:val="auto"/>
                      <w:szCs w:val="21"/>
                    </w:rPr>
                    <w:t>压5</w:t>
                  </w:r>
                  <w:r>
                    <w:rPr>
                      <w:bCs/>
                      <w:color w:val="auto"/>
                      <w:szCs w:val="21"/>
                    </w:rPr>
                    <w:t>.33kpa/19℃</w:t>
                  </w:r>
                  <w:r>
                    <w:rPr>
                      <w:rFonts w:hint="eastAsia"/>
                      <w:bCs/>
                      <w:color w:val="auto"/>
                      <w:szCs w:val="21"/>
                    </w:rPr>
                    <w:t>，与水混溶，可混溶于醚、氯仿、甘油等多数有机溶剂</w:t>
                  </w:r>
                </w:p>
              </w:tc>
              <w:tc>
                <w:tcPr>
                  <w:tcW w:w="1394" w:type="dxa"/>
                  <w:tcMar>
                    <w:top w:w="0" w:type="dxa"/>
                    <w:left w:w="0" w:type="dxa"/>
                    <w:bottom w:w="0" w:type="dxa"/>
                    <w:right w:w="0" w:type="dxa"/>
                  </w:tcMar>
                  <w:vAlign w:val="center"/>
                </w:tcPr>
                <w:p w14:paraId="063F85AF">
                  <w:pPr>
                    <w:adjustRightInd w:val="0"/>
                    <w:jc w:val="center"/>
                    <w:rPr>
                      <w:color w:val="auto"/>
                      <w:szCs w:val="21"/>
                    </w:rPr>
                  </w:pPr>
                  <w:r>
                    <w:rPr>
                      <w:rFonts w:hint="eastAsia"/>
                      <w:color w:val="auto"/>
                      <w:szCs w:val="21"/>
                    </w:rPr>
                    <w:t>易燃，其蒸气与空气可形成爆炸性混合物。遇明火、高热能引起燃烧爆炸，与氧化剂接触发生化学反应或引起燃烧。在火场中，受热的容器有爆炸危险</w:t>
                  </w:r>
                </w:p>
              </w:tc>
              <w:tc>
                <w:tcPr>
                  <w:tcW w:w="1464" w:type="dxa"/>
                  <w:tcMar>
                    <w:top w:w="0" w:type="dxa"/>
                    <w:left w:w="0" w:type="dxa"/>
                    <w:bottom w:w="0" w:type="dxa"/>
                    <w:right w:w="0" w:type="dxa"/>
                  </w:tcMar>
                  <w:vAlign w:val="center"/>
                </w:tcPr>
                <w:p w14:paraId="13A7F283">
                  <w:pPr>
                    <w:adjustRightInd w:val="0"/>
                    <w:jc w:val="center"/>
                    <w:rPr>
                      <w:color w:val="auto"/>
                      <w:szCs w:val="21"/>
                    </w:rPr>
                  </w:pPr>
                  <w:r>
                    <w:rPr>
                      <w:rFonts w:hint="eastAsia"/>
                      <w:color w:val="auto"/>
                      <w:szCs w:val="21"/>
                    </w:rPr>
                    <w:t>L</w:t>
                  </w:r>
                  <w:r>
                    <w:rPr>
                      <w:color w:val="auto"/>
                      <w:szCs w:val="21"/>
                    </w:rPr>
                    <w:t>D</w:t>
                  </w:r>
                  <w:r>
                    <w:rPr>
                      <w:color w:val="auto"/>
                      <w:szCs w:val="21"/>
                      <w:vertAlign w:val="subscript"/>
                    </w:rPr>
                    <w:t>50</w:t>
                  </w:r>
                  <w:r>
                    <w:rPr>
                      <w:color w:val="auto"/>
                      <w:szCs w:val="21"/>
                    </w:rPr>
                    <w:t>:7060mg/m</w:t>
                  </w:r>
                  <w:r>
                    <w:rPr>
                      <w:color w:val="auto"/>
                      <w:szCs w:val="21"/>
                      <w:vertAlign w:val="superscript"/>
                    </w:rPr>
                    <w:t>3</w:t>
                  </w:r>
                  <w:r>
                    <w:rPr>
                      <w:rFonts w:hint="eastAsia"/>
                      <w:color w:val="auto"/>
                      <w:szCs w:val="21"/>
                    </w:rPr>
                    <w:t>（兔经口）</w:t>
                  </w:r>
                </w:p>
              </w:tc>
            </w:tr>
            <w:tr w14:paraId="27C66E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6" w:type="dxa"/>
                  <w:tcMar>
                    <w:top w:w="0" w:type="dxa"/>
                    <w:left w:w="0" w:type="dxa"/>
                    <w:bottom w:w="0" w:type="dxa"/>
                    <w:right w:w="0" w:type="dxa"/>
                  </w:tcMar>
                  <w:vAlign w:val="center"/>
                </w:tcPr>
                <w:p w14:paraId="29EDBC9D">
                  <w:pPr>
                    <w:jc w:val="center"/>
                    <w:rPr>
                      <w:color w:val="auto"/>
                      <w:szCs w:val="21"/>
                    </w:rPr>
                  </w:pPr>
                  <w:r>
                    <w:rPr>
                      <w:color w:val="auto"/>
                    </w:rPr>
                    <w:fldChar w:fldCharType="begin"/>
                  </w:r>
                  <w:r>
                    <w:rPr>
                      <w:color w:val="auto"/>
                    </w:rPr>
                    <w:instrText xml:space="preserve"> HYPERLINK "https://baike.baidu.com/item/%E7%83%B7%E5%9F%BA%E7%A3%BA%E9%85%B8%E9%92%A0/4415178" \t "_blank" </w:instrText>
                  </w:r>
                  <w:r>
                    <w:rPr>
                      <w:color w:val="auto"/>
                    </w:rPr>
                    <w:fldChar w:fldCharType="separate"/>
                  </w:r>
                  <w:r>
                    <w:rPr>
                      <w:bCs/>
                      <w:color w:val="auto"/>
                    </w:rPr>
                    <w:t>烷基磺酸钠</w:t>
                  </w:r>
                  <w:r>
                    <w:rPr>
                      <w:bCs/>
                      <w:color w:val="auto"/>
                    </w:rPr>
                    <w:fldChar w:fldCharType="end"/>
                  </w:r>
                </w:p>
              </w:tc>
              <w:tc>
                <w:tcPr>
                  <w:tcW w:w="1578" w:type="dxa"/>
                  <w:vAlign w:val="center"/>
                </w:tcPr>
                <w:p w14:paraId="3EF6E09B">
                  <w:pPr>
                    <w:adjustRightInd w:val="0"/>
                    <w:jc w:val="center"/>
                    <w:rPr>
                      <w:color w:val="auto"/>
                      <w:szCs w:val="21"/>
                    </w:rPr>
                  </w:pPr>
                  <w:r>
                    <w:rPr>
                      <w:rFonts w:hint="eastAsia"/>
                      <w:color w:val="auto"/>
                      <w:szCs w:val="21"/>
                    </w:rPr>
                    <w:t>R-</w:t>
                  </w:r>
                  <w:r>
                    <w:rPr>
                      <w:color w:val="auto"/>
                      <w:szCs w:val="21"/>
                    </w:rPr>
                    <w:t>SO</w:t>
                  </w:r>
                  <w:r>
                    <w:rPr>
                      <w:color w:val="auto"/>
                      <w:szCs w:val="21"/>
                      <w:vertAlign w:val="subscript"/>
                    </w:rPr>
                    <w:t>3</w:t>
                  </w:r>
                  <w:r>
                    <w:rPr>
                      <w:color w:val="auto"/>
                      <w:szCs w:val="21"/>
                    </w:rPr>
                    <w:t>Na</w:t>
                  </w:r>
                </w:p>
              </w:tc>
              <w:tc>
                <w:tcPr>
                  <w:tcW w:w="1134" w:type="dxa"/>
                  <w:tcMar>
                    <w:top w:w="0" w:type="dxa"/>
                    <w:left w:w="0" w:type="dxa"/>
                    <w:bottom w:w="0" w:type="dxa"/>
                    <w:right w:w="0" w:type="dxa"/>
                  </w:tcMar>
                  <w:vAlign w:val="center"/>
                </w:tcPr>
                <w:p w14:paraId="0427C66B">
                  <w:pPr>
                    <w:adjustRightInd w:val="0"/>
                    <w:jc w:val="center"/>
                    <w:rPr>
                      <w:color w:val="auto"/>
                      <w:szCs w:val="21"/>
                    </w:rPr>
                  </w:pPr>
                  <w:r>
                    <w:rPr>
                      <w:rFonts w:hint="eastAsia"/>
                      <w:color w:val="auto"/>
                      <w:szCs w:val="21"/>
                    </w:rPr>
                    <w:t>8</w:t>
                  </w:r>
                  <w:r>
                    <w:rPr>
                      <w:color w:val="auto"/>
                      <w:szCs w:val="21"/>
                    </w:rPr>
                    <w:t>5711-69-9</w:t>
                  </w:r>
                </w:p>
              </w:tc>
              <w:tc>
                <w:tcPr>
                  <w:tcW w:w="1897" w:type="dxa"/>
                  <w:tcMar>
                    <w:top w:w="0" w:type="dxa"/>
                    <w:left w:w="0" w:type="dxa"/>
                    <w:bottom w:w="0" w:type="dxa"/>
                    <w:right w:w="0" w:type="dxa"/>
                  </w:tcMar>
                  <w:vAlign w:val="center"/>
                </w:tcPr>
                <w:p w14:paraId="1448368D">
                  <w:pPr>
                    <w:rPr>
                      <w:bCs/>
                      <w:color w:val="auto"/>
                      <w:szCs w:val="21"/>
                    </w:rPr>
                  </w:pPr>
                  <w:r>
                    <w:rPr>
                      <w:rFonts w:hint="eastAsia"/>
                      <w:bCs/>
                      <w:color w:val="auto"/>
                      <w:szCs w:val="21"/>
                    </w:rPr>
                    <w:t>阴离子表面活性剂，</w:t>
                  </w:r>
                  <w:r>
                    <w:rPr>
                      <w:bCs/>
                      <w:color w:val="auto"/>
                      <w:szCs w:val="21"/>
                    </w:rPr>
                    <w:t>表面活性强，低温水溶解性好，20</w:t>
                  </w:r>
                  <w:r>
                    <w:rPr>
                      <w:rFonts w:hint="eastAsia"/>
                      <w:bCs/>
                      <w:color w:val="auto"/>
                      <w:szCs w:val="21"/>
                    </w:rPr>
                    <w:t>℃</w:t>
                  </w:r>
                  <w:r>
                    <w:rPr>
                      <w:bCs/>
                      <w:color w:val="auto"/>
                      <w:szCs w:val="21"/>
                    </w:rPr>
                    <w:t>含32%活性物</w:t>
                  </w:r>
                </w:p>
              </w:tc>
              <w:tc>
                <w:tcPr>
                  <w:tcW w:w="1394" w:type="dxa"/>
                  <w:tcMar>
                    <w:top w:w="0" w:type="dxa"/>
                    <w:left w:w="0" w:type="dxa"/>
                    <w:bottom w:w="0" w:type="dxa"/>
                    <w:right w:w="0" w:type="dxa"/>
                  </w:tcMar>
                  <w:vAlign w:val="center"/>
                </w:tcPr>
                <w:p w14:paraId="56CF91DA">
                  <w:pPr>
                    <w:adjustRightInd w:val="0"/>
                    <w:jc w:val="center"/>
                    <w:rPr>
                      <w:color w:val="auto"/>
                      <w:szCs w:val="21"/>
                    </w:rPr>
                  </w:pPr>
                  <w:r>
                    <w:rPr>
                      <w:rFonts w:hint="eastAsia"/>
                      <w:color w:val="auto"/>
                      <w:szCs w:val="21"/>
                    </w:rPr>
                    <w:t>遇明火、高热可燃</w:t>
                  </w:r>
                </w:p>
              </w:tc>
              <w:tc>
                <w:tcPr>
                  <w:tcW w:w="1464" w:type="dxa"/>
                  <w:tcMar>
                    <w:top w:w="0" w:type="dxa"/>
                    <w:left w:w="0" w:type="dxa"/>
                    <w:bottom w:w="0" w:type="dxa"/>
                    <w:right w:w="0" w:type="dxa"/>
                  </w:tcMar>
                  <w:vAlign w:val="center"/>
                </w:tcPr>
                <w:p w14:paraId="431FFFB5">
                  <w:pPr>
                    <w:adjustRightInd w:val="0"/>
                    <w:jc w:val="center"/>
                    <w:rPr>
                      <w:color w:val="auto"/>
                      <w:szCs w:val="21"/>
                    </w:rPr>
                  </w:pPr>
                  <w:r>
                    <w:rPr>
                      <w:rFonts w:hint="eastAsia"/>
                      <w:color w:val="auto"/>
                      <w:szCs w:val="21"/>
                    </w:rPr>
                    <w:t>L</w:t>
                  </w:r>
                  <w:r>
                    <w:rPr>
                      <w:color w:val="auto"/>
                      <w:szCs w:val="21"/>
                    </w:rPr>
                    <w:t>D</w:t>
                  </w:r>
                  <w:r>
                    <w:rPr>
                      <w:color w:val="auto"/>
                      <w:szCs w:val="21"/>
                      <w:vertAlign w:val="subscript"/>
                    </w:rPr>
                    <w:t>50</w:t>
                  </w:r>
                  <w:r>
                    <w:rPr>
                      <w:color w:val="auto"/>
                      <w:szCs w:val="21"/>
                    </w:rPr>
                    <w:t>:1260mg/kg</w:t>
                  </w:r>
                  <w:r>
                    <w:rPr>
                      <w:rFonts w:hint="eastAsia"/>
                      <w:color w:val="auto"/>
                      <w:szCs w:val="21"/>
                    </w:rPr>
                    <w:t>（大鼠经口）</w:t>
                  </w:r>
                </w:p>
              </w:tc>
            </w:tr>
          </w:tbl>
          <w:p w14:paraId="78E2062C">
            <w:pPr>
              <w:pStyle w:val="2"/>
              <w:ind w:left="0" w:leftChars="0" w:firstLine="361" w:firstLineChars="150"/>
              <w:rPr>
                <w:b/>
                <w:bCs/>
                <w:color w:val="auto"/>
                <w:sz w:val="24"/>
                <w:szCs w:val="24"/>
              </w:rPr>
            </w:pPr>
            <w:r>
              <w:rPr>
                <w:rFonts w:hint="eastAsia"/>
                <w:b/>
                <w:bCs/>
                <w:color w:val="auto"/>
                <w:sz w:val="24"/>
                <w:szCs w:val="24"/>
              </w:rPr>
              <w:t>4</w:t>
            </w:r>
            <w:r>
              <w:rPr>
                <w:b/>
                <w:bCs/>
                <w:color w:val="auto"/>
                <w:sz w:val="24"/>
                <w:szCs w:val="24"/>
              </w:rPr>
              <w:t>.</w:t>
            </w:r>
            <w:r>
              <w:rPr>
                <w:rFonts w:hint="eastAsia"/>
                <w:b/>
                <w:bCs/>
                <w:color w:val="auto"/>
                <w:sz w:val="24"/>
                <w:szCs w:val="24"/>
              </w:rPr>
              <w:t>设备使用情况</w:t>
            </w:r>
          </w:p>
          <w:p w14:paraId="6583030F">
            <w:pPr>
              <w:keepNext/>
              <w:adjustRightInd w:val="0"/>
              <w:snapToGrid w:val="0"/>
              <w:jc w:val="center"/>
              <w:rPr>
                <w:rFonts w:hint="eastAsia" w:eastAsia="宋体"/>
                <w:color w:val="auto"/>
                <w:sz w:val="24"/>
                <w:lang w:eastAsia="zh-CN"/>
              </w:rPr>
            </w:pPr>
            <w:r>
              <w:rPr>
                <w:b/>
                <w:color w:val="auto"/>
                <w:sz w:val="24"/>
              </w:rPr>
              <w:t>表2-</w:t>
            </w:r>
            <w:r>
              <w:rPr>
                <w:rFonts w:hint="eastAsia"/>
                <w:b/>
                <w:color w:val="auto"/>
                <w:sz w:val="24"/>
                <w:lang w:val="en-US" w:eastAsia="zh-CN"/>
              </w:rPr>
              <w:t>5</w:t>
            </w:r>
            <w:r>
              <w:rPr>
                <w:b/>
                <w:color w:val="auto"/>
                <w:sz w:val="24"/>
              </w:rPr>
              <w:t>主要</w:t>
            </w:r>
            <w:r>
              <w:rPr>
                <w:rFonts w:hint="eastAsia"/>
                <w:b/>
                <w:color w:val="auto"/>
                <w:sz w:val="24"/>
              </w:rPr>
              <w:t>生产设备使用情况</w:t>
            </w:r>
          </w:p>
          <w:tbl>
            <w:tblPr>
              <w:tblStyle w:val="32"/>
              <w:tblW w:w="47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9"/>
              <w:gridCol w:w="1784"/>
              <w:gridCol w:w="1373"/>
              <w:gridCol w:w="777"/>
              <w:gridCol w:w="879"/>
              <w:gridCol w:w="967"/>
              <w:gridCol w:w="1283"/>
              <w:gridCol w:w="407"/>
            </w:tblGrid>
            <w:tr w14:paraId="32D5B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365" w:type="pct"/>
                  <w:vMerge w:val="restart"/>
                  <w:tcBorders>
                    <w:top w:val="single" w:color="auto" w:sz="12" w:space="0"/>
                    <w:left w:val="nil"/>
                    <w:bottom w:val="single" w:color="auto" w:sz="4" w:space="0"/>
                    <w:right w:val="single" w:color="auto" w:sz="4" w:space="0"/>
                  </w:tcBorders>
                  <w:noWrap w:val="0"/>
                  <w:vAlign w:val="center"/>
                </w:tcPr>
                <w:p w14:paraId="4885442B">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序号</w:t>
                  </w:r>
                </w:p>
              </w:tc>
              <w:tc>
                <w:tcPr>
                  <w:tcW w:w="1106" w:type="pct"/>
                  <w:vMerge w:val="restart"/>
                  <w:tcBorders>
                    <w:top w:val="single" w:color="auto" w:sz="12" w:space="0"/>
                    <w:left w:val="single" w:color="auto" w:sz="4" w:space="0"/>
                    <w:bottom w:val="single" w:color="auto" w:sz="4" w:space="0"/>
                    <w:right w:val="single" w:color="auto" w:sz="4" w:space="0"/>
                  </w:tcBorders>
                  <w:noWrap w:val="0"/>
                  <w:vAlign w:val="center"/>
                </w:tcPr>
                <w:p w14:paraId="069CBB74">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设备名称</w:t>
                  </w:r>
                </w:p>
              </w:tc>
              <w:tc>
                <w:tcPr>
                  <w:tcW w:w="851" w:type="pct"/>
                  <w:vMerge w:val="restart"/>
                  <w:tcBorders>
                    <w:top w:val="single" w:color="auto" w:sz="12" w:space="0"/>
                    <w:left w:val="single" w:color="auto" w:sz="4" w:space="0"/>
                    <w:right w:val="single" w:color="auto" w:sz="4" w:space="0"/>
                  </w:tcBorders>
                  <w:noWrap w:val="0"/>
                  <w:vAlign w:val="center"/>
                </w:tcPr>
                <w:p w14:paraId="6C1DB3B7">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规格型号</w:t>
                  </w:r>
                </w:p>
              </w:tc>
              <w:tc>
                <w:tcPr>
                  <w:tcW w:w="482" w:type="pct"/>
                  <w:vMerge w:val="restart"/>
                  <w:tcBorders>
                    <w:top w:val="single" w:color="auto" w:sz="12" w:space="0"/>
                    <w:left w:val="single" w:color="auto" w:sz="4" w:space="0"/>
                    <w:right w:val="single" w:color="auto" w:sz="4" w:space="0"/>
                  </w:tcBorders>
                  <w:noWrap w:val="0"/>
                  <w:vAlign w:val="center"/>
                </w:tcPr>
                <w:p w14:paraId="30C0EB78">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18"/>
                      <w:szCs w:val="18"/>
                    </w:rPr>
                  </w:pPr>
                  <w:r>
                    <w:rPr>
                      <w:rFonts w:hint="eastAsia" w:ascii="Times New Roman" w:hAnsi="Times New Roman" w:eastAsia="宋体" w:cs="Times New Roman"/>
                      <w:b/>
                      <w:color w:val="auto"/>
                      <w:sz w:val="18"/>
                      <w:szCs w:val="18"/>
                      <w:lang w:eastAsia="zh-CN"/>
                    </w:rPr>
                    <w:t>技改前</w:t>
                  </w:r>
                  <w:r>
                    <w:rPr>
                      <w:rFonts w:hint="default" w:ascii="Times New Roman" w:hAnsi="Times New Roman" w:eastAsia="宋体" w:cs="Times New Roman"/>
                      <w:b/>
                      <w:color w:val="auto"/>
                      <w:sz w:val="18"/>
                      <w:szCs w:val="18"/>
                    </w:rPr>
                    <w:t>数量（台/套）</w:t>
                  </w:r>
                </w:p>
              </w:tc>
              <w:tc>
                <w:tcPr>
                  <w:tcW w:w="545" w:type="pct"/>
                  <w:vMerge w:val="restart"/>
                  <w:tcBorders>
                    <w:top w:val="single" w:color="auto" w:sz="12" w:space="0"/>
                    <w:left w:val="single" w:color="auto" w:sz="4" w:space="0"/>
                    <w:right w:val="nil"/>
                  </w:tcBorders>
                  <w:noWrap w:val="0"/>
                  <w:vAlign w:val="center"/>
                </w:tcPr>
                <w:p w14:paraId="6597EF8F">
                  <w:pPr>
                    <w:keepNext w:val="0"/>
                    <w:keepLines w:val="0"/>
                    <w:suppressLineNumbers w:val="0"/>
                    <w:tabs>
                      <w:tab w:val="left" w:pos="420"/>
                      <w:tab w:val="center" w:pos="1910"/>
                    </w:tabs>
                    <w:spacing w:before="0" w:beforeAutospacing="0" w:after="0" w:afterAutospacing="0"/>
                    <w:ind w:left="0" w:right="0"/>
                    <w:jc w:val="center"/>
                    <w:rPr>
                      <w:rFonts w:hint="default" w:ascii="Times New Roman" w:hAnsi="Times New Roman" w:eastAsia="宋体" w:cs="Times New Roman"/>
                      <w:b/>
                      <w:color w:val="auto"/>
                      <w:sz w:val="18"/>
                      <w:szCs w:val="18"/>
                      <w:lang w:val="en-US" w:eastAsia="zh-CN"/>
                    </w:rPr>
                  </w:pPr>
                  <w:r>
                    <w:rPr>
                      <w:rFonts w:hint="eastAsia" w:cs="Times New Roman"/>
                      <w:b/>
                      <w:color w:val="auto"/>
                      <w:sz w:val="18"/>
                      <w:szCs w:val="18"/>
                      <w:lang w:val="en-US" w:eastAsia="zh-CN"/>
                    </w:rPr>
                    <w:t>本次技改新增</w:t>
                  </w:r>
                  <w:r>
                    <w:rPr>
                      <w:rFonts w:hint="default" w:ascii="Times New Roman" w:hAnsi="Times New Roman" w:eastAsia="宋体" w:cs="Times New Roman"/>
                      <w:b/>
                      <w:color w:val="auto"/>
                      <w:sz w:val="18"/>
                      <w:szCs w:val="18"/>
                    </w:rPr>
                    <w:t>数量（台/套）</w:t>
                  </w:r>
                </w:p>
              </w:tc>
              <w:tc>
                <w:tcPr>
                  <w:tcW w:w="599" w:type="pct"/>
                  <w:tcBorders>
                    <w:top w:val="single" w:color="auto" w:sz="12" w:space="0"/>
                    <w:left w:val="single" w:color="auto" w:sz="4" w:space="0"/>
                    <w:bottom w:val="single" w:color="auto" w:sz="4" w:space="0"/>
                    <w:right w:val="nil"/>
                  </w:tcBorders>
                  <w:noWrap w:val="0"/>
                  <w:vAlign w:val="center"/>
                </w:tcPr>
                <w:p w14:paraId="386998C2">
                  <w:pPr>
                    <w:keepNext w:val="0"/>
                    <w:keepLines w:val="0"/>
                    <w:suppressLineNumbers w:val="0"/>
                    <w:tabs>
                      <w:tab w:val="left" w:pos="420"/>
                      <w:tab w:val="center" w:pos="1910"/>
                    </w:tabs>
                    <w:spacing w:before="0" w:beforeAutospacing="0" w:after="0" w:afterAutospacing="0"/>
                    <w:ind w:left="0" w:right="0"/>
                    <w:jc w:val="center"/>
                    <w:rPr>
                      <w:rFonts w:hint="default" w:ascii="Times New Roman" w:hAnsi="Times New Roman" w:eastAsia="宋体" w:cs="Times New Roman"/>
                      <w:b/>
                      <w:color w:val="auto"/>
                      <w:sz w:val="18"/>
                      <w:szCs w:val="18"/>
                      <w:lang w:val="en-US" w:eastAsia="zh-CN"/>
                    </w:rPr>
                  </w:pPr>
                  <w:r>
                    <w:rPr>
                      <w:rFonts w:hint="eastAsia" w:cs="Times New Roman"/>
                      <w:b/>
                      <w:color w:val="auto"/>
                      <w:sz w:val="18"/>
                      <w:szCs w:val="18"/>
                      <w:lang w:val="en-US" w:eastAsia="zh-CN"/>
                    </w:rPr>
                    <w:t>变动后实际建设情况</w:t>
                  </w:r>
                </w:p>
              </w:tc>
              <w:tc>
                <w:tcPr>
                  <w:tcW w:w="796" w:type="pct"/>
                  <w:vMerge w:val="restart"/>
                  <w:tcBorders>
                    <w:top w:val="single" w:color="auto" w:sz="12" w:space="0"/>
                    <w:left w:val="single" w:color="auto" w:sz="4" w:space="0"/>
                    <w:right w:val="nil"/>
                  </w:tcBorders>
                  <w:noWrap w:val="0"/>
                  <w:vAlign w:val="center"/>
                </w:tcPr>
                <w:p w14:paraId="23714318">
                  <w:pPr>
                    <w:keepNext w:val="0"/>
                    <w:keepLines w:val="0"/>
                    <w:suppressLineNumbers w:val="0"/>
                    <w:tabs>
                      <w:tab w:val="left" w:pos="420"/>
                      <w:tab w:val="center" w:pos="1910"/>
                    </w:tabs>
                    <w:spacing w:before="0" w:beforeAutospacing="0" w:after="0" w:afterAutospacing="0"/>
                    <w:ind w:left="0" w:right="0"/>
                    <w:jc w:val="center"/>
                    <w:rPr>
                      <w:rFonts w:hint="eastAsia" w:cs="Times New Roman"/>
                      <w:b/>
                      <w:color w:val="auto"/>
                      <w:sz w:val="18"/>
                      <w:szCs w:val="18"/>
                      <w:lang w:val="en-US" w:eastAsia="zh-CN"/>
                    </w:rPr>
                  </w:pPr>
                  <w:r>
                    <w:rPr>
                      <w:rFonts w:hint="eastAsia" w:cs="Times New Roman"/>
                      <w:b/>
                      <w:color w:val="auto"/>
                      <w:sz w:val="18"/>
                      <w:szCs w:val="18"/>
                      <w:lang w:val="en-US" w:eastAsia="zh-CN"/>
                    </w:rPr>
                    <w:t>设备位置</w:t>
                  </w:r>
                </w:p>
              </w:tc>
              <w:tc>
                <w:tcPr>
                  <w:tcW w:w="252" w:type="pct"/>
                  <w:vMerge w:val="restart"/>
                  <w:tcBorders>
                    <w:top w:val="single" w:color="auto" w:sz="12" w:space="0"/>
                    <w:left w:val="single" w:color="auto" w:sz="4" w:space="0"/>
                    <w:bottom w:val="single" w:color="auto" w:sz="4" w:space="0"/>
                    <w:right w:val="nil"/>
                  </w:tcBorders>
                  <w:noWrap w:val="0"/>
                  <w:vAlign w:val="center"/>
                </w:tcPr>
                <w:p w14:paraId="76081F01">
                  <w:pPr>
                    <w:keepNext w:val="0"/>
                    <w:keepLines w:val="0"/>
                    <w:suppressLineNumbers w:val="0"/>
                    <w:tabs>
                      <w:tab w:val="left" w:pos="420"/>
                      <w:tab w:val="center" w:pos="1910"/>
                    </w:tabs>
                    <w:spacing w:before="0" w:beforeAutospacing="0" w:after="0" w:afterAutospacing="0"/>
                    <w:ind w:left="0" w:right="0"/>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备注</w:t>
                  </w:r>
                </w:p>
              </w:tc>
            </w:tr>
            <w:tr w14:paraId="50C1A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365" w:type="pct"/>
                  <w:vMerge w:val="continue"/>
                  <w:tcBorders>
                    <w:top w:val="single" w:color="auto" w:sz="4" w:space="0"/>
                    <w:left w:val="nil"/>
                    <w:bottom w:val="single" w:color="auto" w:sz="4" w:space="0"/>
                    <w:right w:val="single" w:color="auto" w:sz="4" w:space="0"/>
                  </w:tcBorders>
                  <w:noWrap w:val="0"/>
                  <w:vAlign w:val="center"/>
                </w:tcPr>
                <w:p w14:paraId="318B1D7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color w:val="auto"/>
                      <w:sz w:val="18"/>
                      <w:szCs w:val="18"/>
                    </w:rPr>
                  </w:pPr>
                </w:p>
              </w:tc>
              <w:tc>
                <w:tcPr>
                  <w:tcW w:w="1106" w:type="pct"/>
                  <w:vMerge w:val="continue"/>
                  <w:tcBorders>
                    <w:top w:val="single" w:color="auto" w:sz="4" w:space="0"/>
                    <w:left w:val="single" w:color="auto" w:sz="4" w:space="0"/>
                    <w:bottom w:val="single" w:color="auto" w:sz="4" w:space="0"/>
                    <w:right w:val="single" w:color="auto" w:sz="4" w:space="0"/>
                  </w:tcBorders>
                  <w:noWrap w:val="0"/>
                  <w:vAlign w:val="center"/>
                </w:tcPr>
                <w:p w14:paraId="1CEA5AD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color w:val="auto"/>
                      <w:sz w:val="18"/>
                      <w:szCs w:val="18"/>
                    </w:rPr>
                  </w:pPr>
                </w:p>
              </w:tc>
              <w:tc>
                <w:tcPr>
                  <w:tcW w:w="851" w:type="pct"/>
                  <w:vMerge w:val="continue"/>
                  <w:tcBorders>
                    <w:left w:val="single" w:color="auto" w:sz="4" w:space="0"/>
                    <w:bottom w:val="single" w:color="auto" w:sz="4" w:space="0"/>
                    <w:right w:val="single" w:color="auto" w:sz="4" w:space="0"/>
                  </w:tcBorders>
                  <w:noWrap w:val="0"/>
                  <w:vAlign w:val="center"/>
                </w:tcPr>
                <w:p w14:paraId="20E98E8C">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18"/>
                      <w:szCs w:val="18"/>
                    </w:rPr>
                  </w:pPr>
                </w:p>
              </w:tc>
              <w:tc>
                <w:tcPr>
                  <w:tcW w:w="482" w:type="pct"/>
                  <w:vMerge w:val="continue"/>
                  <w:tcBorders>
                    <w:left w:val="single" w:color="auto" w:sz="4" w:space="0"/>
                    <w:bottom w:val="single" w:color="auto" w:sz="4" w:space="0"/>
                    <w:right w:val="single" w:color="auto" w:sz="4" w:space="0"/>
                  </w:tcBorders>
                  <w:noWrap w:val="0"/>
                  <w:vAlign w:val="center"/>
                </w:tcPr>
                <w:p w14:paraId="4462C790">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18"/>
                      <w:szCs w:val="18"/>
                    </w:rPr>
                  </w:pPr>
                </w:p>
              </w:tc>
              <w:tc>
                <w:tcPr>
                  <w:tcW w:w="545" w:type="pct"/>
                  <w:vMerge w:val="continue"/>
                  <w:tcBorders>
                    <w:left w:val="single" w:color="auto" w:sz="4" w:space="0"/>
                    <w:bottom w:val="single" w:color="auto" w:sz="4" w:space="0"/>
                    <w:right w:val="nil"/>
                  </w:tcBorders>
                  <w:noWrap w:val="0"/>
                  <w:vAlign w:val="center"/>
                </w:tcPr>
                <w:p w14:paraId="2421F8DE">
                  <w:pPr>
                    <w:keepNext w:val="0"/>
                    <w:keepLines w:val="0"/>
                    <w:suppressLineNumbers w:val="0"/>
                    <w:tabs>
                      <w:tab w:val="left" w:pos="420"/>
                      <w:tab w:val="center" w:pos="1910"/>
                    </w:tabs>
                    <w:spacing w:before="0" w:beforeAutospacing="0" w:after="0" w:afterAutospacing="0"/>
                    <w:ind w:left="0" w:right="0"/>
                    <w:jc w:val="center"/>
                    <w:rPr>
                      <w:rFonts w:hint="default" w:ascii="Times New Roman" w:hAnsi="Times New Roman" w:eastAsia="宋体" w:cs="Times New Roman"/>
                      <w:b/>
                      <w:color w:val="auto"/>
                      <w:sz w:val="18"/>
                      <w:szCs w:val="18"/>
                    </w:rPr>
                  </w:pPr>
                </w:p>
              </w:tc>
              <w:tc>
                <w:tcPr>
                  <w:tcW w:w="599" w:type="pct"/>
                  <w:tcBorders>
                    <w:top w:val="single" w:color="auto" w:sz="4" w:space="0"/>
                    <w:left w:val="single" w:color="auto" w:sz="4" w:space="0"/>
                    <w:bottom w:val="single" w:color="auto" w:sz="4" w:space="0"/>
                    <w:right w:val="nil"/>
                  </w:tcBorders>
                  <w:noWrap w:val="0"/>
                  <w:vAlign w:val="center"/>
                </w:tcPr>
                <w:p w14:paraId="5C7F3634">
                  <w:pPr>
                    <w:keepNext w:val="0"/>
                    <w:keepLines w:val="0"/>
                    <w:suppressLineNumbers w:val="0"/>
                    <w:tabs>
                      <w:tab w:val="left" w:pos="420"/>
                      <w:tab w:val="center" w:pos="1910"/>
                    </w:tabs>
                    <w:spacing w:before="0" w:beforeAutospacing="0" w:after="0" w:afterAutospacing="0"/>
                    <w:ind w:left="0" w:right="0"/>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数量（台/套）</w:t>
                  </w:r>
                </w:p>
              </w:tc>
              <w:tc>
                <w:tcPr>
                  <w:tcW w:w="796" w:type="pct"/>
                  <w:vMerge w:val="continue"/>
                  <w:tcBorders>
                    <w:left w:val="single" w:color="auto" w:sz="4" w:space="0"/>
                    <w:bottom w:val="single" w:color="auto" w:sz="4" w:space="0"/>
                    <w:right w:val="nil"/>
                  </w:tcBorders>
                  <w:noWrap w:val="0"/>
                  <w:vAlign w:val="center"/>
                </w:tcPr>
                <w:p w14:paraId="3FD6CA04">
                  <w:pPr>
                    <w:keepNext w:val="0"/>
                    <w:keepLines w:val="0"/>
                    <w:suppressLineNumbers w:val="0"/>
                    <w:tabs>
                      <w:tab w:val="left" w:pos="420"/>
                      <w:tab w:val="center" w:pos="1910"/>
                    </w:tabs>
                    <w:spacing w:before="0" w:beforeAutospacing="0" w:after="0" w:afterAutospacing="0"/>
                    <w:ind w:left="0" w:right="0"/>
                    <w:jc w:val="center"/>
                    <w:rPr>
                      <w:rFonts w:hint="default" w:ascii="Times New Roman" w:hAnsi="Times New Roman" w:eastAsia="宋体" w:cs="Times New Roman"/>
                      <w:b/>
                      <w:color w:val="auto"/>
                      <w:sz w:val="18"/>
                      <w:szCs w:val="18"/>
                    </w:rPr>
                  </w:pPr>
                </w:p>
              </w:tc>
              <w:tc>
                <w:tcPr>
                  <w:tcW w:w="252" w:type="pct"/>
                  <w:vMerge w:val="continue"/>
                  <w:tcBorders>
                    <w:top w:val="single" w:color="auto" w:sz="4" w:space="0"/>
                    <w:left w:val="single" w:color="auto" w:sz="4" w:space="0"/>
                    <w:bottom w:val="single" w:color="auto" w:sz="4" w:space="0"/>
                    <w:right w:val="nil"/>
                  </w:tcBorders>
                  <w:noWrap w:val="0"/>
                  <w:vAlign w:val="center"/>
                </w:tcPr>
                <w:p w14:paraId="5E3C8C9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color w:val="auto"/>
                      <w:sz w:val="18"/>
                      <w:szCs w:val="18"/>
                    </w:rPr>
                  </w:pPr>
                </w:p>
              </w:tc>
            </w:tr>
            <w:tr w14:paraId="691AB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5" w:type="pct"/>
                  <w:tcBorders>
                    <w:top w:val="single" w:color="auto" w:sz="4" w:space="0"/>
                    <w:left w:val="nil"/>
                    <w:bottom w:val="single" w:color="auto" w:sz="4" w:space="0"/>
                    <w:right w:val="single" w:color="auto" w:sz="4" w:space="0"/>
                  </w:tcBorders>
                  <w:noWrap w:val="0"/>
                  <w:vAlign w:val="center"/>
                </w:tcPr>
                <w:p w14:paraId="7D205168">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1</w:t>
                  </w:r>
                </w:p>
              </w:tc>
              <w:tc>
                <w:tcPr>
                  <w:tcW w:w="1106" w:type="pct"/>
                  <w:tcBorders>
                    <w:top w:val="single" w:color="auto" w:sz="4" w:space="0"/>
                    <w:left w:val="single" w:color="auto" w:sz="4" w:space="0"/>
                    <w:bottom w:val="single" w:color="auto" w:sz="4" w:space="0"/>
                    <w:right w:val="single" w:color="auto" w:sz="4" w:space="0"/>
                  </w:tcBorders>
                  <w:noWrap w:val="0"/>
                  <w:vAlign w:val="center"/>
                </w:tcPr>
                <w:p w14:paraId="02CACA24">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立体冷库货架系统</w:t>
                  </w:r>
                </w:p>
              </w:tc>
              <w:tc>
                <w:tcPr>
                  <w:tcW w:w="851" w:type="pct"/>
                  <w:tcBorders>
                    <w:top w:val="single" w:color="auto" w:sz="4" w:space="0"/>
                    <w:left w:val="single" w:color="auto" w:sz="4" w:space="0"/>
                    <w:bottom w:val="single" w:color="auto" w:sz="4" w:space="0"/>
                    <w:right w:val="single" w:color="auto" w:sz="4" w:space="0"/>
                  </w:tcBorders>
                  <w:noWrap w:val="0"/>
                  <w:vAlign w:val="center"/>
                </w:tcPr>
                <w:p w14:paraId="74A25D85">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300w</w:t>
                  </w:r>
                </w:p>
              </w:tc>
              <w:tc>
                <w:tcPr>
                  <w:tcW w:w="482" w:type="pct"/>
                  <w:tcBorders>
                    <w:top w:val="single" w:color="auto" w:sz="4" w:space="0"/>
                    <w:left w:val="single" w:color="auto" w:sz="4" w:space="0"/>
                    <w:bottom w:val="single" w:color="auto" w:sz="4" w:space="0"/>
                    <w:right w:val="single" w:color="auto" w:sz="4" w:space="0"/>
                  </w:tcBorders>
                  <w:noWrap w:val="0"/>
                  <w:vAlign w:val="center"/>
                </w:tcPr>
                <w:p w14:paraId="195E78EC">
                  <w:pPr>
                    <w:keepNext w:val="0"/>
                    <w:keepLines w:val="0"/>
                    <w:suppressLineNumbers w:val="0"/>
                    <w:tabs>
                      <w:tab w:val="left" w:pos="420"/>
                      <w:tab w:val="center" w:pos="1910"/>
                    </w:tabs>
                    <w:spacing w:before="0" w:beforeAutospacing="0" w:after="0" w:afterAutospacing="0"/>
                    <w:ind w:left="0" w:right="0"/>
                    <w:jc w:val="center"/>
                    <w:rPr>
                      <w:rFonts w:hint="default" w:ascii="Times New Roman" w:hAnsi="Times New Roman" w:eastAsia="宋体" w:cs="Times New Roman"/>
                      <w:b w:val="0"/>
                      <w:bCs/>
                      <w:color w:val="auto"/>
                      <w:sz w:val="21"/>
                      <w:szCs w:val="21"/>
                      <w:lang w:eastAsia="zh-CN"/>
                    </w:rPr>
                  </w:pPr>
                  <w:r>
                    <w:rPr>
                      <w:rFonts w:hint="eastAsia" w:cs="Times New Roman"/>
                      <w:b w:val="0"/>
                      <w:bCs/>
                      <w:color w:val="auto"/>
                      <w:sz w:val="21"/>
                      <w:szCs w:val="21"/>
                      <w:lang w:val="en-US" w:eastAsia="zh-CN"/>
                    </w:rPr>
                    <w:t>1</w:t>
                  </w:r>
                </w:p>
              </w:tc>
              <w:tc>
                <w:tcPr>
                  <w:tcW w:w="545" w:type="pct"/>
                  <w:tcBorders>
                    <w:top w:val="single" w:color="auto" w:sz="4" w:space="0"/>
                    <w:left w:val="single" w:color="auto" w:sz="4" w:space="0"/>
                    <w:bottom w:val="single" w:color="auto" w:sz="4" w:space="0"/>
                    <w:right w:val="nil"/>
                  </w:tcBorders>
                  <w:noWrap w:val="0"/>
                  <w:vAlign w:val="center"/>
                </w:tcPr>
                <w:p w14:paraId="0EBED2BB">
                  <w:pPr>
                    <w:adjustRightInd w:val="0"/>
                    <w:snapToGrid w:val="0"/>
                    <w:jc w:val="center"/>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val="en-US" w:eastAsia="zh-CN"/>
                    </w:rPr>
                    <w:t>1</w:t>
                  </w:r>
                </w:p>
              </w:tc>
              <w:tc>
                <w:tcPr>
                  <w:tcW w:w="599" w:type="pct"/>
                  <w:tcBorders>
                    <w:top w:val="single" w:color="auto" w:sz="4" w:space="0"/>
                    <w:left w:val="single" w:color="auto" w:sz="4" w:space="0"/>
                    <w:bottom w:val="single" w:color="auto" w:sz="4" w:space="0"/>
                    <w:right w:val="nil"/>
                  </w:tcBorders>
                  <w:noWrap w:val="0"/>
                  <w:vAlign w:val="center"/>
                </w:tcPr>
                <w:p w14:paraId="4A86C858">
                  <w:pPr>
                    <w:adjustRightInd w:val="0"/>
                    <w:snapToGrid w:val="0"/>
                    <w:jc w:val="center"/>
                    <w:rPr>
                      <w:rFonts w:hint="default" w:ascii="Times New Roman" w:hAnsi="Times New Roman" w:eastAsia="仿宋" w:cs="Times New Roman"/>
                      <w:b w:val="0"/>
                      <w:bCs/>
                      <w:color w:val="auto"/>
                      <w:sz w:val="21"/>
                      <w:szCs w:val="21"/>
                      <w:lang w:val="en-US" w:eastAsia="zh-CN"/>
                    </w:rPr>
                  </w:pPr>
                  <w:r>
                    <w:rPr>
                      <w:rFonts w:hint="eastAsia" w:cs="Times New Roman"/>
                      <w:b w:val="0"/>
                      <w:bCs/>
                      <w:color w:val="auto"/>
                      <w:sz w:val="21"/>
                      <w:szCs w:val="21"/>
                      <w:lang w:val="en-US" w:eastAsia="zh-CN"/>
                    </w:rPr>
                    <w:t>2</w:t>
                  </w:r>
                </w:p>
              </w:tc>
              <w:tc>
                <w:tcPr>
                  <w:tcW w:w="796" w:type="pct"/>
                  <w:tcBorders>
                    <w:top w:val="single" w:color="auto" w:sz="4" w:space="0"/>
                    <w:left w:val="single" w:color="auto" w:sz="4" w:space="0"/>
                    <w:bottom w:val="single" w:color="auto" w:sz="4" w:space="0"/>
                    <w:right w:val="nil"/>
                  </w:tcBorders>
                  <w:noWrap w:val="0"/>
                  <w:vAlign w:val="center"/>
                </w:tcPr>
                <w:p w14:paraId="50BADEB5">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公用工程</w:t>
                  </w:r>
                </w:p>
              </w:tc>
              <w:tc>
                <w:tcPr>
                  <w:tcW w:w="252" w:type="pct"/>
                  <w:vMerge w:val="restart"/>
                  <w:tcBorders>
                    <w:top w:val="single" w:color="auto" w:sz="4" w:space="0"/>
                    <w:left w:val="single" w:color="auto" w:sz="4" w:space="0"/>
                    <w:bottom w:val="single" w:color="auto" w:sz="4" w:space="0"/>
                    <w:right w:val="nil"/>
                  </w:tcBorders>
                  <w:noWrap w:val="0"/>
                  <w:vAlign w:val="center"/>
                </w:tcPr>
                <w:p w14:paraId="1FFF8C57">
                  <w:pPr>
                    <w:adjustRightInd w:val="0"/>
                    <w:snapToGrid w:val="0"/>
                    <w:jc w:val="center"/>
                    <w:rPr>
                      <w:rFonts w:hint="default" w:ascii="Times New Roman" w:hAnsi="Times New Roman" w:eastAsia="仿宋" w:cs="Times New Roman"/>
                      <w:b w:val="0"/>
                      <w:bCs/>
                      <w:color w:val="auto"/>
                      <w:sz w:val="24"/>
                      <w:szCs w:val="24"/>
                      <w:lang w:val="en-US" w:eastAsia="zh-CN"/>
                    </w:rPr>
                  </w:pPr>
                  <w:r>
                    <w:rPr>
                      <w:rFonts w:hint="eastAsia"/>
                      <w:color w:val="auto"/>
                      <w:szCs w:val="21"/>
                      <w:lang w:val="en-US" w:eastAsia="zh-CN"/>
                    </w:rPr>
                    <w:t>本次扩建新增设备</w:t>
                  </w:r>
                </w:p>
              </w:tc>
            </w:tr>
            <w:tr w14:paraId="2DEAA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365" w:type="pct"/>
                  <w:tcBorders>
                    <w:top w:val="single" w:color="auto" w:sz="4" w:space="0"/>
                    <w:left w:val="nil"/>
                    <w:bottom w:val="single" w:color="auto" w:sz="4" w:space="0"/>
                    <w:right w:val="single" w:color="auto" w:sz="4" w:space="0"/>
                  </w:tcBorders>
                  <w:noWrap w:val="0"/>
                  <w:vAlign w:val="center"/>
                </w:tcPr>
                <w:p w14:paraId="1786668E">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2</w:t>
                  </w:r>
                </w:p>
              </w:tc>
              <w:tc>
                <w:tcPr>
                  <w:tcW w:w="1106" w:type="pct"/>
                  <w:tcBorders>
                    <w:top w:val="single" w:color="auto" w:sz="4" w:space="0"/>
                    <w:left w:val="single" w:color="auto" w:sz="4" w:space="0"/>
                    <w:bottom w:val="single" w:color="auto" w:sz="4" w:space="0"/>
                    <w:right w:val="single" w:color="auto" w:sz="4" w:space="0"/>
                  </w:tcBorders>
                  <w:noWrap w:val="0"/>
                  <w:vAlign w:val="center"/>
                </w:tcPr>
                <w:p w14:paraId="4C9421B0">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制冷系统</w:t>
                  </w:r>
                </w:p>
              </w:tc>
              <w:tc>
                <w:tcPr>
                  <w:tcW w:w="851" w:type="pct"/>
                  <w:tcBorders>
                    <w:top w:val="single" w:color="auto" w:sz="4" w:space="0"/>
                    <w:left w:val="single" w:color="auto" w:sz="4" w:space="0"/>
                    <w:bottom w:val="single" w:color="auto" w:sz="4" w:space="0"/>
                    <w:right w:val="single" w:color="auto" w:sz="4" w:space="0"/>
                  </w:tcBorders>
                  <w:noWrap w:val="0"/>
                  <w:vAlign w:val="center"/>
                </w:tcPr>
                <w:p w14:paraId="1ACD2F98">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390w</w:t>
                  </w:r>
                  <w:r>
                    <w:rPr>
                      <w:rFonts w:hint="eastAsia" w:cs="Times New Roman"/>
                      <w:b w:val="0"/>
                      <w:bCs/>
                      <w:color w:val="auto"/>
                      <w:sz w:val="21"/>
                      <w:szCs w:val="21"/>
                      <w:lang w:val="en-US" w:eastAsia="zh-CN"/>
                    </w:rPr>
                    <w:t>/</w:t>
                  </w:r>
                  <w:r>
                    <w:rPr>
                      <w:rFonts w:hint="eastAsia" w:ascii="Times New Roman" w:hAnsi="Times New Roman" w:eastAsia="宋体" w:cs="Times New Roman"/>
                      <w:b w:val="0"/>
                      <w:bCs/>
                      <w:color w:val="auto"/>
                      <w:sz w:val="21"/>
                      <w:szCs w:val="21"/>
                      <w:lang w:val="en-US" w:eastAsia="zh-CN"/>
                    </w:rPr>
                    <w:t>O</w:t>
                  </w:r>
                  <w:r>
                    <w:rPr>
                      <w:rFonts w:hint="default" w:ascii="Times New Roman" w:hAnsi="Times New Roman" w:eastAsia="宋体" w:cs="Times New Roman"/>
                      <w:b w:val="0"/>
                      <w:bCs/>
                      <w:color w:val="auto"/>
                      <w:sz w:val="21"/>
                      <w:szCs w:val="21"/>
                      <w:lang w:val="en-US" w:eastAsia="zh-CN"/>
                    </w:rPr>
                    <w:t>BBL2-370L</w:t>
                  </w:r>
                  <w:r>
                    <w:rPr>
                      <w:rFonts w:hint="eastAsia" w:ascii="Times New Roman" w:hAnsi="Times New Roman" w:eastAsia="宋体" w:cs="Times New Roman"/>
                      <w:b w:val="0"/>
                      <w:bCs/>
                      <w:color w:val="auto"/>
                      <w:sz w:val="21"/>
                      <w:szCs w:val="21"/>
                      <w:lang w:val="en-US" w:eastAsia="zh-CN"/>
                    </w:rPr>
                    <w:t>/O</w:t>
                  </w:r>
                  <w:r>
                    <w:rPr>
                      <w:rFonts w:hint="default" w:ascii="Times New Roman" w:hAnsi="Times New Roman" w:eastAsia="宋体" w:cs="Times New Roman"/>
                      <w:b w:val="0"/>
                      <w:bCs/>
                      <w:color w:val="auto"/>
                      <w:sz w:val="21"/>
                      <w:szCs w:val="21"/>
                      <w:lang w:val="en-US" w:eastAsia="zh-CN"/>
                    </w:rPr>
                    <w:t>BBL2-300J/</w:t>
                  </w:r>
                  <w:r>
                    <w:rPr>
                      <w:rFonts w:hint="eastAsia" w:ascii="Times New Roman" w:hAnsi="Times New Roman" w:eastAsia="宋体" w:cs="Times New Roman"/>
                      <w:b w:val="0"/>
                      <w:bCs/>
                      <w:color w:val="auto"/>
                      <w:sz w:val="21"/>
                      <w:szCs w:val="21"/>
                      <w:lang w:val="en-US" w:eastAsia="zh-CN"/>
                    </w:rPr>
                    <w:t>O</w:t>
                  </w:r>
                  <w:r>
                    <w:rPr>
                      <w:rFonts w:hint="default" w:ascii="Times New Roman" w:hAnsi="Times New Roman" w:eastAsia="宋体" w:cs="Times New Roman"/>
                      <w:b w:val="0"/>
                      <w:bCs/>
                      <w:color w:val="auto"/>
                      <w:sz w:val="21"/>
                      <w:szCs w:val="21"/>
                      <w:lang w:val="en-US" w:eastAsia="zh-CN"/>
                    </w:rPr>
                    <w:t>BBL2-190L</w:t>
                  </w:r>
                </w:p>
              </w:tc>
              <w:tc>
                <w:tcPr>
                  <w:tcW w:w="482" w:type="pct"/>
                  <w:tcBorders>
                    <w:top w:val="single" w:color="auto" w:sz="4" w:space="0"/>
                    <w:left w:val="single" w:color="auto" w:sz="4" w:space="0"/>
                    <w:bottom w:val="single" w:color="auto" w:sz="4" w:space="0"/>
                    <w:right w:val="single" w:color="auto" w:sz="4" w:space="0"/>
                  </w:tcBorders>
                  <w:noWrap w:val="0"/>
                  <w:vAlign w:val="center"/>
                </w:tcPr>
                <w:p w14:paraId="362E610C">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4</w:t>
                  </w:r>
                </w:p>
              </w:tc>
              <w:tc>
                <w:tcPr>
                  <w:tcW w:w="545" w:type="pct"/>
                  <w:tcBorders>
                    <w:top w:val="single" w:color="auto" w:sz="4" w:space="0"/>
                    <w:left w:val="single" w:color="auto" w:sz="4" w:space="0"/>
                    <w:bottom w:val="single" w:color="auto" w:sz="4" w:space="0"/>
                    <w:right w:val="nil"/>
                  </w:tcBorders>
                  <w:noWrap w:val="0"/>
                  <w:vAlign w:val="center"/>
                </w:tcPr>
                <w:p w14:paraId="33A67F12">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1</w:t>
                  </w:r>
                </w:p>
              </w:tc>
              <w:tc>
                <w:tcPr>
                  <w:tcW w:w="599" w:type="pct"/>
                  <w:tcBorders>
                    <w:top w:val="single" w:color="auto" w:sz="4" w:space="0"/>
                    <w:left w:val="single" w:color="auto" w:sz="4" w:space="0"/>
                    <w:bottom w:val="single" w:color="auto" w:sz="4" w:space="0"/>
                    <w:right w:val="nil"/>
                  </w:tcBorders>
                  <w:noWrap w:val="0"/>
                  <w:vAlign w:val="center"/>
                </w:tcPr>
                <w:p w14:paraId="230E8CC9">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5</w:t>
                  </w:r>
                </w:p>
              </w:tc>
              <w:tc>
                <w:tcPr>
                  <w:tcW w:w="796" w:type="pct"/>
                  <w:tcBorders>
                    <w:top w:val="single" w:color="auto" w:sz="4" w:space="0"/>
                    <w:left w:val="single" w:color="auto" w:sz="4" w:space="0"/>
                    <w:bottom w:val="single" w:color="auto" w:sz="4" w:space="0"/>
                    <w:right w:val="nil"/>
                  </w:tcBorders>
                  <w:noWrap w:val="0"/>
                  <w:vAlign w:val="center"/>
                </w:tcPr>
                <w:p w14:paraId="153E68B6">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公用工程</w:t>
                  </w:r>
                </w:p>
              </w:tc>
              <w:tc>
                <w:tcPr>
                  <w:tcW w:w="252" w:type="pct"/>
                  <w:vMerge w:val="continue"/>
                  <w:tcBorders>
                    <w:top w:val="single" w:color="auto" w:sz="4" w:space="0"/>
                    <w:left w:val="single" w:color="auto" w:sz="4" w:space="0"/>
                    <w:bottom w:val="single" w:color="auto" w:sz="4" w:space="0"/>
                    <w:right w:val="nil"/>
                  </w:tcBorders>
                  <w:noWrap w:val="0"/>
                  <w:vAlign w:val="center"/>
                </w:tcPr>
                <w:p w14:paraId="395BC114">
                  <w:pPr>
                    <w:adjustRightInd w:val="0"/>
                    <w:snapToGrid w:val="0"/>
                    <w:jc w:val="center"/>
                    <w:rPr>
                      <w:rFonts w:hint="default" w:ascii="Times New Roman" w:hAnsi="Times New Roman" w:eastAsia="仿宋" w:cs="Times New Roman"/>
                      <w:b w:val="0"/>
                      <w:bCs/>
                      <w:color w:val="auto"/>
                      <w:sz w:val="24"/>
                      <w:szCs w:val="24"/>
                      <w:lang w:val="en-US" w:eastAsia="zh-CN"/>
                    </w:rPr>
                  </w:pPr>
                </w:p>
              </w:tc>
            </w:tr>
            <w:tr w14:paraId="17BAB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365" w:type="pct"/>
                  <w:tcBorders>
                    <w:top w:val="single" w:color="auto" w:sz="4" w:space="0"/>
                    <w:left w:val="nil"/>
                    <w:bottom w:val="single" w:color="auto" w:sz="4" w:space="0"/>
                    <w:right w:val="single" w:color="auto" w:sz="4" w:space="0"/>
                  </w:tcBorders>
                  <w:noWrap w:val="0"/>
                  <w:vAlign w:val="center"/>
                </w:tcPr>
                <w:p w14:paraId="0BD7E199">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3</w:t>
                  </w:r>
                </w:p>
              </w:tc>
              <w:tc>
                <w:tcPr>
                  <w:tcW w:w="1106" w:type="pct"/>
                  <w:tcBorders>
                    <w:top w:val="single" w:color="auto" w:sz="4" w:space="0"/>
                    <w:left w:val="single" w:color="auto" w:sz="4" w:space="0"/>
                    <w:bottom w:val="single" w:color="auto" w:sz="4" w:space="0"/>
                    <w:right w:val="single" w:color="auto" w:sz="4" w:space="0"/>
                  </w:tcBorders>
                  <w:noWrap w:val="0"/>
                  <w:vAlign w:val="center"/>
                </w:tcPr>
                <w:p w14:paraId="6F369936">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常温库货架系统</w:t>
                  </w:r>
                </w:p>
              </w:tc>
              <w:tc>
                <w:tcPr>
                  <w:tcW w:w="851" w:type="pct"/>
                  <w:tcBorders>
                    <w:top w:val="single" w:color="auto" w:sz="4" w:space="0"/>
                    <w:left w:val="single" w:color="auto" w:sz="4" w:space="0"/>
                    <w:bottom w:val="single" w:color="auto" w:sz="4" w:space="0"/>
                    <w:right w:val="single" w:color="auto" w:sz="4" w:space="0"/>
                  </w:tcBorders>
                  <w:noWrap w:val="0"/>
                  <w:vAlign w:val="center"/>
                </w:tcPr>
                <w:p w14:paraId="03D3D692">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50w</w:t>
                  </w:r>
                </w:p>
              </w:tc>
              <w:tc>
                <w:tcPr>
                  <w:tcW w:w="482" w:type="pct"/>
                  <w:tcBorders>
                    <w:top w:val="single" w:color="auto" w:sz="4" w:space="0"/>
                    <w:left w:val="single" w:color="auto" w:sz="4" w:space="0"/>
                    <w:bottom w:val="single" w:color="auto" w:sz="4" w:space="0"/>
                    <w:right w:val="single" w:color="auto" w:sz="4" w:space="0"/>
                  </w:tcBorders>
                  <w:noWrap w:val="0"/>
                  <w:vAlign w:val="center"/>
                </w:tcPr>
                <w:p w14:paraId="38D77375">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0</w:t>
                  </w:r>
                </w:p>
              </w:tc>
              <w:tc>
                <w:tcPr>
                  <w:tcW w:w="545" w:type="pct"/>
                  <w:tcBorders>
                    <w:top w:val="single" w:color="auto" w:sz="4" w:space="0"/>
                    <w:left w:val="single" w:color="auto" w:sz="4" w:space="0"/>
                    <w:bottom w:val="single" w:color="auto" w:sz="4" w:space="0"/>
                    <w:right w:val="nil"/>
                  </w:tcBorders>
                  <w:noWrap w:val="0"/>
                  <w:vAlign w:val="center"/>
                </w:tcPr>
                <w:p w14:paraId="2DF77CD0">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1</w:t>
                  </w:r>
                </w:p>
              </w:tc>
              <w:tc>
                <w:tcPr>
                  <w:tcW w:w="599" w:type="pct"/>
                  <w:tcBorders>
                    <w:top w:val="single" w:color="auto" w:sz="4" w:space="0"/>
                    <w:left w:val="single" w:color="auto" w:sz="4" w:space="0"/>
                    <w:bottom w:val="single" w:color="auto" w:sz="4" w:space="0"/>
                    <w:right w:val="nil"/>
                  </w:tcBorders>
                  <w:noWrap w:val="0"/>
                  <w:vAlign w:val="center"/>
                </w:tcPr>
                <w:p w14:paraId="7228F35A">
                  <w:pPr>
                    <w:adjustRightInd w:val="0"/>
                    <w:snapToGrid w:val="0"/>
                    <w:jc w:val="center"/>
                    <w:rPr>
                      <w:rFonts w:hint="default" w:ascii="Times New Roman" w:hAnsi="Times New Roman" w:eastAsia="仿宋"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1</w:t>
                  </w:r>
                </w:p>
              </w:tc>
              <w:tc>
                <w:tcPr>
                  <w:tcW w:w="796" w:type="pct"/>
                  <w:tcBorders>
                    <w:top w:val="single" w:color="auto" w:sz="4" w:space="0"/>
                    <w:left w:val="single" w:color="auto" w:sz="4" w:space="0"/>
                    <w:bottom w:val="single" w:color="auto" w:sz="4" w:space="0"/>
                    <w:right w:val="nil"/>
                  </w:tcBorders>
                  <w:noWrap w:val="0"/>
                  <w:vAlign w:val="center"/>
                </w:tcPr>
                <w:p w14:paraId="5EF76FDB">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公用工程</w:t>
                  </w:r>
                </w:p>
              </w:tc>
              <w:tc>
                <w:tcPr>
                  <w:tcW w:w="252" w:type="pct"/>
                  <w:vMerge w:val="continue"/>
                  <w:tcBorders>
                    <w:top w:val="single" w:color="auto" w:sz="4" w:space="0"/>
                    <w:left w:val="single" w:color="auto" w:sz="4" w:space="0"/>
                    <w:bottom w:val="single" w:color="auto" w:sz="4" w:space="0"/>
                    <w:right w:val="nil"/>
                  </w:tcBorders>
                  <w:noWrap w:val="0"/>
                  <w:vAlign w:val="center"/>
                </w:tcPr>
                <w:p w14:paraId="5411C8A3">
                  <w:pPr>
                    <w:adjustRightInd w:val="0"/>
                    <w:snapToGrid w:val="0"/>
                    <w:jc w:val="center"/>
                    <w:rPr>
                      <w:rFonts w:hint="default" w:ascii="Times New Roman" w:hAnsi="Times New Roman" w:eastAsia="仿宋" w:cs="Times New Roman"/>
                      <w:b w:val="0"/>
                      <w:bCs/>
                      <w:color w:val="auto"/>
                      <w:sz w:val="24"/>
                      <w:szCs w:val="24"/>
                      <w:lang w:val="en-US" w:eastAsia="zh-CN"/>
                    </w:rPr>
                  </w:pPr>
                </w:p>
              </w:tc>
            </w:tr>
            <w:tr w14:paraId="7FCD3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365" w:type="pct"/>
                  <w:tcBorders>
                    <w:top w:val="single" w:color="auto" w:sz="4" w:space="0"/>
                    <w:left w:val="nil"/>
                    <w:bottom w:val="single" w:color="auto" w:sz="4" w:space="0"/>
                    <w:right w:val="single" w:color="auto" w:sz="4" w:space="0"/>
                  </w:tcBorders>
                  <w:shd w:val="clear" w:color="auto" w:fill="auto"/>
                  <w:noWrap w:val="0"/>
                  <w:vAlign w:val="center"/>
                </w:tcPr>
                <w:p w14:paraId="45D95431">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4</w:t>
                  </w:r>
                </w:p>
              </w:tc>
              <w:tc>
                <w:tcPr>
                  <w:tcW w:w="110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18048C0">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车间空调系统</w:t>
                  </w:r>
                </w:p>
              </w:tc>
              <w:tc>
                <w:tcPr>
                  <w:tcW w:w="85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7707044">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160w</w:t>
                  </w:r>
                </w:p>
              </w:tc>
              <w:tc>
                <w:tcPr>
                  <w:tcW w:w="48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D6B7D4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sz w:val="21"/>
                      <w:szCs w:val="21"/>
                      <w:lang w:val="en-US" w:eastAsia="zh-CN"/>
                    </w:rPr>
                    <w:t>3</w:t>
                  </w:r>
                </w:p>
              </w:tc>
              <w:tc>
                <w:tcPr>
                  <w:tcW w:w="545" w:type="pct"/>
                  <w:tcBorders>
                    <w:top w:val="single" w:color="auto" w:sz="4" w:space="0"/>
                    <w:left w:val="single" w:color="auto" w:sz="4" w:space="0"/>
                    <w:bottom w:val="single" w:color="auto" w:sz="4" w:space="0"/>
                    <w:right w:val="nil"/>
                  </w:tcBorders>
                  <w:shd w:val="clear" w:color="auto" w:fill="auto"/>
                  <w:noWrap w:val="0"/>
                  <w:vAlign w:val="center"/>
                </w:tcPr>
                <w:p w14:paraId="2C343586">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4</w:t>
                  </w:r>
                </w:p>
              </w:tc>
              <w:tc>
                <w:tcPr>
                  <w:tcW w:w="599" w:type="pct"/>
                  <w:tcBorders>
                    <w:top w:val="single" w:color="auto" w:sz="4" w:space="0"/>
                    <w:left w:val="single" w:color="auto" w:sz="4" w:space="0"/>
                    <w:bottom w:val="single" w:color="auto" w:sz="4" w:space="0"/>
                    <w:right w:val="nil"/>
                  </w:tcBorders>
                  <w:shd w:val="clear" w:color="auto" w:fill="auto"/>
                  <w:noWrap w:val="0"/>
                  <w:vAlign w:val="center"/>
                </w:tcPr>
                <w:p w14:paraId="6C76DFCD">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sz w:val="21"/>
                      <w:szCs w:val="21"/>
                      <w:lang w:val="en-US" w:eastAsia="zh-CN"/>
                    </w:rPr>
                    <w:t>7</w:t>
                  </w:r>
                </w:p>
              </w:tc>
              <w:tc>
                <w:tcPr>
                  <w:tcW w:w="796" w:type="pct"/>
                  <w:tcBorders>
                    <w:top w:val="single" w:color="auto" w:sz="4" w:space="0"/>
                    <w:left w:val="single" w:color="auto" w:sz="4" w:space="0"/>
                    <w:bottom w:val="single" w:color="auto" w:sz="4" w:space="0"/>
                    <w:right w:val="nil"/>
                  </w:tcBorders>
                  <w:noWrap w:val="0"/>
                  <w:vAlign w:val="center"/>
                </w:tcPr>
                <w:p w14:paraId="7E203D73">
                  <w:pPr>
                    <w:adjustRightInd w:val="0"/>
                    <w:snapToGrid w:val="0"/>
                    <w:jc w:val="center"/>
                    <w:rPr>
                      <w:rFonts w:hint="eastAsia" w:cs="Times New Roman"/>
                      <w:b w:val="0"/>
                      <w:bCs/>
                      <w:color w:val="auto"/>
                      <w:sz w:val="21"/>
                      <w:szCs w:val="21"/>
                      <w:lang w:val="en-US" w:eastAsia="zh-CN"/>
                    </w:rPr>
                  </w:pPr>
                  <w:r>
                    <w:rPr>
                      <w:rFonts w:hint="eastAsia" w:cs="Times New Roman"/>
                      <w:b w:val="0"/>
                      <w:bCs/>
                      <w:color w:val="auto"/>
                      <w:sz w:val="21"/>
                      <w:szCs w:val="21"/>
                      <w:lang w:val="en-US" w:eastAsia="zh-CN"/>
                    </w:rPr>
                    <w:t>公用工程</w:t>
                  </w:r>
                </w:p>
              </w:tc>
              <w:tc>
                <w:tcPr>
                  <w:tcW w:w="252" w:type="pct"/>
                  <w:vMerge w:val="continue"/>
                  <w:tcBorders>
                    <w:top w:val="single" w:color="auto" w:sz="4" w:space="0"/>
                    <w:left w:val="single" w:color="auto" w:sz="4" w:space="0"/>
                    <w:bottom w:val="single" w:color="auto" w:sz="4" w:space="0"/>
                    <w:right w:val="nil"/>
                  </w:tcBorders>
                  <w:noWrap w:val="0"/>
                  <w:vAlign w:val="center"/>
                </w:tcPr>
                <w:p w14:paraId="70FCE1E0">
                  <w:pPr>
                    <w:adjustRightInd w:val="0"/>
                    <w:snapToGrid w:val="0"/>
                    <w:jc w:val="center"/>
                    <w:rPr>
                      <w:rFonts w:hint="default" w:ascii="Times New Roman" w:hAnsi="Times New Roman" w:eastAsia="仿宋" w:cs="Times New Roman"/>
                      <w:b w:val="0"/>
                      <w:bCs/>
                      <w:color w:val="auto"/>
                      <w:sz w:val="24"/>
                      <w:szCs w:val="24"/>
                      <w:lang w:val="en-US" w:eastAsia="zh-CN"/>
                    </w:rPr>
                  </w:pPr>
                </w:p>
              </w:tc>
            </w:tr>
            <w:tr w14:paraId="7D652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365" w:type="pct"/>
                  <w:tcBorders>
                    <w:top w:val="single" w:color="auto" w:sz="4" w:space="0"/>
                    <w:left w:val="nil"/>
                    <w:bottom w:val="single" w:color="auto" w:sz="4" w:space="0"/>
                    <w:right w:val="single" w:color="auto" w:sz="4" w:space="0"/>
                  </w:tcBorders>
                  <w:shd w:val="clear" w:color="auto" w:fill="auto"/>
                  <w:noWrap w:val="0"/>
                  <w:vAlign w:val="center"/>
                </w:tcPr>
                <w:p w14:paraId="685F25F0">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5</w:t>
                  </w:r>
                </w:p>
              </w:tc>
              <w:tc>
                <w:tcPr>
                  <w:tcW w:w="110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F189267">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消防控制系统</w:t>
                  </w:r>
                </w:p>
              </w:tc>
              <w:tc>
                <w:tcPr>
                  <w:tcW w:w="85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FC4979C">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150w</w:t>
                  </w:r>
                </w:p>
              </w:tc>
              <w:tc>
                <w:tcPr>
                  <w:tcW w:w="48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2DF5B3F">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sz w:val="21"/>
                      <w:szCs w:val="21"/>
                      <w:lang w:val="en-US" w:eastAsia="zh-CN"/>
                    </w:rPr>
                    <w:t>1</w:t>
                  </w:r>
                </w:p>
              </w:tc>
              <w:tc>
                <w:tcPr>
                  <w:tcW w:w="545" w:type="pct"/>
                  <w:tcBorders>
                    <w:top w:val="single" w:color="auto" w:sz="4" w:space="0"/>
                    <w:left w:val="single" w:color="auto" w:sz="4" w:space="0"/>
                    <w:bottom w:val="single" w:color="auto" w:sz="4" w:space="0"/>
                    <w:right w:val="nil"/>
                  </w:tcBorders>
                  <w:shd w:val="clear" w:color="auto" w:fill="auto"/>
                  <w:noWrap w:val="0"/>
                  <w:vAlign w:val="center"/>
                </w:tcPr>
                <w:p w14:paraId="1B49784C">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1</w:t>
                  </w:r>
                </w:p>
              </w:tc>
              <w:tc>
                <w:tcPr>
                  <w:tcW w:w="599" w:type="pct"/>
                  <w:tcBorders>
                    <w:top w:val="single" w:color="auto" w:sz="4" w:space="0"/>
                    <w:left w:val="single" w:color="auto" w:sz="4" w:space="0"/>
                    <w:bottom w:val="single" w:color="auto" w:sz="4" w:space="0"/>
                    <w:right w:val="nil"/>
                  </w:tcBorders>
                  <w:shd w:val="clear" w:color="auto" w:fill="auto"/>
                  <w:noWrap w:val="0"/>
                  <w:vAlign w:val="center"/>
                </w:tcPr>
                <w:p w14:paraId="19A3CA7F">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sz w:val="21"/>
                      <w:szCs w:val="21"/>
                      <w:lang w:val="en-US" w:eastAsia="zh-CN"/>
                    </w:rPr>
                    <w:t>2</w:t>
                  </w:r>
                </w:p>
              </w:tc>
              <w:tc>
                <w:tcPr>
                  <w:tcW w:w="796" w:type="pct"/>
                  <w:tcBorders>
                    <w:top w:val="single" w:color="auto" w:sz="4" w:space="0"/>
                    <w:left w:val="single" w:color="auto" w:sz="4" w:space="0"/>
                    <w:bottom w:val="single" w:color="auto" w:sz="4" w:space="0"/>
                    <w:right w:val="nil"/>
                  </w:tcBorders>
                  <w:noWrap w:val="0"/>
                  <w:vAlign w:val="center"/>
                </w:tcPr>
                <w:p w14:paraId="10C91F0B">
                  <w:pPr>
                    <w:adjustRightInd w:val="0"/>
                    <w:snapToGrid w:val="0"/>
                    <w:jc w:val="center"/>
                    <w:rPr>
                      <w:rFonts w:hint="eastAsia" w:cs="Times New Roman"/>
                      <w:b w:val="0"/>
                      <w:bCs/>
                      <w:color w:val="auto"/>
                      <w:sz w:val="21"/>
                      <w:szCs w:val="21"/>
                      <w:lang w:val="en-US" w:eastAsia="zh-CN"/>
                    </w:rPr>
                  </w:pPr>
                  <w:r>
                    <w:rPr>
                      <w:rFonts w:hint="eastAsia" w:cs="Times New Roman"/>
                      <w:b w:val="0"/>
                      <w:bCs/>
                      <w:color w:val="auto"/>
                      <w:sz w:val="21"/>
                      <w:szCs w:val="21"/>
                      <w:lang w:val="en-US" w:eastAsia="zh-CN"/>
                    </w:rPr>
                    <w:t>公用工程</w:t>
                  </w:r>
                </w:p>
              </w:tc>
              <w:tc>
                <w:tcPr>
                  <w:tcW w:w="252" w:type="pct"/>
                  <w:vMerge w:val="continue"/>
                  <w:tcBorders>
                    <w:top w:val="single" w:color="auto" w:sz="4" w:space="0"/>
                    <w:left w:val="single" w:color="auto" w:sz="4" w:space="0"/>
                    <w:bottom w:val="single" w:color="auto" w:sz="4" w:space="0"/>
                    <w:right w:val="nil"/>
                  </w:tcBorders>
                  <w:noWrap w:val="0"/>
                  <w:vAlign w:val="center"/>
                </w:tcPr>
                <w:p w14:paraId="5322A837">
                  <w:pPr>
                    <w:adjustRightInd w:val="0"/>
                    <w:snapToGrid w:val="0"/>
                    <w:jc w:val="center"/>
                    <w:rPr>
                      <w:rFonts w:hint="default" w:ascii="Times New Roman" w:hAnsi="Times New Roman" w:eastAsia="仿宋" w:cs="Times New Roman"/>
                      <w:b w:val="0"/>
                      <w:bCs/>
                      <w:color w:val="auto"/>
                      <w:sz w:val="24"/>
                      <w:szCs w:val="24"/>
                      <w:lang w:val="en-US" w:eastAsia="zh-CN"/>
                    </w:rPr>
                  </w:pPr>
                </w:p>
              </w:tc>
            </w:tr>
            <w:tr w14:paraId="60242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365" w:type="pct"/>
                  <w:tcBorders>
                    <w:top w:val="single" w:color="auto" w:sz="4" w:space="0"/>
                    <w:left w:val="nil"/>
                    <w:bottom w:val="single" w:color="auto" w:sz="4" w:space="0"/>
                    <w:right w:val="single" w:color="auto" w:sz="4" w:space="0"/>
                  </w:tcBorders>
                  <w:shd w:val="clear" w:color="auto" w:fill="auto"/>
                  <w:noWrap w:val="0"/>
                  <w:vAlign w:val="center"/>
                </w:tcPr>
                <w:p w14:paraId="6DE249E2">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6</w:t>
                  </w:r>
                </w:p>
              </w:tc>
              <w:tc>
                <w:tcPr>
                  <w:tcW w:w="110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CEF431A">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空压机</w:t>
                  </w:r>
                </w:p>
              </w:tc>
              <w:tc>
                <w:tcPr>
                  <w:tcW w:w="85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9D38CB9">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22w</w:t>
                  </w:r>
                </w:p>
              </w:tc>
              <w:tc>
                <w:tcPr>
                  <w:tcW w:w="48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FD2119E">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 w:val="0"/>
                      <w:bCs/>
                      <w:color w:val="auto"/>
                      <w:kern w:val="2"/>
                      <w:sz w:val="21"/>
                      <w:szCs w:val="21"/>
                      <w:lang w:val="en-US" w:eastAsia="zh-CN" w:bidi="ar-SA"/>
                    </w:rPr>
                  </w:pPr>
                  <w:r>
                    <w:rPr>
                      <w:rFonts w:hint="eastAsia" w:cs="Times New Roman"/>
                      <w:b w:val="0"/>
                      <w:bCs/>
                      <w:color w:val="auto"/>
                      <w:sz w:val="21"/>
                      <w:szCs w:val="21"/>
                      <w:lang w:val="en-US" w:eastAsia="zh-CN"/>
                    </w:rPr>
                    <w:t>4</w:t>
                  </w:r>
                </w:p>
              </w:tc>
              <w:tc>
                <w:tcPr>
                  <w:tcW w:w="545" w:type="pct"/>
                  <w:tcBorders>
                    <w:top w:val="single" w:color="auto" w:sz="4" w:space="0"/>
                    <w:left w:val="single" w:color="auto" w:sz="4" w:space="0"/>
                    <w:bottom w:val="single" w:color="auto" w:sz="4" w:space="0"/>
                    <w:right w:val="nil"/>
                  </w:tcBorders>
                  <w:shd w:val="clear" w:color="auto" w:fill="auto"/>
                  <w:noWrap w:val="0"/>
                  <w:vAlign w:val="center"/>
                </w:tcPr>
                <w:p w14:paraId="31C8C716">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2</w:t>
                  </w:r>
                </w:p>
              </w:tc>
              <w:tc>
                <w:tcPr>
                  <w:tcW w:w="599" w:type="pct"/>
                  <w:tcBorders>
                    <w:top w:val="single" w:color="auto" w:sz="4" w:space="0"/>
                    <w:left w:val="single" w:color="auto" w:sz="4" w:space="0"/>
                    <w:bottom w:val="single" w:color="auto" w:sz="4" w:space="0"/>
                    <w:right w:val="nil"/>
                  </w:tcBorders>
                  <w:shd w:val="clear" w:color="auto" w:fill="auto"/>
                  <w:noWrap w:val="0"/>
                  <w:vAlign w:val="center"/>
                </w:tcPr>
                <w:p w14:paraId="54BFC68C">
                  <w:pPr>
                    <w:adjustRightInd w:val="0"/>
                    <w:snapToGrid w:val="0"/>
                    <w:jc w:val="center"/>
                    <w:rPr>
                      <w:rFonts w:hint="eastAsia" w:ascii="Times New Roman" w:hAnsi="Times New Roman" w:eastAsia="宋体" w:cs="Times New Roman"/>
                      <w:b w:val="0"/>
                      <w:bCs/>
                      <w:color w:val="auto"/>
                      <w:kern w:val="2"/>
                      <w:sz w:val="21"/>
                      <w:szCs w:val="21"/>
                      <w:lang w:val="en-US" w:eastAsia="zh-CN" w:bidi="ar-SA"/>
                    </w:rPr>
                  </w:pPr>
                  <w:r>
                    <w:rPr>
                      <w:rFonts w:hint="eastAsia" w:cs="Times New Roman"/>
                      <w:b w:val="0"/>
                      <w:bCs/>
                      <w:color w:val="auto"/>
                      <w:sz w:val="21"/>
                      <w:szCs w:val="21"/>
                      <w:lang w:val="en-US" w:eastAsia="zh-CN"/>
                    </w:rPr>
                    <w:t>6</w:t>
                  </w:r>
                </w:p>
              </w:tc>
              <w:tc>
                <w:tcPr>
                  <w:tcW w:w="796" w:type="pct"/>
                  <w:tcBorders>
                    <w:top w:val="single" w:color="auto" w:sz="4" w:space="0"/>
                    <w:left w:val="single" w:color="auto" w:sz="4" w:space="0"/>
                    <w:bottom w:val="single" w:color="auto" w:sz="4" w:space="0"/>
                    <w:right w:val="nil"/>
                  </w:tcBorders>
                  <w:noWrap w:val="0"/>
                  <w:vAlign w:val="center"/>
                </w:tcPr>
                <w:p w14:paraId="77AC3F98">
                  <w:pPr>
                    <w:adjustRightInd w:val="0"/>
                    <w:snapToGrid w:val="0"/>
                    <w:jc w:val="center"/>
                    <w:rPr>
                      <w:rFonts w:hint="eastAsia" w:cs="Times New Roman"/>
                      <w:b w:val="0"/>
                      <w:bCs/>
                      <w:color w:val="auto"/>
                      <w:sz w:val="21"/>
                      <w:szCs w:val="21"/>
                      <w:lang w:val="en-US" w:eastAsia="zh-CN"/>
                    </w:rPr>
                  </w:pPr>
                  <w:r>
                    <w:rPr>
                      <w:rFonts w:hint="eastAsia" w:cs="Times New Roman"/>
                      <w:b w:val="0"/>
                      <w:bCs/>
                      <w:color w:val="auto"/>
                      <w:sz w:val="21"/>
                      <w:szCs w:val="21"/>
                      <w:lang w:val="en-US" w:eastAsia="zh-CN"/>
                    </w:rPr>
                    <w:t>公用工程</w:t>
                  </w:r>
                </w:p>
              </w:tc>
              <w:tc>
                <w:tcPr>
                  <w:tcW w:w="252" w:type="pct"/>
                  <w:vMerge w:val="continue"/>
                  <w:tcBorders>
                    <w:top w:val="single" w:color="auto" w:sz="4" w:space="0"/>
                    <w:left w:val="single" w:color="auto" w:sz="4" w:space="0"/>
                    <w:bottom w:val="single" w:color="auto" w:sz="4" w:space="0"/>
                    <w:right w:val="nil"/>
                  </w:tcBorders>
                  <w:noWrap w:val="0"/>
                  <w:vAlign w:val="center"/>
                </w:tcPr>
                <w:p w14:paraId="19501F51">
                  <w:pPr>
                    <w:adjustRightInd w:val="0"/>
                    <w:snapToGrid w:val="0"/>
                    <w:jc w:val="center"/>
                    <w:rPr>
                      <w:rFonts w:hint="default" w:ascii="Times New Roman" w:hAnsi="Times New Roman" w:eastAsia="仿宋" w:cs="Times New Roman"/>
                      <w:b w:val="0"/>
                      <w:bCs/>
                      <w:color w:val="auto"/>
                      <w:sz w:val="24"/>
                      <w:szCs w:val="24"/>
                      <w:lang w:val="en-US" w:eastAsia="zh-CN"/>
                    </w:rPr>
                  </w:pPr>
                </w:p>
              </w:tc>
            </w:tr>
            <w:tr w14:paraId="620E0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365" w:type="pct"/>
                  <w:tcBorders>
                    <w:top w:val="single" w:color="auto" w:sz="4" w:space="0"/>
                    <w:left w:val="nil"/>
                    <w:bottom w:val="single" w:color="auto" w:sz="4" w:space="0"/>
                    <w:right w:val="single" w:color="auto" w:sz="4" w:space="0"/>
                  </w:tcBorders>
                  <w:shd w:val="clear" w:color="auto" w:fill="auto"/>
                  <w:noWrap w:val="0"/>
                  <w:vAlign w:val="center"/>
                </w:tcPr>
                <w:p w14:paraId="69897007">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7</w:t>
                  </w:r>
                </w:p>
              </w:tc>
              <w:tc>
                <w:tcPr>
                  <w:tcW w:w="110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0C0C480">
                  <w:pPr>
                    <w:adjustRightInd w:val="0"/>
                    <w:snapToGrid w:val="0"/>
                    <w:jc w:val="center"/>
                    <w:rPr>
                      <w:rFonts w:hint="default" w:ascii="Times New Roman" w:hAnsi="Times New Roman" w:eastAsia="宋体" w:cs="Times New Roman"/>
                      <w:color w:val="auto"/>
                      <w:kern w:val="2"/>
                      <w:sz w:val="21"/>
                      <w:szCs w:val="21"/>
                      <w:lang w:val="en-US" w:eastAsia="zh-CN" w:bidi="ar-SA"/>
                    </w:rPr>
                  </w:pPr>
                  <w:r>
                    <w:rPr>
                      <w:color w:val="auto"/>
                      <w:szCs w:val="21"/>
                    </w:rPr>
                    <w:t>污水处理站</w:t>
                  </w:r>
                </w:p>
              </w:tc>
              <w:tc>
                <w:tcPr>
                  <w:tcW w:w="85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01C5B86">
                  <w:pPr>
                    <w:adjustRightInd w:val="0"/>
                    <w:snapToGrid w:val="0"/>
                    <w:jc w:val="center"/>
                    <w:rPr>
                      <w:rFonts w:hint="default" w:ascii="Times New Roman" w:hAnsi="Times New Roman" w:eastAsia="宋体" w:cs="Times New Roman"/>
                      <w:color w:val="auto"/>
                      <w:kern w:val="2"/>
                      <w:sz w:val="21"/>
                      <w:szCs w:val="21"/>
                      <w:lang w:val="en-US" w:eastAsia="zh-CN" w:bidi="ar-SA"/>
                    </w:rPr>
                  </w:pPr>
                  <w:r>
                    <w:rPr>
                      <w:color w:val="auto"/>
                      <w:szCs w:val="21"/>
                    </w:rPr>
                    <w:t>处理能力1600t/d</w:t>
                  </w:r>
                </w:p>
              </w:tc>
              <w:tc>
                <w:tcPr>
                  <w:tcW w:w="48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E737DAA">
                  <w:pPr>
                    <w:adjustRightInd w:val="0"/>
                    <w:snapToGrid w:val="0"/>
                    <w:jc w:val="center"/>
                    <w:rPr>
                      <w:rFonts w:hint="default" w:ascii="Times New Roman" w:hAnsi="Times New Roman" w:eastAsia="宋体" w:cs="Times New Roman"/>
                      <w:color w:val="auto"/>
                      <w:kern w:val="2"/>
                      <w:sz w:val="21"/>
                      <w:szCs w:val="21"/>
                      <w:lang w:val="en-US" w:eastAsia="zh-CN" w:bidi="ar-SA"/>
                    </w:rPr>
                  </w:pPr>
                  <w:r>
                    <w:rPr>
                      <w:color w:val="auto"/>
                      <w:szCs w:val="21"/>
                    </w:rPr>
                    <w:t>1</w:t>
                  </w:r>
                </w:p>
              </w:tc>
              <w:tc>
                <w:tcPr>
                  <w:tcW w:w="545" w:type="pct"/>
                  <w:tcBorders>
                    <w:top w:val="single" w:color="auto" w:sz="4" w:space="0"/>
                    <w:left w:val="single" w:color="auto" w:sz="4" w:space="0"/>
                    <w:bottom w:val="single" w:color="auto" w:sz="4" w:space="0"/>
                    <w:right w:val="nil"/>
                  </w:tcBorders>
                  <w:shd w:val="clear" w:color="auto" w:fill="auto"/>
                  <w:noWrap w:val="0"/>
                  <w:vAlign w:val="center"/>
                </w:tcPr>
                <w:p w14:paraId="041532E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0</w:t>
                  </w:r>
                </w:p>
              </w:tc>
              <w:tc>
                <w:tcPr>
                  <w:tcW w:w="599" w:type="pct"/>
                  <w:tcBorders>
                    <w:top w:val="single" w:color="auto" w:sz="4" w:space="0"/>
                    <w:left w:val="single" w:color="auto" w:sz="4" w:space="0"/>
                    <w:bottom w:val="single" w:color="auto" w:sz="4" w:space="0"/>
                    <w:right w:val="nil"/>
                  </w:tcBorders>
                  <w:shd w:val="clear" w:color="auto" w:fill="auto"/>
                  <w:noWrap w:val="0"/>
                  <w:vAlign w:val="center"/>
                </w:tcPr>
                <w:p w14:paraId="3ACBD437">
                  <w:pPr>
                    <w:adjustRightInd w:val="0"/>
                    <w:snapToGrid w:val="0"/>
                    <w:jc w:val="center"/>
                    <w:rPr>
                      <w:rFonts w:hint="default" w:ascii="Times New Roman" w:hAnsi="Times New Roman" w:eastAsia="宋体" w:cs="Times New Roman"/>
                      <w:color w:val="auto"/>
                      <w:kern w:val="2"/>
                      <w:sz w:val="21"/>
                      <w:szCs w:val="21"/>
                      <w:lang w:val="en-US" w:eastAsia="zh-CN" w:bidi="ar-SA"/>
                    </w:rPr>
                  </w:pPr>
                  <w:r>
                    <w:rPr>
                      <w:color w:val="auto"/>
                      <w:szCs w:val="21"/>
                    </w:rPr>
                    <w:t>1</w:t>
                  </w:r>
                </w:p>
              </w:tc>
              <w:tc>
                <w:tcPr>
                  <w:tcW w:w="796" w:type="pct"/>
                  <w:tcBorders>
                    <w:top w:val="single" w:color="auto" w:sz="4" w:space="0"/>
                    <w:left w:val="single" w:color="auto" w:sz="4" w:space="0"/>
                    <w:bottom w:val="single" w:color="auto" w:sz="4" w:space="0"/>
                    <w:right w:val="nil"/>
                  </w:tcBorders>
                  <w:noWrap w:val="0"/>
                  <w:vAlign w:val="center"/>
                </w:tcPr>
                <w:p w14:paraId="24FE1832">
                  <w:pPr>
                    <w:adjustRightInd w:val="0"/>
                    <w:snapToGrid w:val="0"/>
                    <w:jc w:val="center"/>
                    <w:rPr>
                      <w:rFonts w:hint="eastAsia" w:cs="Times New Roman"/>
                      <w:b w:val="0"/>
                      <w:bCs/>
                      <w:color w:val="auto"/>
                      <w:sz w:val="21"/>
                      <w:szCs w:val="21"/>
                      <w:lang w:val="en-US" w:eastAsia="zh-CN"/>
                    </w:rPr>
                  </w:pPr>
                  <w:r>
                    <w:rPr>
                      <w:rFonts w:hint="eastAsia" w:cs="Times New Roman"/>
                      <w:b w:val="0"/>
                      <w:bCs/>
                      <w:color w:val="auto"/>
                      <w:sz w:val="21"/>
                      <w:szCs w:val="21"/>
                      <w:lang w:val="en-US" w:eastAsia="zh-CN"/>
                    </w:rPr>
                    <w:t>公用工程</w:t>
                  </w:r>
                </w:p>
              </w:tc>
              <w:tc>
                <w:tcPr>
                  <w:tcW w:w="252" w:type="pct"/>
                  <w:vMerge w:val="continue"/>
                  <w:tcBorders>
                    <w:top w:val="single" w:color="auto" w:sz="4" w:space="0"/>
                    <w:left w:val="single" w:color="auto" w:sz="4" w:space="0"/>
                    <w:bottom w:val="single" w:color="auto" w:sz="4" w:space="0"/>
                    <w:right w:val="nil"/>
                  </w:tcBorders>
                  <w:noWrap w:val="0"/>
                  <w:vAlign w:val="center"/>
                </w:tcPr>
                <w:p w14:paraId="5367F3ED">
                  <w:pPr>
                    <w:adjustRightInd w:val="0"/>
                    <w:snapToGrid w:val="0"/>
                    <w:jc w:val="center"/>
                    <w:rPr>
                      <w:rFonts w:hint="default" w:ascii="Times New Roman" w:hAnsi="Times New Roman" w:eastAsia="仿宋" w:cs="Times New Roman"/>
                      <w:b w:val="0"/>
                      <w:bCs/>
                      <w:color w:val="auto"/>
                      <w:sz w:val="24"/>
                      <w:szCs w:val="24"/>
                      <w:lang w:val="en-US" w:eastAsia="zh-CN"/>
                    </w:rPr>
                  </w:pPr>
                </w:p>
              </w:tc>
            </w:tr>
            <w:tr w14:paraId="16A8C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365" w:type="pct"/>
                  <w:tcBorders>
                    <w:top w:val="single" w:color="auto" w:sz="4" w:space="0"/>
                    <w:left w:val="nil"/>
                    <w:bottom w:val="single" w:color="auto" w:sz="4" w:space="0"/>
                    <w:right w:val="single" w:color="auto" w:sz="4" w:space="0"/>
                  </w:tcBorders>
                  <w:shd w:val="clear" w:color="auto" w:fill="auto"/>
                  <w:noWrap w:val="0"/>
                  <w:vAlign w:val="center"/>
                </w:tcPr>
                <w:p w14:paraId="1015A4F4">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8</w:t>
                  </w:r>
                </w:p>
              </w:tc>
              <w:tc>
                <w:tcPr>
                  <w:tcW w:w="1106" w:type="pct"/>
                  <w:tcBorders>
                    <w:top w:val="single" w:color="auto" w:sz="4" w:space="0"/>
                    <w:left w:val="single" w:color="auto" w:sz="4" w:space="0"/>
                    <w:bottom w:val="single" w:color="auto" w:sz="4" w:space="0"/>
                    <w:right w:val="single" w:color="auto" w:sz="4" w:space="0"/>
                  </w:tcBorders>
                  <w:noWrap w:val="0"/>
                  <w:vAlign w:val="center"/>
                </w:tcPr>
                <w:p w14:paraId="5402F5F4">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剖片机</w:t>
                  </w:r>
                </w:p>
              </w:tc>
              <w:tc>
                <w:tcPr>
                  <w:tcW w:w="851" w:type="pct"/>
                  <w:tcBorders>
                    <w:top w:val="single" w:color="auto" w:sz="4" w:space="0"/>
                    <w:left w:val="single" w:color="auto" w:sz="4" w:space="0"/>
                    <w:bottom w:val="single" w:color="auto" w:sz="4" w:space="0"/>
                    <w:right w:val="single" w:color="auto" w:sz="4" w:space="0"/>
                  </w:tcBorders>
                  <w:noWrap w:val="0"/>
                  <w:vAlign w:val="center"/>
                </w:tcPr>
                <w:p w14:paraId="490E9353">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3w</w:t>
                  </w:r>
                </w:p>
              </w:tc>
              <w:tc>
                <w:tcPr>
                  <w:tcW w:w="482" w:type="pct"/>
                  <w:tcBorders>
                    <w:top w:val="single" w:color="auto" w:sz="4" w:space="0"/>
                    <w:left w:val="single" w:color="auto" w:sz="4" w:space="0"/>
                    <w:bottom w:val="single" w:color="auto" w:sz="4" w:space="0"/>
                    <w:right w:val="single" w:color="auto" w:sz="4" w:space="0"/>
                  </w:tcBorders>
                  <w:noWrap w:val="0"/>
                  <w:vAlign w:val="center"/>
                </w:tcPr>
                <w:p w14:paraId="59E857F3">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0</w:t>
                  </w:r>
                </w:p>
              </w:tc>
              <w:tc>
                <w:tcPr>
                  <w:tcW w:w="545" w:type="pct"/>
                  <w:tcBorders>
                    <w:top w:val="single" w:color="auto" w:sz="4" w:space="0"/>
                    <w:left w:val="single" w:color="auto" w:sz="4" w:space="0"/>
                    <w:bottom w:val="single" w:color="auto" w:sz="4" w:space="0"/>
                    <w:right w:val="nil"/>
                  </w:tcBorders>
                  <w:noWrap w:val="0"/>
                  <w:vAlign w:val="center"/>
                </w:tcPr>
                <w:p w14:paraId="2D10E534">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w:t>
                  </w:r>
                </w:p>
              </w:tc>
              <w:tc>
                <w:tcPr>
                  <w:tcW w:w="599" w:type="pct"/>
                  <w:tcBorders>
                    <w:top w:val="single" w:color="auto" w:sz="4" w:space="0"/>
                    <w:left w:val="single" w:color="auto" w:sz="4" w:space="0"/>
                    <w:bottom w:val="single" w:color="auto" w:sz="4" w:space="0"/>
                    <w:right w:val="nil"/>
                  </w:tcBorders>
                  <w:noWrap w:val="0"/>
                  <w:vAlign w:val="center"/>
                </w:tcPr>
                <w:p w14:paraId="6441148B">
                  <w:pPr>
                    <w:adjustRightInd w:val="0"/>
                    <w:snapToGrid w:val="0"/>
                    <w:jc w:val="center"/>
                    <w:rPr>
                      <w:rFonts w:hint="default" w:ascii="Times New Roman" w:hAnsi="Times New Roman" w:eastAsia="仿宋"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w:t>
                  </w:r>
                </w:p>
              </w:tc>
              <w:tc>
                <w:tcPr>
                  <w:tcW w:w="796" w:type="pct"/>
                  <w:tcBorders>
                    <w:top w:val="single" w:color="auto" w:sz="4" w:space="0"/>
                    <w:left w:val="single" w:color="auto" w:sz="4" w:space="0"/>
                    <w:bottom w:val="single" w:color="auto" w:sz="4" w:space="0"/>
                    <w:right w:val="nil"/>
                  </w:tcBorders>
                  <w:shd w:val="clear" w:color="auto" w:fill="auto"/>
                  <w:noWrap w:val="0"/>
                  <w:vAlign w:val="center"/>
                </w:tcPr>
                <w:p w14:paraId="24534BD7">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海珍味产线</w:t>
                  </w:r>
                </w:p>
              </w:tc>
              <w:tc>
                <w:tcPr>
                  <w:tcW w:w="252" w:type="pct"/>
                  <w:vMerge w:val="continue"/>
                  <w:tcBorders>
                    <w:top w:val="single" w:color="auto" w:sz="4" w:space="0"/>
                    <w:left w:val="single" w:color="auto" w:sz="4" w:space="0"/>
                    <w:bottom w:val="single" w:color="auto" w:sz="4" w:space="0"/>
                    <w:right w:val="nil"/>
                  </w:tcBorders>
                  <w:noWrap w:val="0"/>
                  <w:vAlign w:val="center"/>
                </w:tcPr>
                <w:p w14:paraId="29EB206A">
                  <w:pPr>
                    <w:adjustRightInd w:val="0"/>
                    <w:snapToGrid w:val="0"/>
                    <w:jc w:val="center"/>
                    <w:rPr>
                      <w:rFonts w:hint="default" w:ascii="Times New Roman" w:hAnsi="Times New Roman" w:eastAsia="仿宋" w:cs="Times New Roman"/>
                      <w:b w:val="0"/>
                      <w:bCs/>
                      <w:color w:val="auto"/>
                      <w:sz w:val="24"/>
                      <w:szCs w:val="24"/>
                      <w:lang w:val="en-US" w:eastAsia="zh-CN"/>
                    </w:rPr>
                  </w:pPr>
                </w:p>
              </w:tc>
            </w:tr>
            <w:tr w14:paraId="4B9CE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365" w:type="pct"/>
                  <w:tcBorders>
                    <w:top w:val="single" w:color="auto" w:sz="4" w:space="0"/>
                    <w:left w:val="nil"/>
                    <w:bottom w:val="single" w:color="auto" w:sz="4" w:space="0"/>
                    <w:right w:val="single" w:color="auto" w:sz="4" w:space="0"/>
                  </w:tcBorders>
                  <w:shd w:val="clear" w:color="auto" w:fill="auto"/>
                  <w:noWrap w:val="0"/>
                  <w:vAlign w:val="center"/>
                </w:tcPr>
                <w:p w14:paraId="022B87E8">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9</w:t>
                  </w:r>
                </w:p>
              </w:tc>
              <w:tc>
                <w:tcPr>
                  <w:tcW w:w="1106" w:type="pct"/>
                  <w:tcBorders>
                    <w:top w:val="single" w:color="auto" w:sz="4" w:space="0"/>
                    <w:left w:val="single" w:color="auto" w:sz="4" w:space="0"/>
                    <w:bottom w:val="single" w:color="auto" w:sz="4" w:space="0"/>
                    <w:right w:val="single" w:color="auto" w:sz="4" w:space="0"/>
                  </w:tcBorders>
                  <w:noWrap w:val="0"/>
                  <w:vAlign w:val="center"/>
                </w:tcPr>
                <w:p w14:paraId="2354D329">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漂烫机</w:t>
                  </w:r>
                </w:p>
              </w:tc>
              <w:tc>
                <w:tcPr>
                  <w:tcW w:w="851" w:type="pct"/>
                  <w:tcBorders>
                    <w:top w:val="single" w:color="auto" w:sz="4" w:space="0"/>
                    <w:left w:val="single" w:color="auto" w:sz="4" w:space="0"/>
                    <w:bottom w:val="single" w:color="auto" w:sz="4" w:space="0"/>
                    <w:right w:val="single" w:color="auto" w:sz="4" w:space="0"/>
                  </w:tcBorders>
                  <w:noWrap w:val="0"/>
                  <w:vAlign w:val="center"/>
                </w:tcPr>
                <w:p w14:paraId="1E95BC6C">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5.5w</w:t>
                  </w:r>
                </w:p>
              </w:tc>
              <w:tc>
                <w:tcPr>
                  <w:tcW w:w="482" w:type="pct"/>
                  <w:tcBorders>
                    <w:top w:val="single" w:color="auto" w:sz="4" w:space="0"/>
                    <w:left w:val="single" w:color="auto" w:sz="4" w:space="0"/>
                    <w:bottom w:val="single" w:color="auto" w:sz="4" w:space="0"/>
                    <w:right w:val="single" w:color="auto" w:sz="4" w:space="0"/>
                  </w:tcBorders>
                  <w:noWrap w:val="0"/>
                  <w:vAlign w:val="center"/>
                </w:tcPr>
                <w:p w14:paraId="488C0E82">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0</w:t>
                  </w:r>
                </w:p>
              </w:tc>
              <w:tc>
                <w:tcPr>
                  <w:tcW w:w="545" w:type="pct"/>
                  <w:tcBorders>
                    <w:top w:val="single" w:color="auto" w:sz="4" w:space="0"/>
                    <w:left w:val="single" w:color="auto" w:sz="4" w:space="0"/>
                    <w:bottom w:val="single" w:color="auto" w:sz="4" w:space="0"/>
                    <w:right w:val="nil"/>
                  </w:tcBorders>
                  <w:noWrap w:val="0"/>
                  <w:vAlign w:val="center"/>
                </w:tcPr>
                <w:p w14:paraId="6321D843">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w:t>
                  </w:r>
                </w:p>
              </w:tc>
              <w:tc>
                <w:tcPr>
                  <w:tcW w:w="599" w:type="pct"/>
                  <w:tcBorders>
                    <w:top w:val="single" w:color="auto" w:sz="4" w:space="0"/>
                    <w:left w:val="single" w:color="auto" w:sz="4" w:space="0"/>
                    <w:bottom w:val="single" w:color="auto" w:sz="4" w:space="0"/>
                    <w:right w:val="nil"/>
                  </w:tcBorders>
                  <w:noWrap w:val="0"/>
                  <w:vAlign w:val="center"/>
                </w:tcPr>
                <w:p w14:paraId="5AEA1E7F">
                  <w:pPr>
                    <w:adjustRightInd w:val="0"/>
                    <w:snapToGrid w:val="0"/>
                    <w:jc w:val="center"/>
                    <w:rPr>
                      <w:rFonts w:hint="default" w:ascii="Times New Roman" w:hAnsi="Times New Roman" w:eastAsia="仿宋"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w:t>
                  </w:r>
                </w:p>
              </w:tc>
              <w:tc>
                <w:tcPr>
                  <w:tcW w:w="796" w:type="pct"/>
                  <w:tcBorders>
                    <w:top w:val="single" w:color="auto" w:sz="4" w:space="0"/>
                    <w:left w:val="single" w:color="auto" w:sz="4" w:space="0"/>
                    <w:bottom w:val="single" w:color="auto" w:sz="4" w:space="0"/>
                    <w:right w:val="nil"/>
                  </w:tcBorders>
                  <w:shd w:val="clear" w:color="auto" w:fill="auto"/>
                  <w:noWrap w:val="0"/>
                  <w:vAlign w:val="center"/>
                </w:tcPr>
                <w:p w14:paraId="49437087">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海珍味产线</w:t>
                  </w:r>
                </w:p>
              </w:tc>
              <w:tc>
                <w:tcPr>
                  <w:tcW w:w="252" w:type="pct"/>
                  <w:vMerge w:val="continue"/>
                  <w:tcBorders>
                    <w:top w:val="single" w:color="auto" w:sz="4" w:space="0"/>
                    <w:left w:val="single" w:color="auto" w:sz="4" w:space="0"/>
                    <w:bottom w:val="single" w:color="auto" w:sz="4" w:space="0"/>
                    <w:right w:val="nil"/>
                  </w:tcBorders>
                  <w:noWrap w:val="0"/>
                  <w:vAlign w:val="center"/>
                </w:tcPr>
                <w:p w14:paraId="53AB0FE5">
                  <w:pPr>
                    <w:adjustRightInd w:val="0"/>
                    <w:snapToGrid w:val="0"/>
                    <w:jc w:val="center"/>
                    <w:rPr>
                      <w:rFonts w:hint="default" w:ascii="Times New Roman" w:hAnsi="Times New Roman" w:eastAsia="仿宋" w:cs="Times New Roman"/>
                      <w:b w:val="0"/>
                      <w:bCs/>
                      <w:color w:val="auto"/>
                      <w:sz w:val="24"/>
                      <w:szCs w:val="24"/>
                      <w:lang w:val="en-US" w:eastAsia="zh-CN"/>
                    </w:rPr>
                  </w:pPr>
                </w:p>
              </w:tc>
            </w:tr>
            <w:tr w14:paraId="57254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365" w:type="pct"/>
                  <w:tcBorders>
                    <w:top w:val="single" w:color="auto" w:sz="4" w:space="0"/>
                    <w:left w:val="nil"/>
                    <w:bottom w:val="single" w:color="auto" w:sz="4" w:space="0"/>
                    <w:right w:val="single" w:color="auto" w:sz="4" w:space="0"/>
                  </w:tcBorders>
                  <w:shd w:val="clear" w:color="auto" w:fill="auto"/>
                  <w:noWrap w:val="0"/>
                  <w:vAlign w:val="center"/>
                </w:tcPr>
                <w:p w14:paraId="701CCB57">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10</w:t>
                  </w:r>
                </w:p>
              </w:tc>
              <w:tc>
                <w:tcPr>
                  <w:tcW w:w="1106" w:type="pct"/>
                  <w:tcBorders>
                    <w:top w:val="single" w:color="auto" w:sz="4" w:space="0"/>
                    <w:left w:val="single" w:color="auto" w:sz="4" w:space="0"/>
                    <w:bottom w:val="single" w:color="auto" w:sz="4" w:space="0"/>
                    <w:right w:val="single" w:color="auto" w:sz="4" w:space="0"/>
                  </w:tcBorders>
                  <w:noWrap w:val="0"/>
                  <w:vAlign w:val="center"/>
                </w:tcPr>
                <w:p w14:paraId="5496D872">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冷却机</w:t>
                  </w:r>
                </w:p>
              </w:tc>
              <w:tc>
                <w:tcPr>
                  <w:tcW w:w="851" w:type="pct"/>
                  <w:tcBorders>
                    <w:top w:val="single" w:color="auto" w:sz="4" w:space="0"/>
                    <w:left w:val="single" w:color="auto" w:sz="4" w:space="0"/>
                    <w:bottom w:val="single" w:color="auto" w:sz="4" w:space="0"/>
                    <w:right w:val="single" w:color="auto" w:sz="4" w:space="0"/>
                  </w:tcBorders>
                  <w:noWrap w:val="0"/>
                  <w:vAlign w:val="center"/>
                </w:tcPr>
                <w:p w14:paraId="2FE0F166">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22w</w:t>
                  </w:r>
                </w:p>
              </w:tc>
              <w:tc>
                <w:tcPr>
                  <w:tcW w:w="482" w:type="pct"/>
                  <w:tcBorders>
                    <w:top w:val="single" w:color="auto" w:sz="4" w:space="0"/>
                    <w:left w:val="single" w:color="auto" w:sz="4" w:space="0"/>
                    <w:bottom w:val="single" w:color="auto" w:sz="4" w:space="0"/>
                    <w:right w:val="single" w:color="auto" w:sz="4" w:space="0"/>
                  </w:tcBorders>
                  <w:noWrap w:val="0"/>
                  <w:vAlign w:val="center"/>
                </w:tcPr>
                <w:p w14:paraId="3B7484C6">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0</w:t>
                  </w:r>
                </w:p>
              </w:tc>
              <w:tc>
                <w:tcPr>
                  <w:tcW w:w="545" w:type="pct"/>
                  <w:tcBorders>
                    <w:top w:val="single" w:color="auto" w:sz="4" w:space="0"/>
                    <w:left w:val="single" w:color="auto" w:sz="4" w:space="0"/>
                    <w:bottom w:val="single" w:color="auto" w:sz="4" w:space="0"/>
                    <w:right w:val="nil"/>
                  </w:tcBorders>
                  <w:noWrap w:val="0"/>
                  <w:vAlign w:val="center"/>
                </w:tcPr>
                <w:p w14:paraId="101A2447">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w:t>
                  </w:r>
                </w:p>
              </w:tc>
              <w:tc>
                <w:tcPr>
                  <w:tcW w:w="599" w:type="pct"/>
                  <w:tcBorders>
                    <w:top w:val="single" w:color="auto" w:sz="4" w:space="0"/>
                    <w:left w:val="single" w:color="auto" w:sz="4" w:space="0"/>
                    <w:bottom w:val="single" w:color="auto" w:sz="4" w:space="0"/>
                    <w:right w:val="nil"/>
                  </w:tcBorders>
                  <w:noWrap w:val="0"/>
                  <w:vAlign w:val="center"/>
                </w:tcPr>
                <w:p w14:paraId="6658D24F">
                  <w:pPr>
                    <w:adjustRightInd w:val="0"/>
                    <w:snapToGrid w:val="0"/>
                    <w:jc w:val="center"/>
                    <w:rPr>
                      <w:rFonts w:hint="default" w:ascii="Times New Roman" w:hAnsi="Times New Roman" w:eastAsia="仿宋"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w:t>
                  </w:r>
                </w:p>
              </w:tc>
              <w:tc>
                <w:tcPr>
                  <w:tcW w:w="796" w:type="pct"/>
                  <w:tcBorders>
                    <w:top w:val="single" w:color="auto" w:sz="4" w:space="0"/>
                    <w:left w:val="single" w:color="auto" w:sz="4" w:space="0"/>
                    <w:bottom w:val="single" w:color="auto" w:sz="4" w:space="0"/>
                    <w:right w:val="nil"/>
                  </w:tcBorders>
                  <w:shd w:val="clear" w:color="auto" w:fill="auto"/>
                  <w:noWrap w:val="0"/>
                  <w:vAlign w:val="center"/>
                </w:tcPr>
                <w:p w14:paraId="0DECF907">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海珍味产线</w:t>
                  </w:r>
                </w:p>
              </w:tc>
              <w:tc>
                <w:tcPr>
                  <w:tcW w:w="252" w:type="pct"/>
                  <w:vMerge w:val="continue"/>
                  <w:tcBorders>
                    <w:top w:val="single" w:color="auto" w:sz="4" w:space="0"/>
                    <w:left w:val="single" w:color="auto" w:sz="4" w:space="0"/>
                    <w:bottom w:val="single" w:color="auto" w:sz="4" w:space="0"/>
                    <w:right w:val="nil"/>
                  </w:tcBorders>
                  <w:noWrap w:val="0"/>
                  <w:vAlign w:val="center"/>
                </w:tcPr>
                <w:p w14:paraId="610916B0">
                  <w:pPr>
                    <w:adjustRightInd w:val="0"/>
                    <w:snapToGrid w:val="0"/>
                    <w:jc w:val="center"/>
                    <w:rPr>
                      <w:rFonts w:hint="default" w:ascii="Times New Roman" w:hAnsi="Times New Roman" w:eastAsia="仿宋" w:cs="Times New Roman"/>
                      <w:b w:val="0"/>
                      <w:bCs/>
                      <w:color w:val="auto"/>
                      <w:sz w:val="24"/>
                      <w:szCs w:val="24"/>
                      <w:lang w:val="en-US" w:eastAsia="zh-CN"/>
                    </w:rPr>
                  </w:pPr>
                </w:p>
              </w:tc>
            </w:tr>
            <w:tr w14:paraId="2B680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365" w:type="pct"/>
                  <w:tcBorders>
                    <w:top w:val="single" w:color="auto" w:sz="4" w:space="0"/>
                    <w:left w:val="nil"/>
                    <w:bottom w:val="single" w:color="auto" w:sz="4" w:space="0"/>
                    <w:right w:val="single" w:color="auto" w:sz="4" w:space="0"/>
                  </w:tcBorders>
                  <w:shd w:val="clear" w:color="auto" w:fill="auto"/>
                  <w:noWrap w:val="0"/>
                  <w:vAlign w:val="center"/>
                </w:tcPr>
                <w:p w14:paraId="3001CF4D">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11</w:t>
                  </w:r>
                </w:p>
              </w:tc>
              <w:tc>
                <w:tcPr>
                  <w:tcW w:w="1106" w:type="pct"/>
                  <w:tcBorders>
                    <w:top w:val="single" w:color="auto" w:sz="4" w:space="0"/>
                    <w:left w:val="single" w:color="auto" w:sz="4" w:space="0"/>
                    <w:bottom w:val="single" w:color="auto" w:sz="4" w:space="0"/>
                    <w:right w:val="single" w:color="auto" w:sz="4" w:space="0"/>
                  </w:tcBorders>
                  <w:noWrap w:val="0"/>
                  <w:vAlign w:val="center"/>
                </w:tcPr>
                <w:p w14:paraId="6CFEA4D7">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烘干机</w:t>
                  </w:r>
                </w:p>
              </w:tc>
              <w:tc>
                <w:tcPr>
                  <w:tcW w:w="851" w:type="pct"/>
                  <w:tcBorders>
                    <w:top w:val="single" w:color="auto" w:sz="4" w:space="0"/>
                    <w:left w:val="single" w:color="auto" w:sz="4" w:space="0"/>
                    <w:bottom w:val="single" w:color="auto" w:sz="4" w:space="0"/>
                    <w:right w:val="single" w:color="auto" w:sz="4" w:space="0"/>
                  </w:tcBorders>
                  <w:noWrap w:val="0"/>
                  <w:vAlign w:val="center"/>
                </w:tcPr>
                <w:p w14:paraId="595C599B">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HG-6600</w:t>
                  </w:r>
                </w:p>
              </w:tc>
              <w:tc>
                <w:tcPr>
                  <w:tcW w:w="482" w:type="pct"/>
                  <w:tcBorders>
                    <w:top w:val="single" w:color="auto" w:sz="4" w:space="0"/>
                    <w:left w:val="single" w:color="auto" w:sz="4" w:space="0"/>
                    <w:bottom w:val="single" w:color="auto" w:sz="4" w:space="0"/>
                    <w:right w:val="single" w:color="auto" w:sz="4" w:space="0"/>
                  </w:tcBorders>
                  <w:noWrap w:val="0"/>
                  <w:vAlign w:val="center"/>
                </w:tcPr>
                <w:p w14:paraId="374B3F4F">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0</w:t>
                  </w:r>
                </w:p>
              </w:tc>
              <w:tc>
                <w:tcPr>
                  <w:tcW w:w="545" w:type="pct"/>
                  <w:tcBorders>
                    <w:top w:val="single" w:color="auto" w:sz="4" w:space="0"/>
                    <w:left w:val="single" w:color="auto" w:sz="4" w:space="0"/>
                    <w:bottom w:val="single" w:color="auto" w:sz="4" w:space="0"/>
                    <w:right w:val="nil"/>
                  </w:tcBorders>
                  <w:noWrap w:val="0"/>
                  <w:vAlign w:val="center"/>
                </w:tcPr>
                <w:p w14:paraId="747E0A31">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w:t>
                  </w:r>
                </w:p>
              </w:tc>
              <w:tc>
                <w:tcPr>
                  <w:tcW w:w="599" w:type="pct"/>
                  <w:tcBorders>
                    <w:top w:val="single" w:color="auto" w:sz="4" w:space="0"/>
                    <w:left w:val="single" w:color="auto" w:sz="4" w:space="0"/>
                    <w:bottom w:val="single" w:color="auto" w:sz="4" w:space="0"/>
                    <w:right w:val="nil"/>
                  </w:tcBorders>
                  <w:noWrap w:val="0"/>
                  <w:vAlign w:val="center"/>
                </w:tcPr>
                <w:p w14:paraId="4C1B1781">
                  <w:pPr>
                    <w:adjustRightInd w:val="0"/>
                    <w:snapToGrid w:val="0"/>
                    <w:jc w:val="center"/>
                    <w:rPr>
                      <w:rFonts w:hint="default" w:ascii="Times New Roman" w:hAnsi="Times New Roman" w:eastAsia="仿宋"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w:t>
                  </w:r>
                </w:p>
              </w:tc>
              <w:tc>
                <w:tcPr>
                  <w:tcW w:w="796" w:type="pct"/>
                  <w:tcBorders>
                    <w:top w:val="single" w:color="auto" w:sz="4" w:space="0"/>
                    <w:left w:val="single" w:color="auto" w:sz="4" w:space="0"/>
                    <w:bottom w:val="single" w:color="auto" w:sz="4" w:space="0"/>
                    <w:right w:val="nil"/>
                  </w:tcBorders>
                  <w:shd w:val="clear" w:color="auto" w:fill="auto"/>
                  <w:noWrap w:val="0"/>
                  <w:vAlign w:val="center"/>
                </w:tcPr>
                <w:p w14:paraId="737F5556">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海珍味产线</w:t>
                  </w:r>
                </w:p>
              </w:tc>
              <w:tc>
                <w:tcPr>
                  <w:tcW w:w="252" w:type="pct"/>
                  <w:vMerge w:val="continue"/>
                  <w:tcBorders>
                    <w:top w:val="single" w:color="auto" w:sz="4" w:space="0"/>
                    <w:left w:val="single" w:color="auto" w:sz="4" w:space="0"/>
                    <w:bottom w:val="single" w:color="auto" w:sz="4" w:space="0"/>
                    <w:right w:val="nil"/>
                  </w:tcBorders>
                  <w:noWrap w:val="0"/>
                  <w:vAlign w:val="center"/>
                </w:tcPr>
                <w:p w14:paraId="18A1EB4A">
                  <w:pPr>
                    <w:adjustRightInd w:val="0"/>
                    <w:snapToGrid w:val="0"/>
                    <w:jc w:val="center"/>
                    <w:rPr>
                      <w:rFonts w:hint="default" w:ascii="Times New Roman" w:hAnsi="Times New Roman" w:eastAsia="仿宋" w:cs="Times New Roman"/>
                      <w:b w:val="0"/>
                      <w:bCs/>
                      <w:color w:val="auto"/>
                      <w:sz w:val="24"/>
                      <w:szCs w:val="24"/>
                      <w:lang w:val="en-US" w:eastAsia="zh-CN"/>
                    </w:rPr>
                  </w:pPr>
                </w:p>
              </w:tc>
            </w:tr>
            <w:tr w14:paraId="295DE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365" w:type="pct"/>
                  <w:tcBorders>
                    <w:top w:val="single" w:color="auto" w:sz="4" w:space="0"/>
                    <w:left w:val="nil"/>
                    <w:bottom w:val="single" w:color="auto" w:sz="4" w:space="0"/>
                    <w:right w:val="single" w:color="auto" w:sz="4" w:space="0"/>
                  </w:tcBorders>
                  <w:shd w:val="clear" w:color="auto" w:fill="auto"/>
                  <w:noWrap w:val="0"/>
                  <w:vAlign w:val="center"/>
                </w:tcPr>
                <w:p w14:paraId="3A0F191E">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12</w:t>
                  </w:r>
                </w:p>
              </w:tc>
              <w:tc>
                <w:tcPr>
                  <w:tcW w:w="1106" w:type="pct"/>
                  <w:tcBorders>
                    <w:top w:val="single" w:color="auto" w:sz="4" w:space="0"/>
                    <w:left w:val="single" w:color="auto" w:sz="4" w:space="0"/>
                    <w:bottom w:val="single" w:color="auto" w:sz="4" w:space="0"/>
                    <w:right w:val="single" w:color="auto" w:sz="4" w:space="0"/>
                  </w:tcBorders>
                  <w:noWrap w:val="0"/>
                  <w:vAlign w:val="center"/>
                </w:tcPr>
                <w:p w14:paraId="3C338E57">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卧式输送拌料机</w:t>
                  </w:r>
                </w:p>
              </w:tc>
              <w:tc>
                <w:tcPr>
                  <w:tcW w:w="851" w:type="pct"/>
                  <w:tcBorders>
                    <w:top w:val="single" w:color="auto" w:sz="4" w:space="0"/>
                    <w:left w:val="single" w:color="auto" w:sz="4" w:space="0"/>
                    <w:bottom w:val="single" w:color="auto" w:sz="4" w:space="0"/>
                    <w:right w:val="single" w:color="auto" w:sz="4" w:space="0"/>
                  </w:tcBorders>
                  <w:noWrap w:val="0"/>
                  <w:vAlign w:val="center"/>
                </w:tcPr>
                <w:p w14:paraId="1157195F">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WXBL-470</w:t>
                  </w:r>
                </w:p>
              </w:tc>
              <w:tc>
                <w:tcPr>
                  <w:tcW w:w="482" w:type="pct"/>
                  <w:tcBorders>
                    <w:top w:val="single" w:color="auto" w:sz="4" w:space="0"/>
                    <w:left w:val="single" w:color="auto" w:sz="4" w:space="0"/>
                    <w:bottom w:val="single" w:color="auto" w:sz="4" w:space="0"/>
                    <w:right w:val="single" w:color="auto" w:sz="4" w:space="0"/>
                  </w:tcBorders>
                  <w:noWrap w:val="0"/>
                  <w:vAlign w:val="center"/>
                </w:tcPr>
                <w:p w14:paraId="4FE465CC">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0</w:t>
                  </w:r>
                </w:p>
              </w:tc>
              <w:tc>
                <w:tcPr>
                  <w:tcW w:w="545" w:type="pct"/>
                  <w:tcBorders>
                    <w:top w:val="single" w:color="auto" w:sz="4" w:space="0"/>
                    <w:left w:val="single" w:color="auto" w:sz="4" w:space="0"/>
                    <w:bottom w:val="single" w:color="auto" w:sz="4" w:space="0"/>
                    <w:right w:val="nil"/>
                  </w:tcBorders>
                  <w:noWrap w:val="0"/>
                  <w:vAlign w:val="center"/>
                </w:tcPr>
                <w:p w14:paraId="3B9072A5">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w:t>
                  </w:r>
                </w:p>
              </w:tc>
              <w:tc>
                <w:tcPr>
                  <w:tcW w:w="599" w:type="pct"/>
                  <w:tcBorders>
                    <w:top w:val="single" w:color="auto" w:sz="4" w:space="0"/>
                    <w:left w:val="single" w:color="auto" w:sz="4" w:space="0"/>
                    <w:bottom w:val="single" w:color="auto" w:sz="4" w:space="0"/>
                    <w:right w:val="nil"/>
                  </w:tcBorders>
                  <w:noWrap w:val="0"/>
                  <w:vAlign w:val="center"/>
                </w:tcPr>
                <w:p w14:paraId="0B9EC479">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2</w:t>
                  </w:r>
                </w:p>
              </w:tc>
              <w:tc>
                <w:tcPr>
                  <w:tcW w:w="796" w:type="pct"/>
                  <w:tcBorders>
                    <w:top w:val="single" w:color="auto" w:sz="4" w:space="0"/>
                    <w:left w:val="single" w:color="auto" w:sz="4" w:space="0"/>
                    <w:bottom w:val="single" w:color="auto" w:sz="4" w:space="0"/>
                    <w:right w:val="nil"/>
                  </w:tcBorders>
                  <w:shd w:val="clear" w:color="auto" w:fill="auto"/>
                  <w:noWrap w:val="0"/>
                  <w:vAlign w:val="center"/>
                </w:tcPr>
                <w:p w14:paraId="484F9CD9">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海珍味产线</w:t>
                  </w:r>
                </w:p>
              </w:tc>
              <w:tc>
                <w:tcPr>
                  <w:tcW w:w="252" w:type="pct"/>
                  <w:vMerge w:val="continue"/>
                  <w:tcBorders>
                    <w:top w:val="single" w:color="auto" w:sz="4" w:space="0"/>
                    <w:left w:val="single" w:color="auto" w:sz="4" w:space="0"/>
                    <w:bottom w:val="single" w:color="auto" w:sz="4" w:space="0"/>
                    <w:right w:val="nil"/>
                  </w:tcBorders>
                  <w:noWrap w:val="0"/>
                  <w:vAlign w:val="center"/>
                </w:tcPr>
                <w:p w14:paraId="502756A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auto"/>
                      <w:sz w:val="24"/>
                      <w:szCs w:val="24"/>
                      <w:highlight w:val="yellow"/>
                    </w:rPr>
                  </w:pPr>
                </w:p>
              </w:tc>
            </w:tr>
            <w:tr w14:paraId="79FEE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365" w:type="pct"/>
                  <w:tcBorders>
                    <w:top w:val="single" w:color="auto" w:sz="4" w:space="0"/>
                    <w:left w:val="nil"/>
                    <w:bottom w:val="single" w:color="auto" w:sz="4" w:space="0"/>
                    <w:right w:val="single" w:color="auto" w:sz="4" w:space="0"/>
                  </w:tcBorders>
                  <w:shd w:val="clear" w:color="auto" w:fill="auto"/>
                  <w:noWrap w:val="0"/>
                  <w:vAlign w:val="center"/>
                </w:tcPr>
                <w:p w14:paraId="7F4DB1C4">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13</w:t>
                  </w:r>
                </w:p>
              </w:tc>
              <w:tc>
                <w:tcPr>
                  <w:tcW w:w="1106" w:type="pct"/>
                  <w:tcBorders>
                    <w:top w:val="single" w:color="auto" w:sz="4" w:space="0"/>
                    <w:left w:val="single" w:color="auto" w:sz="4" w:space="0"/>
                    <w:bottom w:val="single" w:color="auto" w:sz="4" w:space="0"/>
                    <w:right w:val="single" w:color="auto" w:sz="4" w:space="0"/>
                  </w:tcBorders>
                  <w:noWrap w:val="0"/>
                  <w:vAlign w:val="center"/>
                </w:tcPr>
                <w:p w14:paraId="51A44204">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网带烤箱</w:t>
                  </w:r>
                </w:p>
              </w:tc>
              <w:tc>
                <w:tcPr>
                  <w:tcW w:w="851" w:type="pct"/>
                  <w:tcBorders>
                    <w:top w:val="single" w:color="auto" w:sz="4" w:space="0"/>
                    <w:left w:val="single" w:color="auto" w:sz="4" w:space="0"/>
                    <w:bottom w:val="single" w:color="auto" w:sz="4" w:space="0"/>
                    <w:right w:val="single" w:color="auto" w:sz="4" w:space="0"/>
                  </w:tcBorders>
                  <w:noWrap w:val="0"/>
                  <w:vAlign w:val="center"/>
                </w:tcPr>
                <w:p w14:paraId="4470E258">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KL-7300</w:t>
                  </w:r>
                </w:p>
              </w:tc>
              <w:tc>
                <w:tcPr>
                  <w:tcW w:w="482" w:type="pct"/>
                  <w:tcBorders>
                    <w:top w:val="single" w:color="auto" w:sz="4" w:space="0"/>
                    <w:left w:val="single" w:color="auto" w:sz="4" w:space="0"/>
                    <w:bottom w:val="single" w:color="auto" w:sz="4" w:space="0"/>
                    <w:right w:val="single" w:color="auto" w:sz="4" w:space="0"/>
                  </w:tcBorders>
                  <w:noWrap w:val="0"/>
                  <w:vAlign w:val="center"/>
                </w:tcPr>
                <w:p w14:paraId="5545A9EB">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0</w:t>
                  </w:r>
                </w:p>
              </w:tc>
              <w:tc>
                <w:tcPr>
                  <w:tcW w:w="545" w:type="pct"/>
                  <w:tcBorders>
                    <w:top w:val="single" w:color="auto" w:sz="4" w:space="0"/>
                    <w:left w:val="single" w:color="auto" w:sz="4" w:space="0"/>
                    <w:bottom w:val="single" w:color="auto" w:sz="4" w:space="0"/>
                    <w:right w:val="nil"/>
                  </w:tcBorders>
                  <w:noWrap w:val="0"/>
                  <w:vAlign w:val="center"/>
                </w:tcPr>
                <w:p w14:paraId="5936CE2E">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4</w:t>
                  </w:r>
                </w:p>
              </w:tc>
              <w:tc>
                <w:tcPr>
                  <w:tcW w:w="599" w:type="pct"/>
                  <w:tcBorders>
                    <w:top w:val="single" w:color="auto" w:sz="4" w:space="0"/>
                    <w:left w:val="single" w:color="auto" w:sz="4" w:space="0"/>
                    <w:bottom w:val="single" w:color="auto" w:sz="4" w:space="0"/>
                    <w:right w:val="nil"/>
                  </w:tcBorders>
                  <w:noWrap w:val="0"/>
                  <w:vAlign w:val="center"/>
                </w:tcPr>
                <w:p w14:paraId="1BB678D5">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4</w:t>
                  </w:r>
                </w:p>
              </w:tc>
              <w:tc>
                <w:tcPr>
                  <w:tcW w:w="796" w:type="pct"/>
                  <w:tcBorders>
                    <w:top w:val="single" w:color="auto" w:sz="4" w:space="0"/>
                    <w:left w:val="single" w:color="auto" w:sz="4" w:space="0"/>
                    <w:bottom w:val="single" w:color="auto" w:sz="4" w:space="0"/>
                    <w:right w:val="nil"/>
                  </w:tcBorders>
                  <w:shd w:val="clear" w:color="auto" w:fill="auto"/>
                  <w:noWrap w:val="0"/>
                  <w:vAlign w:val="center"/>
                </w:tcPr>
                <w:p w14:paraId="47F3E16D">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海珍味产线</w:t>
                  </w:r>
                </w:p>
              </w:tc>
              <w:tc>
                <w:tcPr>
                  <w:tcW w:w="252" w:type="pct"/>
                  <w:vMerge w:val="continue"/>
                  <w:tcBorders>
                    <w:top w:val="single" w:color="auto" w:sz="4" w:space="0"/>
                    <w:left w:val="single" w:color="auto" w:sz="4" w:space="0"/>
                    <w:bottom w:val="single" w:color="auto" w:sz="4" w:space="0"/>
                    <w:right w:val="nil"/>
                  </w:tcBorders>
                  <w:noWrap w:val="0"/>
                  <w:vAlign w:val="center"/>
                </w:tcPr>
                <w:p w14:paraId="59C06D4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auto"/>
                      <w:sz w:val="24"/>
                      <w:szCs w:val="24"/>
                      <w:highlight w:val="yellow"/>
                    </w:rPr>
                  </w:pPr>
                </w:p>
              </w:tc>
            </w:tr>
            <w:tr w14:paraId="6A55F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365" w:type="pct"/>
                  <w:tcBorders>
                    <w:top w:val="single" w:color="auto" w:sz="4" w:space="0"/>
                    <w:left w:val="nil"/>
                    <w:bottom w:val="single" w:color="auto" w:sz="4" w:space="0"/>
                    <w:right w:val="single" w:color="auto" w:sz="4" w:space="0"/>
                  </w:tcBorders>
                  <w:shd w:val="clear" w:color="auto" w:fill="auto"/>
                  <w:noWrap w:val="0"/>
                  <w:vAlign w:val="center"/>
                </w:tcPr>
                <w:p w14:paraId="2AC64EA8">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14</w:t>
                  </w:r>
                </w:p>
              </w:tc>
              <w:tc>
                <w:tcPr>
                  <w:tcW w:w="1106" w:type="pct"/>
                  <w:tcBorders>
                    <w:top w:val="single" w:color="auto" w:sz="4" w:space="0"/>
                    <w:left w:val="single" w:color="auto" w:sz="4" w:space="0"/>
                    <w:bottom w:val="single" w:color="auto" w:sz="4" w:space="0"/>
                    <w:right w:val="single" w:color="auto" w:sz="4" w:space="0"/>
                  </w:tcBorders>
                  <w:noWrap w:val="0"/>
                  <w:vAlign w:val="center"/>
                </w:tcPr>
                <w:p w14:paraId="02EB387A">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多头秤</w:t>
                  </w:r>
                </w:p>
              </w:tc>
              <w:tc>
                <w:tcPr>
                  <w:tcW w:w="851" w:type="pct"/>
                  <w:tcBorders>
                    <w:top w:val="single" w:color="auto" w:sz="4" w:space="0"/>
                    <w:left w:val="single" w:color="auto" w:sz="4" w:space="0"/>
                    <w:bottom w:val="single" w:color="auto" w:sz="4" w:space="0"/>
                    <w:right w:val="single" w:color="auto" w:sz="4" w:space="0"/>
                  </w:tcBorders>
                  <w:noWrap w:val="0"/>
                  <w:vAlign w:val="center"/>
                </w:tcPr>
                <w:p w14:paraId="3E3B07D9">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3w</w:t>
                  </w:r>
                </w:p>
              </w:tc>
              <w:tc>
                <w:tcPr>
                  <w:tcW w:w="482" w:type="pct"/>
                  <w:tcBorders>
                    <w:top w:val="single" w:color="auto" w:sz="4" w:space="0"/>
                    <w:left w:val="single" w:color="auto" w:sz="4" w:space="0"/>
                    <w:bottom w:val="single" w:color="auto" w:sz="4" w:space="0"/>
                    <w:right w:val="single" w:color="auto" w:sz="4" w:space="0"/>
                  </w:tcBorders>
                  <w:noWrap w:val="0"/>
                  <w:vAlign w:val="center"/>
                </w:tcPr>
                <w:p w14:paraId="3A06EE43">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0</w:t>
                  </w:r>
                </w:p>
              </w:tc>
              <w:tc>
                <w:tcPr>
                  <w:tcW w:w="545" w:type="pct"/>
                  <w:tcBorders>
                    <w:top w:val="single" w:color="auto" w:sz="4" w:space="0"/>
                    <w:left w:val="single" w:color="auto" w:sz="4" w:space="0"/>
                    <w:bottom w:val="single" w:color="auto" w:sz="4" w:space="0"/>
                    <w:right w:val="nil"/>
                  </w:tcBorders>
                  <w:noWrap w:val="0"/>
                  <w:vAlign w:val="center"/>
                </w:tcPr>
                <w:p w14:paraId="65F30860">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w:t>
                  </w:r>
                </w:p>
              </w:tc>
              <w:tc>
                <w:tcPr>
                  <w:tcW w:w="599" w:type="pct"/>
                  <w:tcBorders>
                    <w:top w:val="single" w:color="auto" w:sz="4" w:space="0"/>
                    <w:left w:val="single" w:color="auto" w:sz="4" w:space="0"/>
                    <w:bottom w:val="single" w:color="auto" w:sz="4" w:space="0"/>
                    <w:right w:val="nil"/>
                  </w:tcBorders>
                  <w:noWrap w:val="0"/>
                  <w:vAlign w:val="center"/>
                </w:tcPr>
                <w:p w14:paraId="6B159BA0">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2</w:t>
                  </w:r>
                </w:p>
              </w:tc>
              <w:tc>
                <w:tcPr>
                  <w:tcW w:w="796" w:type="pct"/>
                  <w:tcBorders>
                    <w:top w:val="single" w:color="auto" w:sz="4" w:space="0"/>
                    <w:left w:val="single" w:color="auto" w:sz="4" w:space="0"/>
                    <w:bottom w:val="single" w:color="auto" w:sz="4" w:space="0"/>
                    <w:right w:val="nil"/>
                  </w:tcBorders>
                  <w:shd w:val="clear" w:color="auto" w:fill="auto"/>
                  <w:noWrap w:val="0"/>
                  <w:vAlign w:val="center"/>
                </w:tcPr>
                <w:p w14:paraId="0F2EFB01">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海珍味产线</w:t>
                  </w:r>
                </w:p>
              </w:tc>
              <w:tc>
                <w:tcPr>
                  <w:tcW w:w="252" w:type="pct"/>
                  <w:vMerge w:val="continue"/>
                  <w:tcBorders>
                    <w:top w:val="single" w:color="auto" w:sz="4" w:space="0"/>
                    <w:left w:val="single" w:color="auto" w:sz="4" w:space="0"/>
                    <w:bottom w:val="single" w:color="auto" w:sz="4" w:space="0"/>
                    <w:right w:val="nil"/>
                  </w:tcBorders>
                  <w:noWrap w:val="0"/>
                  <w:vAlign w:val="center"/>
                </w:tcPr>
                <w:p w14:paraId="63B0500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auto"/>
                      <w:sz w:val="24"/>
                      <w:szCs w:val="24"/>
                      <w:highlight w:val="yellow"/>
                    </w:rPr>
                  </w:pPr>
                </w:p>
              </w:tc>
            </w:tr>
            <w:tr w14:paraId="60055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365" w:type="pct"/>
                  <w:tcBorders>
                    <w:top w:val="single" w:color="auto" w:sz="4" w:space="0"/>
                    <w:left w:val="nil"/>
                    <w:bottom w:val="single" w:color="auto" w:sz="4" w:space="0"/>
                    <w:right w:val="single" w:color="auto" w:sz="4" w:space="0"/>
                  </w:tcBorders>
                  <w:shd w:val="clear" w:color="auto" w:fill="auto"/>
                  <w:noWrap w:val="0"/>
                  <w:vAlign w:val="center"/>
                </w:tcPr>
                <w:p w14:paraId="2B7B901C">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15</w:t>
                  </w:r>
                </w:p>
              </w:tc>
              <w:tc>
                <w:tcPr>
                  <w:tcW w:w="1106" w:type="pct"/>
                  <w:tcBorders>
                    <w:top w:val="single" w:color="auto" w:sz="4" w:space="0"/>
                    <w:left w:val="single" w:color="auto" w:sz="4" w:space="0"/>
                    <w:bottom w:val="single" w:color="auto" w:sz="4" w:space="0"/>
                    <w:right w:val="single" w:color="auto" w:sz="4" w:space="0"/>
                  </w:tcBorders>
                  <w:noWrap w:val="0"/>
                  <w:vAlign w:val="center"/>
                </w:tcPr>
                <w:p w14:paraId="4412EF1B">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给袋机</w:t>
                  </w:r>
                </w:p>
              </w:tc>
              <w:tc>
                <w:tcPr>
                  <w:tcW w:w="851" w:type="pct"/>
                  <w:tcBorders>
                    <w:top w:val="single" w:color="auto" w:sz="4" w:space="0"/>
                    <w:left w:val="single" w:color="auto" w:sz="4" w:space="0"/>
                    <w:bottom w:val="single" w:color="auto" w:sz="4" w:space="0"/>
                    <w:right w:val="single" w:color="auto" w:sz="4" w:space="0"/>
                  </w:tcBorders>
                  <w:noWrap w:val="0"/>
                  <w:vAlign w:val="center"/>
                </w:tcPr>
                <w:p w14:paraId="11A7CB0A">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15w</w:t>
                  </w:r>
                </w:p>
              </w:tc>
              <w:tc>
                <w:tcPr>
                  <w:tcW w:w="482" w:type="pct"/>
                  <w:tcBorders>
                    <w:top w:val="single" w:color="auto" w:sz="4" w:space="0"/>
                    <w:left w:val="single" w:color="auto" w:sz="4" w:space="0"/>
                    <w:bottom w:val="single" w:color="auto" w:sz="4" w:space="0"/>
                    <w:right w:val="single" w:color="auto" w:sz="4" w:space="0"/>
                  </w:tcBorders>
                  <w:noWrap w:val="0"/>
                  <w:vAlign w:val="center"/>
                </w:tcPr>
                <w:p w14:paraId="2ECAD11B">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0</w:t>
                  </w:r>
                </w:p>
              </w:tc>
              <w:tc>
                <w:tcPr>
                  <w:tcW w:w="545" w:type="pct"/>
                  <w:tcBorders>
                    <w:top w:val="single" w:color="auto" w:sz="4" w:space="0"/>
                    <w:left w:val="single" w:color="auto" w:sz="4" w:space="0"/>
                    <w:bottom w:val="single" w:color="auto" w:sz="4" w:space="0"/>
                    <w:right w:val="nil"/>
                  </w:tcBorders>
                  <w:noWrap w:val="0"/>
                  <w:vAlign w:val="center"/>
                </w:tcPr>
                <w:p w14:paraId="1B96ADCC">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w:t>
                  </w:r>
                </w:p>
              </w:tc>
              <w:tc>
                <w:tcPr>
                  <w:tcW w:w="599" w:type="pct"/>
                  <w:tcBorders>
                    <w:top w:val="single" w:color="auto" w:sz="4" w:space="0"/>
                    <w:left w:val="single" w:color="auto" w:sz="4" w:space="0"/>
                    <w:bottom w:val="single" w:color="auto" w:sz="4" w:space="0"/>
                    <w:right w:val="nil"/>
                  </w:tcBorders>
                  <w:noWrap w:val="0"/>
                  <w:vAlign w:val="center"/>
                </w:tcPr>
                <w:p w14:paraId="16D014C8">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2</w:t>
                  </w:r>
                </w:p>
              </w:tc>
              <w:tc>
                <w:tcPr>
                  <w:tcW w:w="796" w:type="pct"/>
                  <w:tcBorders>
                    <w:top w:val="single" w:color="auto" w:sz="4" w:space="0"/>
                    <w:left w:val="single" w:color="auto" w:sz="4" w:space="0"/>
                    <w:bottom w:val="single" w:color="auto" w:sz="4" w:space="0"/>
                    <w:right w:val="nil"/>
                  </w:tcBorders>
                  <w:shd w:val="clear" w:color="auto" w:fill="auto"/>
                  <w:noWrap w:val="0"/>
                  <w:vAlign w:val="center"/>
                </w:tcPr>
                <w:p w14:paraId="3AD3A5B4">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海珍味产线</w:t>
                  </w:r>
                </w:p>
              </w:tc>
              <w:tc>
                <w:tcPr>
                  <w:tcW w:w="252" w:type="pct"/>
                  <w:vMerge w:val="continue"/>
                  <w:tcBorders>
                    <w:top w:val="single" w:color="auto" w:sz="4" w:space="0"/>
                    <w:left w:val="single" w:color="auto" w:sz="4" w:space="0"/>
                    <w:bottom w:val="single" w:color="auto" w:sz="4" w:space="0"/>
                    <w:right w:val="nil"/>
                  </w:tcBorders>
                  <w:noWrap w:val="0"/>
                  <w:vAlign w:val="center"/>
                </w:tcPr>
                <w:p w14:paraId="5E94C55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auto"/>
                      <w:sz w:val="24"/>
                      <w:szCs w:val="24"/>
                      <w:highlight w:val="yellow"/>
                    </w:rPr>
                  </w:pPr>
                </w:p>
              </w:tc>
            </w:tr>
            <w:tr w14:paraId="20FE8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5" w:type="pct"/>
                  <w:tcBorders>
                    <w:top w:val="single" w:color="auto" w:sz="4" w:space="0"/>
                    <w:left w:val="nil"/>
                    <w:bottom w:val="single" w:color="auto" w:sz="4" w:space="0"/>
                    <w:right w:val="single" w:color="auto" w:sz="4" w:space="0"/>
                  </w:tcBorders>
                  <w:shd w:val="clear" w:color="auto" w:fill="auto"/>
                  <w:noWrap w:val="0"/>
                  <w:vAlign w:val="center"/>
                </w:tcPr>
                <w:p w14:paraId="49DA64BE">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16</w:t>
                  </w:r>
                </w:p>
              </w:tc>
              <w:tc>
                <w:tcPr>
                  <w:tcW w:w="1106" w:type="pct"/>
                  <w:tcBorders>
                    <w:top w:val="single" w:color="auto" w:sz="4" w:space="0"/>
                    <w:left w:val="single" w:color="auto" w:sz="4" w:space="0"/>
                    <w:bottom w:val="single" w:color="auto" w:sz="4" w:space="0"/>
                    <w:right w:val="single" w:color="auto" w:sz="4" w:space="0"/>
                  </w:tcBorders>
                  <w:noWrap w:val="0"/>
                  <w:vAlign w:val="center"/>
                </w:tcPr>
                <w:p w14:paraId="5ECB2B16">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金探</w:t>
                  </w:r>
                </w:p>
              </w:tc>
              <w:tc>
                <w:tcPr>
                  <w:tcW w:w="851" w:type="pct"/>
                  <w:tcBorders>
                    <w:top w:val="single" w:color="auto" w:sz="4" w:space="0"/>
                    <w:left w:val="single" w:color="auto" w:sz="4" w:space="0"/>
                    <w:bottom w:val="single" w:color="auto" w:sz="4" w:space="0"/>
                    <w:right w:val="single" w:color="auto" w:sz="4" w:space="0"/>
                  </w:tcBorders>
                  <w:noWrap w:val="0"/>
                  <w:vAlign w:val="center"/>
                </w:tcPr>
                <w:p w14:paraId="0D97758A">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0.35w</w:t>
                  </w:r>
                </w:p>
              </w:tc>
              <w:tc>
                <w:tcPr>
                  <w:tcW w:w="482" w:type="pct"/>
                  <w:tcBorders>
                    <w:top w:val="single" w:color="auto" w:sz="4" w:space="0"/>
                    <w:left w:val="single" w:color="auto" w:sz="4" w:space="0"/>
                    <w:bottom w:val="single" w:color="auto" w:sz="4" w:space="0"/>
                    <w:right w:val="single" w:color="auto" w:sz="4" w:space="0"/>
                  </w:tcBorders>
                  <w:noWrap w:val="0"/>
                  <w:vAlign w:val="center"/>
                </w:tcPr>
                <w:p w14:paraId="21F25D8F">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0</w:t>
                  </w:r>
                </w:p>
              </w:tc>
              <w:tc>
                <w:tcPr>
                  <w:tcW w:w="545" w:type="pct"/>
                  <w:tcBorders>
                    <w:top w:val="single" w:color="auto" w:sz="4" w:space="0"/>
                    <w:left w:val="single" w:color="auto" w:sz="4" w:space="0"/>
                    <w:bottom w:val="single" w:color="auto" w:sz="4" w:space="0"/>
                    <w:right w:val="nil"/>
                  </w:tcBorders>
                  <w:noWrap w:val="0"/>
                  <w:vAlign w:val="center"/>
                </w:tcPr>
                <w:p w14:paraId="7ADAD43F">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w:t>
                  </w:r>
                </w:p>
              </w:tc>
              <w:tc>
                <w:tcPr>
                  <w:tcW w:w="599" w:type="pct"/>
                  <w:tcBorders>
                    <w:top w:val="single" w:color="auto" w:sz="4" w:space="0"/>
                    <w:left w:val="single" w:color="auto" w:sz="4" w:space="0"/>
                    <w:bottom w:val="single" w:color="auto" w:sz="4" w:space="0"/>
                    <w:right w:val="nil"/>
                  </w:tcBorders>
                  <w:noWrap w:val="0"/>
                  <w:vAlign w:val="center"/>
                </w:tcPr>
                <w:p w14:paraId="3E49C876">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2</w:t>
                  </w:r>
                </w:p>
              </w:tc>
              <w:tc>
                <w:tcPr>
                  <w:tcW w:w="796" w:type="pct"/>
                  <w:tcBorders>
                    <w:top w:val="single" w:color="auto" w:sz="4" w:space="0"/>
                    <w:left w:val="single" w:color="auto" w:sz="4" w:space="0"/>
                    <w:bottom w:val="single" w:color="auto" w:sz="4" w:space="0"/>
                    <w:right w:val="nil"/>
                  </w:tcBorders>
                  <w:shd w:val="clear" w:color="auto" w:fill="auto"/>
                  <w:noWrap w:val="0"/>
                  <w:vAlign w:val="center"/>
                </w:tcPr>
                <w:p w14:paraId="67E381C7">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海珍味产线</w:t>
                  </w:r>
                </w:p>
              </w:tc>
              <w:tc>
                <w:tcPr>
                  <w:tcW w:w="252" w:type="pct"/>
                  <w:vMerge w:val="continue"/>
                  <w:tcBorders>
                    <w:top w:val="single" w:color="auto" w:sz="4" w:space="0"/>
                    <w:left w:val="single" w:color="auto" w:sz="4" w:space="0"/>
                    <w:bottom w:val="single" w:color="auto" w:sz="4" w:space="0"/>
                    <w:right w:val="nil"/>
                  </w:tcBorders>
                  <w:noWrap w:val="0"/>
                  <w:vAlign w:val="center"/>
                </w:tcPr>
                <w:p w14:paraId="3F1E7C8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auto"/>
                      <w:sz w:val="24"/>
                      <w:szCs w:val="24"/>
                      <w:highlight w:val="yellow"/>
                    </w:rPr>
                  </w:pPr>
                </w:p>
              </w:tc>
            </w:tr>
            <w:tr w14:paraId="16A74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365" w:type="pct"/>
                  <w:tcBorders>
                    <w:top w:val="single" w:color="auto" w:sz="4" w:space="0"/>
                    <w:left w:val="nil"/>
                    <w:bottom w:val="single" w:color="auto" w:sz="4" w:space="0"/>
                    <w:right w:val="single" w:color="auto" w:sz="4" w:space="0"/>
                  </w:tcBorders>
                  <w:shd w:val="clear" w:color="auto" w:fill="auto"/>
                  <w:noWrap w:val="0"/>
                  <w:vAlign w:val="center"/>
                </w:tcPr>
                <w:p w14:paraId="2ADE2990">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17</w:t>
                  </w:r>
                </w:p>
              </w:tc>
              <w:tc>
                <w:tcPr>
                  <w:tcW w:w="1106" w:type="pct"/>
                  <w:tcBorders>
                    <w:top w:val="single" w:color="auto" w:sz="4" w:space="0"/>
                    <w:left w:val="single" w:color="auto" w:sz="4" w:space="0"/>
                    <w:bottom w:val="single" w:color="auto" w:sz="4" w:space="0"/>
                    <w:right w:val="single" w:color="auto" w:sz="4" w:space="0"/>
                  </w:tcBorders>
                  <w:noWrap w:val="0"/>
                  <w:vAlign w:val="center"/>
                </w:tcPr>
                <w:p w14:paraId="3FB939AB">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X光机</w:t>
                  </w:r>
                </w:p>
              </w:tc>
              <w:tc>
                <w:tcPr>
                  <w:tcW w:w="851" w:type="pct"/>
                  <w:tcBorders>
                    <w:top w:val="single" w:color="auto" w:sz="4" w:space="0"/>
                    <w:left w:val="single" w:color="auto" w:sz="4" w:space="0"/>
                    <w:bottom w:val="single" w:color="auto" w:sz="4" w:space="0"/>
                    <w:right w:val="single" w:color="auto" w:sz="4" w:space="0"/>
                  </w:tcBorders>
                  <w:noWrap w:val="0"/>
                  <w:vAlign w:val="center"/>
                </w:tcPr>
                <w:p w14:paraId="4C990E89">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1.5w</w:t>
                  </w:r>
                </w:p>
              </w:tc>
              <w:tc>
                <w:tcPr>
                  <w:tcW w:w="482" w:type="pct"/>
                  <w:tcBorders>
                    <w:top w:val="single" w:color="auto" w:sz="4" w:space="0"/>
                    <w:left w:val="single" w:color="auto" w:sz="4" w:space="0"/>
                    <w:bottom w:val="single" w:color="auto" w:sz="4" w:space="0"/>
                    <w:right w:val="single" w:color="auto" w:sz="4" w:space="0"/>
                  </w:tcBorders>
                  <w:noWrap w:val="0"/>
                  <w:vAlign w:val="center"/>
                </w:tcPr>
                <w:p w14:paraId="07C93C8F">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0</w:t>
                  </w:r>
                </w:p>
              </w:tc>
              <w:tc>
                <w:tcPr>
                  <w:tcW w:w="545" w:type="pct"/>
                  <w:tcBorders>
                    <w:top w:val="single" w:color="auto" w:sz="4" w:space="0"/>
                    <w:left w:val="single" w:color="auto" w:sz="4" w:space="0"/>
                    <w:bottom w:val="single" w:color="auto" w:sz="4" w:space="0"/>
                    <w:right w:val="nil"/>
                  </w:tcBorders>
                  <w:noWrap w:val="0"/>
                  <w:vAlign w:val="center"/>
                </w:tcPr>
                <w:p w14:paraId="1879CCE6">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w:t>
                  </w:r>
                </w:p>
              </w:tc>
              <w:tc>
                <w:tcPr>
                  <w:tcW w:w="599" w:type="pct"/>
                  <w:tcBorders>
                    <w:top w:val="single" w:color="auto" w:sz="4" w:space="0"/>
                    <w:left w:val="single" w:color="auto" w:sz="4" w:space="0"/>
                    <w:bottom w:val="single" w:color="auto" w:sz="4" w:space="0"/>
                    <w:right w:val="nil"/>
                  </w:tcBorders>
                  <w:noWrap w:val="0"/>
                  <w:vAlign w:val="center"/>
                </w:tcPr>
                <w:p w14:paraId="148EF85C">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2</w:t>
                  </w:r>
                </w:p>
              </w:tc>
              <w:tc>
                <w:tcPr>
                  <w:tcW w:w="796" w:type="pct"/>
                  <w:tcBorders>
                    <w:top w:val="single" w:color="auto" w:sz="4" w:space="0"/>
                    <w:left w:val="single" w:color="auto" w:sz="4" w:space="0"/>
                    <w:bottom w:val="single" w:color="auto" w:sz="4" w:space="0"/>
                    <w:right w:val="nil"/>
                  </w:tcBorders>
                  <w:shd w:val="clear" w:color="auto" w:fill="auto"/>
                  <w:noWrap w:val="0"/>
                  <w:vAlign w:val="center"/>
                </w:tcPr>
                <w:p w14:paraId="0A730034">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海珍味产线</w:t>
                  </w:r>
                </w:p>
              </w:tc>
              <w:tc>
                <w:tcPr>
                  <w:tcW w:w="252" w:type="pct"/>
                  <w:vMerge w:val="continue"/>
                  <w:tcBorders>
                    <w:top w:val="single" w:color="auto" w:sz="4" w:space="0"/>
                    <w:left w:val="single" w:color="auto" w:sz="4" w:space="0"/>
                    <w:bottom w:val="single" w:color="auto" w:sz="4" w:space="0"/>
                    <w:right w:val="nil"/>
                  </w:tcBorders>
                  <w:noWrap w:val="0"/>
                  <w:vAlign w:val="center"/>
                </w:tcPr>
                <w:p w14:paraId="463F8DC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auto"/>
                      <w:sz w:val="24"/>
                      <w:szCs w:val="24"/>
                      <w:highlight w:val="yellow"/>
                    </w:rPr>
                  </w:pPr>
                </w:p>
              </w:tc>
            </w:tr>
            <w:tr w14:paraId="003CB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365" w:type="pct"/>
                  <w:tcBorders>
                    <w:top w:val="single" w:color="auto" w:sz="4" w:space="0"/>
                    <w:left w:val="nil"/>
                    <w:bottom w:val="single" w:color="auto" w:sz="4" w:space="0"/>
                    <w:right w:val="single" w:color="auto" w:sz="4" w:space="0"/>
                  </w:tcBorders>
                  <w:shd w:val="clear" w:color="auto" w:fill="auto"/>
                  <w:noWrap w:val="0"/>
                  <w:vAlign w:val="center"/>
                </w:tcPr>
                <w:p w14:paraId="36C0A703">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18</w:t>
                  </w:r>
                </w:p>
              </w:tc>
              <w:tc>
                <w:tcPr>
                  <w:tcW w:w="1106" w:type="pct"/>
                  <w:tcBorders>
                    <w:top w:val="single" w:color="auto" w:sz="4" w:space="0"/>
                    <w:left w:val="single" w:color="auto" w:sz="4" w:space="0"/>
                    <w:bottom w:val="single" w:color="auto" w:sz="4" w:space="0"/>
                    <w:right w:val="single" w:color="auto" w:sz="4" w:space="0"/>
                  </w:tcBorders>
                  <w:noWrap w:val="0"/>
                  <w:vAlign w:val="center"/>
                </w:tcPr>
                <w:p w14:paraId="0B2A9ED3">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螺旋单冻机</w:t>
                  </w:r>
                </w:p>
              </w:tc>
              <w:tc>
                <w:tcPr>
                  <w:tcW w:w="851" w:type="pct"/>
                  <w:tcBorders>
                    <w:top w:val="single" w:color="auto" w:sz="4" w:space="0"/>
                    <w:left w:val="single" w:color="auto" w:sz="4" w:space="0"/>
                    <w:bottom w:val="single" w:color="auto" w:sz="4" w:space="0"/>
                    <w:right w:val="single" w:color="auto" w:sz="4" w:space="0"/>
                  </w:tcBorders>
                  <w:noWrap w:val="0"/>
                  <w:vAlign w:val="center"/>
                </w:tcPr>
                <w:p w14:paraId="7280D67D">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600w</w:t>
                  </w:r>
                </w:p>
              </w:tc>
              <w:tc>
                <w:tcPr>
                  <w:tcW w:w="482" w:type="pct"/>
                  <w:tcBorders>
                    <w:top w:val="single" w:color="auto" w:sz="4" w:space="0"/>
                    <w:left w:val="single" w:color="auto" w:sz="4" w:space="0"/>
                    <w:bottom w:val="single" w:color="auto" w:sz="4" w:space="0"/>
                    <w:right w:val="single" w:color="auto" w:sz="4" w:space="0"/>
                  </w:tcBorders>
                  <w:noWrap w:val="0"/>
                  <w:vAlign w:val="center"/>
                </w:tcPr>
                <w:p w14:paraId="79F3FF32">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0</w:t>
                  </w:r>
                </w:p>
              </w:tc>
              <w:tc>
                <w:tcPr>
                  <w:tcW w:w="545" w:type="pct"/>
                  <w:tcBorders>
                    <w:top w:val="single" w:color="auto" w:sz="4" w:space="0"/>
                    <w:left w:val="single" w:color="auto" w:sz="4" w:space="0"/>
                    <w:bottom w:val="single" w:color="auto" w:sz="4" w:space="0"/>
                    <w:right w:val="nil"/>
                  </w:tcBorders>
                  <w:noWrap w:val="0"/>
                  <w:vAlign w:val="center"/>
                </w:tcPr>
                <w:p w14:paraId="3FC92CB3">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1</w:t>
                  </w:r>
                </w:p>
              </w:tc>
              <w:tc>
                <w:tcPr>
                  <w:tcW w:w="599" w:type="pct"/>
                  <w:tcBorders>
                    <w:top w:val="single" w:color="auto" w:sz="4" w:space="0"/>
                    <w:left w:val="single" w:color="auto" w:sz="4" w:space="0"/>
                    <w:bottom w:val="single" w:color="auto" w:sz="4" w:space="0"/>
                    <w:right w:val="nil"/>
                  </w:tcBorders>
                  <w:noWrap w:val="0"/>
                  <w:vAlign w:val="center"/>
                </w:tcPr>
                <w:p w14:paraId="06AD99A3">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1</w:t>
                  </w:r>
                </w:p>
              </w:tc>
              <w:tc>
                <w:tcPr>
                  <w:tcW w:w="796" w:type="pct"/>
                  <w:tcBorders>
                    <w:top w:val="single" w:color="auto" w:sz="4" w:space="0"/>
                    <w:left w:val="single" w:color="auto" w:sz="4" w:space="0"/>
                    <w:bottom w:val="single" w:color="auto" w:sz="4" w:space="0"/>
                    <w:right w:val="nil"/>
                  </w:tcBorders>
                  <w:shd w:val="clear" w:color="auto" w:fill="auto"/>
                  <w:noWrap w:val="0"/>
                  <w:vAlign w:val="center"/>
                </w:tcPr>
                <w:p w14:paraId="3C895BA8">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海珍味产线</w:t>
                  </w:r>
                </w:p>
              </w:tc>
              <w:tc>
                <w:tcPr>
                  <w:tcW w:w="252" w:type="pct"/>
                  <w:vMerge w:val="continue"/>
                  <w:tcBorders>
                    <w:top w:val="single" w:color="auto" w:sz="4" w:space="0"/>
                    <w:left w:val="single" w:color="auto" w:sz="4" w:space="0"/>
                    <w:bottom w:val="single" w:color="auto" w:sz="4" w:space="0"/>
                    <w:right w:val="nil"/>
                  </w:tcBorders>
                  <w:noWrap w:val="0"/>
                  <w:vAlign w:val="center"/>
                </w:tcPr>
                <w:p w14:paraId="4DEB360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auto"/>
                      <w:sz w:val="24"/>
                      <w:szCs w:val="24"/>
                      <w:highlight w:val="yellow"/>
                    </w:rPr>
                  </w:pPr>
                </w:p>
              </w:tc>
            </w:tr>
            <w:tr w14:paraId="06FB6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365" w:type="pct"/>
                  <w:tcBorders>
                    <w:top w:val="single" w:color="auto" w:sz="4" w:space="0"/>
                    <w:left w:val="nil"/>
                    <w:bottom w:val="single" w:color="auto" w:sz="4" w:space="0"/>
                    <w:right w:val="single" w:color="auto" w:sz="4" w:space="0"/>
                  </w:tcBorders>
                  <w:shd w:val="clear" w:color="auto" w:fill="auto"/>
                  <w:noWrap w:val="0"/>
                  <w:vAlign w:val="center"/>
                </w:tcPr>
                <w:p w14:paraId="130BB646">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19</w:t>
                  </w:r>
                </w:p>
              </w:tc>
              <w:tc>
                <w:tcPr>
                  <w:tcW w:w="1106" w:type="pct"/>
                  <w:tcBorders>
                    <w:top w:val="single" w:color="auto" w:sz="4" w:space="0"/>
                    <w:left w:val="single" w:color="auto" w:sz="4" w:space="0"/>
                    <w:bottom w:val="single" w:color="auto" w:sz="4" w:space="0"/>
                    <w:right w:val="single" w:color="auto" w:sz="4" w:space="0"/>
                  </w:tcBorders>
                  <w:noWrap w:val="0"/>
                  <w:vAlign w:val="center"/>
                </w:tcPr>
                <w:p w14:paraId="47A7E10C">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机械臂</w:t>
                  </w:r>
                </w:p>
              </w:tc>
              <w:tc>
                <w:tcPr>
                  <w:tcW w:w="851" w:type="pct"/>
                  <w:tcBorders>
                    <w:top w:val="single" w:color="auto" w:sz="4" w:space="0"/>
                    <w:left w:val="single" w:color="auto" w:sz="4" w:space="0"/>
                    <w:bottom w:val="single" w:color="auto" w:sz="4" w:space="0"/>
                    <w:right w:val="single" w:color="auto" w:sz="4" w:space="0"/>
                  </w:tcBorders>
                  <w:noWrap w:val="0"/>
                  <w:vAlign w:val="center"/>
                </w:tcPr>
                <w:p w14:paraId="562CCEC0">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5.5w</w:t>
                  </w:r>
                </w:p>
              </w:tc>
              <w:tc>
                <w:tcPr>
                  <w:tcW w:w="482" w:type="pct"/>
                  <w:tcBorders>
                    <w:top w:val="single" w:color="auto" w:sz="4" w:space="0"/>
                    <w:left w:val="single" w:color="auto" w:sz="4" w:space="0"/>
                    <w:bottom w:val="single" w:color="auto" w:sz="4" w:space="0"/>
                    <w:right w:val="single" w:color="auto" w:sz="4" w:space="0"/>
                  </w:tcBorders>
                  <w:noWrap w:val="0"/>
                  <w:vAlign w:val="center"/>
                </w:tcPr>
                <w:p w14:paraId="30095B2A">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0</w:t>
                  </w:r>
                </w:p>
              </w:tc>
              <w:tc>
                <w:tcPr>
                  <w:tcW w:w="545" w:type="pct"/>
                  <w:tcBorders>
                    <w:top w:val="single" w:color="auto" w:sz="4" w:space="0"/>
                    <w:left w:val="single" w:color="auto" w:sz="4" w:space="0"/>
                    <w:bottom w:val="single" w:color="auto" w:sz="4" w:space="0"/>
                    <w:right w:val="nil"/>
                  </w:tcBorders>
                  <w:noWrap w:val="0"/>
                  <w:vAlign w:val="center"/>
                </w:tcPr>
                <w:p w14:paraId="2E7E439F">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1</w:t>
                  </w:r>
                </w:p>
              </w:tc>
              <w:tc>
                <w:tcPr>
                  <w:tcW w:w="599" w:type="pct"/>
                  <w:tcBorders>
                    <w:top w:val="single" w:color="auto" w:sz="4" w:space="0"/>
                    <w:left w:val="single" w:color="auto" w:sz="4" w:space="0"/>
                    <w:bottom w:val="single" w:color="auto" w:sz="4" w:space="0"/>
                    <w:right w:val="nil"/>
                  </w:tcBorders>
                  <w:noWrap w:val="0"/>
                  <w:vAlign w:val="center"/>
                </w:tcPr>
                <w:p w14:paraId="259B8DFC">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1</w:t>
                  </w:r>
                </w:p>
              </w:tc>
              <w:tc>
                <w:tcPr>
                  <w:tcW w:w="796" w:type="pct"/>
                  <w:tcBorders>
                    <w:top w:val="single" w:color="auto" w:sz="4" w:space="0"/>
                    <w:left w:val="single" w:color="auto" w:sz="4" w:space="0"/>
                    <w:bottom w:val="single" w:color="auto" w:sz="4" w:space="0"/>
                    <w:right w:val="nil"/>
                  </w:tcBorders>
                  <w:shd w:val="clear" w:color="auto" w:fill="auto"/>
                  <w:noWrap w:val="0"/>
                  <w:vAlign w:val="center"/>
                </w:tcPr>
                <w:p w14:paraId="012C3FA3">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海珍味产线</w:t>
                  </w:r>
                </w:p>
              </w:tc>
              <w:tc>
                <w:tcPr>
                  <w:tcW w:w="252" w:type="pct"/>
                  <w:vMerge w:val="continue"/>
                  <w:tcBorders>
                    <w:top w:val="single" w:color="auto" w:sz="4" w:space="0"/>
                    <w:left w:val="single" w:color="auto" w:sz="4" w:space="0"/>
                    <w:bottom w:val="single" w:color="auto" w:sz="4" w:space="0"/>
                    <w:right w:val="nil"/>
                  </w:tcBorders>
                  <w:noWrap w:val="0"/>
                  <w:vAlign w:val="center"/>
                </w:tcPr>
                <w:p w14:paraId="2C09089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auto"/>
                      <w:sz w:val="24"/>
                      <w:szCs w:val="24"/>
                      <w:highlight w:val="yellow"/>
                    </w:rPr>
                  </w:pPr>
                </w:p>
              </w:tc>
            </w:tr>
            <w:tr w14:paraId="2BA37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365" w:type="pct"/>
                  <w:tcBorders>
                    <w:top w:val="single" w:color="auto" w:sz="4" w:space="0"/>
                    <w:left w:val="nil"/>
                    <w:bottom w:val="single" w:color="auto" w:sz="4" w:space="0"/>
                    <w:right w:val="single" w:color="auto" w:sz="4" w:space="0"/>
                  </w:tcBorders>
                  <w:shd w:val="clear" w:color="auto" w:fill="auto"/>
                  <w:noWrap w:val="0"/>
                  <w:vAlign w:val="center"/>
                </w:tcPr>
                <w:p w14:paraId="5A73CF74">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20</w:t>
                  </w:r>
                </w:p>
              </w:tc>
              <w:tc>
                <w:tcPr>
                  <w:tcW w:w="1106" w:type="pct"/>
                  <w:tcBorders>
                    <w:top w:val="single" w:color="auto" w:sz="4" w:space="0"/>
                    <w:left w:val="single" w:color="auto" w:sz="4" w:space="0"/>
                    <w:bottom w:val="single" w:color="auto" w:sz="4" w:space="0"/>
                    <w:right w:val="single" w:color="auto" w:sz="4" w:space="0"/>
                  </w:tcBorders>
                  <w:noWrap w:val="0"/>
                  <w:vAlign w:val="center"/>
                </w:tcPr>
                <w:p w14:paraId="25063D45">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低温高湿解冻库设备</w:t>
                  </w:r>
                </w:p>
              </w:tc>
              <w:tc>
                <w:tcPr>
                  <w:tcW w:w="851" w:type="pct"/>
                  <w:tcBorders>
                    <w:top w:val="single" w:color="auto" w:sz="4" w:space="0"/>
                    <w:left w:val="single" w:color="auto" w:sz="4" w:space="0"/>
                    <w:bottom w:val="single" w:color="auto" w:sz="4" w:space="0"/>
                    <w:right w:val="single" w:color="auto" w:sz="4" w:space="0"/>
                  </w:tcBorders>
                  <w:noWrap w:val="0"/>
                  <w:vAlign w:val="center"/>
                </w:tcPr>
                <w:p w14:paraId="44C116C7">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4w</w:t>
                  </w:r>
                </w:p>
              </w:tc>
              <w:tc>
                <w:tcPr>
                  <w:tcW w:w="482" w:type="pct"/>
                  <w:tcBorders>
                    <w:top w:val="single" w:color="auto" w:sz="4" w:space="0"/>
                    <w:left w:val="single" w:color="auto" w:sz="4" w:space="0"/>
                    <w:bottom w:val="single" w:color="auto" w:sz="4" w:space="0"/>
                    <w:right w:val="single" w:color="auto" w:sz="4" w:space="0"/>
                  </w:tcBorders>
                  <w:noWrap w:val="0"/>
                  <w:vAlign w:val="center"/>
                </w:tcPr>
                <w:p w14:paraId="5A62419E">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0</w:t>
                  </w:r>
                </w:p>
              </w:tc>
              <w:tc>
                <w:tcPr>
                  <w:tcW w:w="545" w:type="pct"/>
                  <w:tcBorders>
                    <w:top w:val="single" w:color="auto" w:sz="4" w:space="0"/>
                    <w:left w:val="single" w:color="auto" w:sz="4" w:space="0"/>
                    <w:bottom w:val="single" w:color="auto" w:sz="4" w:space="0"/>
                    <w:right w:val="nil"/>
                  </w:tcBorders>
                  <w:noWrap w:val="0"/>
                  <w:vAlign w:val="center"/>
                </w:tcPr>
                <w:p w14:paraId="15B2E7AD">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1</w:t>
                  </w:r>
                </w:p>
              </w:tc>
              <w:tc>
                <w:tcPr>
                  <w:tcW w:w="599" w:type="pct"/>
                  <w:tcBorders>
                    <w:top w:val="single" w:color="auto" w:sz="4" w:space="0"/>
                    <w:left w:val="single" w:color="auto" w:sz="4" w:space="0"/>
                    <w:bottom w:val="single" w:color="auto" w:sz="4" w:space="0"/>
                    <w:right w:val="nil"/>
                  </w:tcBorders>
                  <w:noWrap w:val="0"/>
                  <w:vAlign w:val="center"/>
                </w:tcPr>
                <w:p w14:paraId="73B79FD1">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1</w:t>
                  </w:r>
                </w:p>
              </w:tc>
              <w:tc>
                <w:tcPr>
                  <w:tcW w:w="796" w:type="pct"/>
                  <w:tcBorders>
                    <w:top w:val="single" w:color="auto" w:sz="4" w:space="0"/>
                    <w:left w:val="single" w:color="auto" w:sz="4" w:space="0"/>
                    <w:bottom w:val="single" w:color="auto" w:sz="4" w:space="0"/>
                    <w:right w:val="nil"/>
                  </w:tcBorders>
                  <w:shd w:val="clear" w:color="auto" w:fill="auto"/>
                  <w:noWrap w:val="0"/>
                  <w:vAlign w:val="center"/>
                </w:tcPr>
                <w:p w14:paraId="07E38141">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肉产品产线</w:t>
                  </w:r>
                </w:p>
              </w:tc>
              <w:tc>
                <w:tcPr>
                  <w:tcW w:w="252" w:type="pct"/>
                  <w:vMerge w:val="continue"/>
                  <w:tcBorders>
                    <w:top w:val="single" w:color="auto" w:sz="4" w:space="0"/>
                    <w:left w:val="single" w:color="auto" w:sz="4" w:space="0"/>
                    <w:bottom w:val="single" w:color="auto" w:sz="4" w:space="0"/>
                    <w:right w:val="nil"/>
                  </w:tcBorders>
                  <w:noWrap w:val="0"/>
                  <w:vAlign w:val="center"/>
                </w:tcPr>
                <w:p w14:paraId="46F2B7B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color w:val="auto"/>
                      <w:sz w:val="24"/>
                      <w:szCs w:val="24"/>
                      <w:highlight w:val="yellow"/>
                    </w:rPr>
                  </w:pPr>
                </w:p>
              </w:tc>
            </w:tr>
            <w:tr w14:paraId="596A9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365" w:type="pct"/>
                  <w:tcBorders>
                    <w:top w:val="single" w:color="auto" w:sz="4" w:space="0"/>
                    <w:left w:val="nil"/>
                    <w:bottom w:val="single" w:color="auto" w:sz="4" w:space="0"/>
                    <w:right w:val="single" w:color="auto" w:sz="4" w:space="0"/>
                  </w:tcBorders>
                  <w:shd w:val="clear" w:color="auto" w:fill="auto"/>
                  <w:noWrap w:val="0"/>
                  <w:vAlign w:val="center"/>
                </w:tcPr>
                <w:p w14:paraId="1FCD89BD">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21</w:t>
                  </w:r>
                </w:p>
              </w:tc>
              <w:tc>
                <w:tcPr>
                  <w:tcW w:w="1106" w:type="pct"/>
                  <w:tcBorders>
                    <w:top w:val="single" w:color="auto" w:sz="4" w:space="0"/>
                    <w:left w:val="single" w:color="auto" w:sz="4" w:space="0"/>
                    <w:bottom w:val="single" w:color="auto" w:sz="4" w:space="0"/>
                    <w:right w:val="single" w:color="auto" w:sz="4" w:space="0"/>
                  </w:tcBorders>
                  <w:noWrap w:val="0"/>
                  <w:vAlign w:val="center"/>
                </w:tcPr>
                <w:p w14:paraId="271CEE86">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切丁机</w:t>
                  </w:r>
                </w:p>
              </w:tc>
              <w:tc>
                <w:tcPr>
                  <w:tcW w:w="851" w:type="pct"/>
                  <w:tcBorders>
                    <w:top w:val="single" w:color="auto" w:sz="4" w:space="0"/>
                    <w:left w:val="single" w:color="auto" w:sz="4" w:space="0"/>
                    <w:bottom w:val="single" w:color="auto" w:sz="4" w:space="0"/>
                    <w:right w:val="single" w:color="auto" w:sz="4" w:space="0"/>
                  </w:tcBorders>
                  <w:noWrap w:val="0"/>
                  <w:vAlign w:val="center"/>
                </w:tcPr>
                <w:p w14:paraId="7F086F2F">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CDEW</w:t>
                  </w:r>
                </w:p>
              </w:tc>
              <w:tc>
                <w:tcPr>
                  <w:tcW w:w="482" w:type="pct"/>
                  <w:tcBorders>
                    <w:top w:val="single" w:color="auto" w:sz="4" w:space="0"/>
                    <w:left w:val="single" w:color="auto" w:sz="4" w:space="0"/>
                    <w:bottom w:val="single" w:color="auto" w:sz="4" w:space="0"/>
                    <w:right w:val="single" w:color="auto" w:sz="4" w:space="0"/>
                  </w:tcBorders>
                  <w:noWrap w:val="0"/>
                  <w:vAlign w:val="center"/>
                </w:tcPr>
                <w:p w14:paraId="003E1C5E">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0</w:t>
                  </w:r>
                </w:p>
              </w:tc>
              <w:tc>
                <w:tcPr>
                  <w:tcW w:w="545" w:type="pct"/>
                  <w:tcBorders>
                    <w:top w:val="single" w:color="auto" w:sz="4" w:space="0"/>
                    <w:left w:val="single" w:color="auto" w:sz="4" w:space="0"/>
                    <w:bottom w:val="single" w:color="auto" w:sz="4" w:space="0"/>
                    <w:right w:val="nil"/>
                  </w:tcBorders>
                  <w:noWrap w:val="0"/>
                  <w:vAlign w:val="center"/>
                </w:tcPr>
                <w:p w14:paraId="6D44F8D8">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w:t>
                  </w:r>
                </w:p>
              </w:tc>
              <w:tc>
                <w:tcPr>
                  <w:tcW w:w="599" w:type="pct"/>
                  <w:tcBorders>
                    <w:top w:val="single" w:color="auto" w:sz="4" w:space="0"/>
                    <w:left w:val="single" w:color="auto" w:sz="4" w:space="0"/>
                    <w:bottom w:val="single" w:color="auto" w:sz="4" w:space="0"/>
                    <w:right w:val="nil"/>
                  </w:tcBorders>
                  <w:noWrap w:val="0"/>
                  <w:vAlign w:val="center"/>
                </w:tcPr>
                <w:p w14:paraId="5A316EAF">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2</w:t>
                  </w:r>
                </w:p>
              </w:tc>
              <w:tc>
                <w:tcPr>
                  <w:tcW w:w="796" w:type="pct"/>
                  <w:tcBorders>
                    <w:top w:val="single" w:color="auto" w:sz="4" w:space="0"/>
                    <w:left w:val="single" w:color="auto" w:sz="4" w:space="0"/>
                    <w:bottom w:val="single" w:color="auto" w:sz="4" w:space="0"/>
                    <w:right w:val="nil"/>
                  </w:tcBorders>
                  <w:shd w:val="clear" w:color="auto" w:fill="auto"/>
                  <w:noWrap w:val="0"/>
                  <w:vAlign w:val="center"/>
                </w:tcPr>
                <w:p w14:paraId="330D86DE">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肉产品产线</w:t>
                  </w:r>
                </w:p>
              </w:tc>
              <w:tc>
                <w:tcPr>
                  <w:tcW w:w="252" w:type="pct"/>
                  <w:vMerge w:val="continue"/>
                  <w:tcBorders>
                    <w:top w:val="single" w:color="auto" w:sz="4" w:space="0"/>
                    <w:left w:val="single" w:color="auto" w:sz="4" w:space="0"/>
                    <w:bottom w:val="single" w:color="auto" w:sz="4" w:space="0"/>
                    <w:right w:val="nil"/>
                  </w:tcBorders>
                  <w:noWrap w:val="0"/>
                  <w:vAlign w:val="center"/>
                </w:tcPr>
                <w:p w14:paraId="2281DAD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yellow"/>
                    </w:rPr>
                  </w:pPr>
                </w:p>
              </w:tc>
            </w:tr>
            <w:tr w14:paraId="2CDA7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365" w:type="pct"/>
                  <w:tcBorders>
                    <w:top w:val="single" w:color="auto" w:sz="4" w:space="0"/>
                    <w:left w:val="nil"/>
                    <w:bottom w:val="single" w:color="auto" w:sz="4" w:space="0"/>
                    <w:right w:val="single" w:color="auto" w:sz="4" w:space="0"/>
                  </w:tcBorders>
                  <w:shd w:val="clear" w:color="auto" w:fill="auto"/>
                  <w:noWrap w:val="0"/>
                  <w:vAlign w:val="center"/>
                </w:tcPr>
                <w:p w14:paraId="4B50836E">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22</w:t>
                  </w:r>
                </w:p>
              </w:tc>
              <w:tc>
                <w:tcPr>
                  <w:tcW w:w="1106" w:type="pct"/>
                  <w:tcBorders>
                    <w:top w:val="single" w:color="auto" w:sz="4" w:space="0"/>
                    <w:left w:val="single" w:color="auto" w:sz="4" w:space="0"/>
                    <w:bottom w:val="single" w:color="auto" w:sz="4" w:space="0"/>
                    <w:right w:val="single" w:color="auto" w:sz="4" w:space="0"/>
                  </w:tcBorders>
                  <w:noWrap w:val="0"/>
                  <w:vAlign w:val="center"/>
                </w:tcPr>
                <w:p w14:paraId="6A572434">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蒸烤机</w:t>
                  </w:r>
                </w:p>
              </w:tc>
              <w:tc>
                <w:tcPr>
                  <w:tcW w:w="851" w:type="pct"/>
                  <w:tcBorders>
                    <w:top w:val="single" w:color="auto" w:sz="4" w:space="0"/>
                    <w:left w:val="single" w:color="auto" w:sz="4" w:space="0"/>
                    <w:bottom w:val="single" w:color="auto" w:sz="4" w:space="0"/>
                    <w:right w:val="single" w:color="auto" w:sz="4" w:space="0"/>
                  </w:tcBorders>
                  <w:noWrap w:val="0"/>
                  <w:vAlign w:val="center"/>
                </w:tcPr>
                <w:p w14:paraId="780A67CB">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ZX12-1000</w:t>
                  </w:r>
                </w:p>
              </w:tc>
              <w:tc>
                <w:tcPr>
                  <w:tcW w:w="482" w:type="pct"/>
                  <w:tcBorders>
                    <w:top w:val="single" w:color="auto" w:sz="4" w:space="0"/>
                    <w:left w:val="single" w:color="auto" w:sz="4" w:space="0"/>
                    <w:bottom w:val="single" w:color="auto" w:sz="4" w:space="0"/>
                    <w:right w:val="single" w:color="auto" w:sz="4" w:space="0"/>
                  </w:tcBorders>
                  <w:noWrap w:val="0"/>
                  <w:vAlign w:val="center"/>
                </w:tcPr>
                <w:p w14:paraId="655AC9CB">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0</w:t>
                  </w:r>
                </w:p>
              </w:tc>
              <w:tc>
                <w:tcPr>
                  <w:tcW w:w="545" w:type="pct"/>
                  <w:tcBorders>
                    <w:top w:val="single" w:color="auto" w:sz="4" w:space="0"/>
                    <w:left w:val="single" w:color="auto" w:sz="4" w:space="0"/>
                    <w:bottom w:val="single" w:color="auto" w:sz="4" w:space="0"/>
                    <w:right w:val="nil"/>
                  </w:tcBorders>
                  <w:noWrap w:val="0"/>
                  <w:vAlign w:val="center"/>
                </w:tcPr>
                <w:p w14:paraId="13C59922">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3</w:t>
                  </w:r>
                </w:p>
              </w:tc>
              <w:tc>
                <w:tcPr>
                  <w:tcW w:w="599" w:type="pct"/>
                  <w:tcBorders>
                    <w:top w:val="single" w:color="auto" w:sz="4" w:space="0"/>
                    <w:left w:val="single" w:color="auto" w:sz="4" w:space="0"/>
                    <w:bottom w:val="single" w:color="auto" w:sz="4" w:space="0"/>
                    <w:right w:val="nil"/>
                  </w:tcBorders>
                  <w:noWrap w:val="0"/>
                  <w:vAlign w:val="center"/>
                </w:tcPr>
                <w:p w14:paraId="54B0307B">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3</w:t>
                  </w:r>
                </w:p>
              </w:tc>
              <w:tc>
                <w:tcPr>
                  <w:tcW w:w="796" w:type="pct"/>
                  <w:tcBorders>
                    <w:top w:val="single" w:color="auto" w:sz="4" w:space="0"/>
                    <w:left w:val="single" w:color="auto" w:sz="4" w:space="0"/>
                    <w:bottom w:val="single" w:color="auto" w:sz="4" w:space="0"/>
                    <w:right w:val="nil"/>
                  </w:tcBorders>
                  <w:shd w:val="clear" w:color="auto" w:fill="auto"/>
                  <w:noWrap w:val="0"/>
                  <w:vAlign w:val="center"/>
                </w:tcPr>
                <w:p w14:paraId="650E1DBF">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肉产品产线</w:t>
                  </w:r>
                </w:p>
              </w:tc>
              <w:tc>
                <w:tcPr>
                  <w:tcW w:w="252" w:type="pct"/>
                  <w:vMerge w:val="continue"/>
                  <w:tcBorders>
                    <w:top w:val="single" w:color="auto" w:sz="4" w:space="0"/>
                    <w:left w:val="single" w:color="auto" w:sz="4" w:space="0"/>
                    <w:bottom w:val="single" w:color="auto" w:sz="4" w:space="0"/>
                    <w:right w:val="nil"/>
                  </w:tcBorders>
                  <w:noWrap w:val="0"/>
                  <w:vAlign w:val="center"/>
                </w:tcPr>
                <w:p w14:paraId="13D42CB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yellow"/>
                    </w:rPr>
                  </w:pPr>
                </w:p>
              </w:tc>
            </w:tr>
            <w:tr w14:paraId="13ACF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365" w:type="pct"/>
                  <w:tcBorders>
                    <w:top w:val="single" w:color="auto" w:sz="4" w:space="0"/>
                    <w:left w:val="nil"/>
                    <w:bottom w:val="single" w:color="auto" w:sz="4" w:space="0"/>
                    <w:right w:val="single" w:color="auto" w:sz="4" w:space="0"/>
                  </w:tcBorders>
                  <w:shd w:val="clear" w:color="auto" w:fill="auto"/>
                  <w:noWrap w:val="0"/>
                  <w:vAlign w:val="center"/>
                </w:tcPr>
                <w:p w14:paraId="5E05D522">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23</w:t>
                  </w:r>
                </w:p>
              </w:tc>
              <w:tc>
                <w:tcPr>
                  <w:tcW w:w="1106" w:type="pct"/>
                  <w:tcBorders>
                    <w:top w:val="single" w:color="auto" w:sz="4" w:space="0"/>
                    <w:left w:val="single" w:color="auto" w:sz="4" w:space="0"/>
                    <w:bottom w:val="single" w:color="auto" w:sz="4" w:space="0"/>
                    <w:right w:val="single" w:color="auto" w:sz="4" w:space="0"/>
                  </w:tcBorders>
                  <w:noWrap w:val="0"/>
                  <w:vAlign w:val="center"/>
                </w:tcPr>
                <w:p w14:paraId="7A52F102">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多头秤</w:t>
                  </w:r>
                </w:p>
              </w:tc>
              <w:tc>
                <w:tcPr>
                  <w:tcW w:w="851" w:type="pct"/>
                  <w:tcBorders>
                    <w:top w:val="single" w:color="auto" w:sz="4" w:space="0"/>
                    <w:left w:val="single" w:color="auto" w:sz="4" w:space="0"/>
                    <w:bottom w:val="single" w:color="auto" w:sz="4" w:space="0"/>
                    <w:right w:val="single" w:color="auto" w:sz="4" w:space="0"/>
                  </w:tcBorders>
                  <w:noWrap w:val="0"/>
                  <w:vAlign w:val="center"/>
                </w:tcPr>
                <w:p w14:paraId="53A7B47A">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3w</w:t>
                  </w:r>
                </w:p>
              </w:tc>
              <w:tc>
                <w:tcPr>
                  <w:tcW w:w="482" w:type="pct"/>
                  <w:tcBorders>
                    <w:top w:val="single" w:color="auto" w:sz="4" w:space="0"/>
                    <w:left w:val="single" w:color="auto" w:sz="4" w:space="0"/>
                    <w:bottom w:val="single" w:color="auto" w:sz="4" w:space="0"/>
                    <w:right w:val="single" w:color="auto" w:sz="4" w:space="0"/>
                  </w:tcBorders>
                  <w:noWrap w:val="0"/>
                  <w:vAlign w:val="center"/>
                </w:tcPr>
                <w:p w14:paraId="1DF99598">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0</w:t>
                  </w:r>
                </w:p>
              </w:tc>
              <w:tc>
                <w:tcPr>
                  <w:tcW w:w="545" w:type="pct"/>
                  <w:tcBorders>
                    <w:top w:val="single" w:color="auto" w:sz="4" w:space="0"/>
                    <w:left w:val="single" w:color="auto" w:sz="4" w:space="0"/>
                    <w:bottom w:val="single" w:color="auto" w:sz="4" w:space="0"/>
                    <w:right w:val="nil"/>
                  </w:tcBorders>
                  <w:noWrap w:val="0"/>
                  <w:vAlign w:val="center"/>
                </w:tcPr>
                <w:p w14:paraId="45BEA580">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1</w:t>
                  </w:r>
                </w:p>
              </w:tc>
              <w:tc>
                <w:tcPr>
                  <w:tcW w:w="599" w:type="pct"/>
                  <w:tcBorders>
                    <w:top w:val="single" w:color="auto" w:sz="4" w:space="0"/>
                    <w:left w:val="single" w:color="auto" w:sz="4" w:space="0"/>
                    <w:bottom w:val="single" w:color="auto" w:sz="4" w:space="0"/>
                    <w:right w:val="nil"/>
                  </w:tcBorders>
                  <w:noWrap w:val="0"/>
                  <w:vAlign w:val="center"/>
                </w:tcPr>
                <w:p w14:paraId="1F86B66E">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1</w:t>
                  </w:r>
                </w:p>
              </w:tc>
              <w:tc>
                <w:tcPr>
                  <w:tcW w:w="796" w:type="pct"/>
                  <w:tcBorders>
                    <w:top w:val="single" w:color="auto" w:sz="4" w:space="0"/>
                    <w:left w:val="single" w:color="auto" w:sz="4" w:space="0"/>
                    <w:bottom w:val="single" w:color="auto" w:sz="4" w:space="0"/>
                    <w:right w:val="nil"/>
                  </w:tcBorders>
                  <w:shd w:val="clear" w:color="auto" w:fill="auto"/>
                  <w:noWrap w:val="0"/>
                  <w:vAlign w:val="center"/>
                </w:tcPr>
                <w:p w14:paraId="06F6C258">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肉产品产线</w:t>
                  </w:r>
                </w:p>
              </w:tc>
              <w:tc>
                <w:tcPr>
                  <w:tcW w:w="252" w:type="pct"/>
                  <w:vMerge w:val="continue"/>
                  <w:tcBorders>
                    <w:top w:val="single" w:color="auto" w:sz="4" w:space="0"/>
                    <w:left w:val="single" w:color="auto" w:sz="4" w:space="0"/>
                    <w:bottom w:val="single" w:color="auto" w:sz="4" w:space="0"/>
                    <w:right w:val="nil"/>
                  </w:tcBorders>
                  <w:noWrap w:val="0"/>
                  <w:vAlign w:val="center"/>
                </w:tcPr>
                <w:p w14:paraId="4BB354B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yellow"/>
                    </w:rPr>
                  </w:pPr>
                </w:p>
              </w:tc>
            </w:tr>
            <w:tr w14:paraId="630B8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365" w:type="pct"/>
                  <w:tcBorders>
                    <w:top w:val="single" w:color="auto" w:sz="4" w:space="0"/>
                    <w:left w:val="nil"/>
                    <w:bottom w:val="single" w:color="auto" w:sz="4" w:space="0"/>
                    <w:right w:val="single" w:color="auto" w:sz="4" w:space="0"/>
                  </w:tcBorders>
                  <w:shd w:val="clear" w:color="auto" w:fill="auto"/>
                  <w:noWrap w:val="0"/>
                  <w:vAlign w:val="center"/>
                </w:tcPr>
                <w:p w14:paraId="4E6191BE">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24</w:t>
                  </w:r>
                </w:p>
              </w:tc>
              <w:tc>
                <w:tcPr>
                  <w:tcW w:w="1106" w:type="pct"/>
                  <w:tcBorders>
                    <w:top w:val="single" w:color="auto" w:sz="4" w:space="0"/>
                    <w:left w:val="single" w:color="auto" w:sz="4" w:space="0"/>
                    <w:bottom w:val="single" w:color="auto" w:sz="4" w:space="0"/>
                    <w:right w:val="single" w:color="auto" w:sz="4" w:space="0"/>
                  </w:tcBorders>
                  <w:noWrap w:val="0"/>
                  <w:vAlign w:val="center"/>
                </w:tcPr>
                <w:p w14:paraId="21DEDEC5">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给袋式包装灌装机</w:t>
                  </w:r>
                </w:p>
              </w:tc>
              <w:tc>
                <w:tcPr>
                  <w:tcW w:w="851" w:type="pct"/>
                  <w:tcBorders>
                    <w:top w:val="single" w:color="auto" w:sz="4" w:space="0"/>
                    <w:left w:val="single" w:color="auto" w:sz="4" w:space="0"/>
                    <w:bottom w:val="single" w:color="auto" w:sz="4" w:space="0"/>
                    <w:right w:val="single" w:color="auto" w:sz="4" w:space="0"/>
                  </w:tcBorders>
                  <w:noWrap w:val="0"/>
                  <w:vAlign w:val="center"/>
                </w:tcPr>
                <w:p w14:paraId="684BD81F">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15w</w:t>
                  </w:r>
                </w:p>
              </w:tc>
              <w:tc>
                <w:tcPr>
                  <w:tcW w:w="482" w:type="pct"/>
                  <w:tcBorders>
                    <w:top w:val="single" w:color="auto" w:sz="4" w:space="0"/>
                    <w:left w:val="single" w:color="auto" w:sz="4" w:space="0"/>
                    <w:bottom w:val="single" w:color="auto" w:sz="4" w:space="0"/>
                    <w:right w:val="single" w:color="auto" w:sz="4" w:space="0"/>
                  </w:tcBorders>
                  <w:noWrap w:val="0"/>
                  <w:vAlign w:val="center"/>
                </w:tcPr>
                <w:p w14:paraId="7DCF54E1">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0</w:t>
                  </w:r>
                </w:p>
              </w:tc>
              <w:tc>
                <w:tcPr>
                  <w:tcW w:w="545" w:type="pct"/>
                  <w:tcBorders>
                    <w:top w:val="single" w:color="auto" w:sz="4" w:space="0"/>
                    <w:left w:val="single" w:color="auto" w:sz="4" w:space="0"/>
                    <w:bottom w:val="single" w:color="auto" w:sz="4" w:space="0"/>
                    <w:right w:val="nil"/>
                  </w:tcBorders>
                  <w:noWrap w:val="0"/>
                  <w:vAlign w:val="center"/>
                </w:tcPr>
                <w:p w14:paraId="1294B332">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1</w:t>
                  </w:r>
                </w:p>
              </w:tc>
              <w:tc>
                <w:tcPr>
                  <w:tcW w:w="599" w:type="pct"/>
                  <w:tcBorders>
                    <w:top w:val="single" w:color="auto" w:sz="4" w:space="0"/>
                    <w:left w:val="single" w:color="auto" w:sz="4" w:space="0"/>
                    <w:bottom w:val="single" w:color="auto" w:sz="4" w:space="0"/>
                    <w:right w:val="nil"/>
                  </w:tcBorders>
                  <w:noWrap w:val="0"/>
                  <w:vAlign w:val="center"/>
                </w:tcPr>
                <w:p w14:paraId="52F85FEC">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1</w:t>
                  </w:r>
                </w:p>
              </w:tc>
              <w:tc>
                <w:tcPr>
                  <w:tcW w:w="796" w:type="pct"/>
                  <w:tcBorders>
                    <w:top w:val="single" w:color="auto" w:sz="4" w:space="0"/>
                    <w:left w:val="single" w:color="auto" w:sz="4" w:space="0"/>
                    <w:bottom w:val="single" w:color="auto" w:sz="4" w:space="0"/>
                    <w:right w:val="nil"/>
                  </w:tcBorders>
                  <w:shd w:val="clear" w:color="auto" w:fill="auto"/>
                  <w:noWrap w:val="0"/>
                  <w:vAlign w:val="center"/>
                </w:tcPr>
                <w:p w14:paraId="4C7CCD57">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肉产品产线</w:t>
                  </w:r>
                </w:p>
              </w:tc>
              <w:tc>
                <w:tcPr>
                  <w:tcW w:w="252" w:type="pct"/>
                  <w:vMerge w:val="continue"/>
                  <w:tcBorders>
                    <w:top w:val="single" w:color="auto" w:sz="4" w:space="0"/>
                    <w:left w:val="single" w:color="auto" w:sz="4" w:space="0"/>
                    <w:bottom w:val="single" w:color="auto" w:sz="4" w:space="0"/>
                    <w:right w:val="nil"/>
                  </w:tcBorders>
                  <w:noWrap w:val="0"/>
                  <w:vAlign w:val="center"/>
                </w:tcPr>
                <w:p w14:paraId="49EB188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yellow"/>
                    </w:rPr>
                  </w:pPr>
                </w:p>
              </w:tc>
            </w:tr>
            <w:tr w14:paraId="56700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365" w:type="pct"/>
                  <w:tcBorders>
                    <w:top w:val="single" w:color="auto" w:sz="4" w:space="0"/>
                    <w:left w:val="nil"/>
                    <w:bottom w:val="single" w:color="auto" w:sz="4" w:space="0"/>
                    <w:right w:val="single" w:color="auto" w:sz="4" w:space="0"/>
                  </w:tcBorders>
                  <w:shd w:val="clear" w:color="auto" w:fill="auto"/>
                  <w:noWrap w:val="0"/>
                  <w:vAlign w:val="center"/>
                </w:tcPr>
                <w:p w14:paraId="52A6139E">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25</w:t>
                  </w:r>
                </w:p>
              </w:tc>
              <w:tc>
                <w:tcPr>
                  <w:tcW w:w="1106" w:type="pct"/>
                  <w:tcBorders>
                    <w:top w:val="single" w:color="auto" w:sz="4" w:space="0"/>
                    <w:left w:val="single" w:color="auto" w:sz="4" w:space="0"/>
                    <w:bottom w:val="single" w:color="auto" w:sz="4" w:space="0"/>
                    <w:right w:val="single" w:color="auto" w:sz="4" w:space="0"/>
                  </w:tcBorders>
                  <w:noWrap w:val="0"/>
                  <w:vAlign w:val="center"/>
                </w:tcPr>
                <w:p w14:paraId="66D389B5">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金探</w:t>
                  </w:r>
                </w:p>
              </w:tc>
              <w:tc>
                <w:tcPr>
                  <w:tcW w:w="851" w:type="pct"/>
                  <w:tcBorders>
                    <w:top w:val="single" w:color="auto" w:sz="4" w:space="0"/>
                    <w:left w:val="single" w:color="auto" w:sz="4" w:space="0"/>
                    <w:bottom w:val="single" w:color="auto" w:sz="4" w:space="0"/>
                    <w:right w:val="single" w:color="auto" w:sz="4" w:space="0"/>
                  </w:tcBorders>
                  <w:noWrap w:val="0"/>
                  <w:vAlign w:val="center"/>
                </w:tcPr>
                <w:p w14:paraId="318093FF">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0.35w</w:t>
                  </w:r>
                </w:p>
              </w:tc>
              <w:tc>
                <w:tcPr>
                  <w:tcW w:w="482" w:type="pct"/>
                  <w:tcBorders>
                    <w:top w:val="single" w:color="auto" w:sz="4" w:space="0"/>
                    <w:left w:val="single" w:color="auto" w:sz="4" w:space="0"/>
                    <w:bottom w:val="single" w:color="auto" w:sz="4" w:space="0"/>
                    <w:right w:val="single" w:color="auto" w:sz="4" w:space="0"/>
                  </w:tcBorders>
                  <w:noWrap w:val="0"/>
                  <w:vAlign w:val="center"/>
                </w:tcPr>
                <w:p w14:paraId="314456A1">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0</w:t>
                  </w:r>
                </w:p>
              </w:tc>
              <w:tc>
                <w:tcPr>
                  <w:tcW w:w="545" w:type="pct"/>
                  <w:tcBorders>
                    <w:top w:val="single" w:color="auto" w:sz="4" w:space="0"/>
                    <w:left w:val="single" w:color="auto" w:sz="4" w:space="0"/>
                    <w:bottom w:val="single" w:color="auto" w:sz="4" w:space="0"/>
                    <w:right w:val="nil"/>
                  </w:tcBorders>
                  <w:noWrap w:val="0"/>
                  <w:vAlign w:val="center"/>
                </w:tcPr>
                <w:p w14:paraId="652EB542">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1</w:t>
                  </w:r>
                </w:p>
              </w:tc>
              <w:tc>
                <w:tcPr>
                  <w:tcW w:w="599" w:type="pct"/>
                  <w:tcBorders>
                    <w:top w:val="single" w:color="auto" w:sz="4" w:space="0"/>
                    <w:left w:val="single" w:color="auto" w:sz="4" w:space="0"/>
                    <w:bottom w:val="single" w:color="auto" w:sz="4" w:space="0"/>
                    <w:right w:val="nil"/>
                  </w:tcBorders>
                  <w:noWrap w:val="0"/>
                  <w:vAlign w:val="center"/>
                </w:tcPr>
                <w:p w14:paraId="76F33571">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1</w:t>
                  </w:r>
                </w:p>
              </w:tc>
              <w:tc>
                <w:tcPr>
                  <w:tcW w:w="796" w:type="pct"/>
                  <w:tcBorders>
                    <w:top w:val="single" w:color="auto" w:sz="4" w:space="0"/>
                    <w:left w:val="single" w:color="auto" w:sz="4" w:space="0"/>
                    <w:bottom w:val="single" w:color="auto" w:sz="4" w:space="0"/>
                    <w:right w:val="nil"/>
                  </w:tcBorders>
                  <w:shd w:val="clear" w:color="auto" w:fill="auto"/>
                  <w:noWrap w:val="0"/>
                  <w:vAlign w:val="center"/>
                </w:tcPr>
                <w:p w14:paraId="7B062626">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肉产品产线</w:t>
                  </w:r>
                </w:p>
              </w:tc>
              <w:tc>
                <w:tcPr>
                  <w:tcW w:w="252" w:type="pct"/>
                  <w:vMerge w:val="continue"/>
                  <w:tcBorders>
                    <w:top w:val="single" w:color="auto" w:sz="4" w:space="0"/>
                    <w:left w:val="single" w:color="auto" w:sz="4" w:space="0"/>
                    <w:bottom w:val="single" w:color="auto" w:sz="4" w:space="0"/>
                    <w:right w:val="nil"/>
                  </w:tcBorders>
                  <w:noWrap w:val="0"/>
                  <w:vAlign w:val="center"/>
                </w:tcPr>
                <w:p w14:paraId="3A6A0C1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yellow"/>
                    </w:rPr>
                  </w:pPr>
                </w:p>
              </w:tc>
            </w:tr>
            <w:tr w14:paraId="6D045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365" w:type="pct"/>
                  <w:tcBorders>
                    <w:top w:val="single" w:color="auto" w:sz="4" w:space="0"/>
                    <w:left w:val="nil"/>
                    <w:bottom w:val="single" w:color="auto" w:sz="4" w:space="0"/>
                    <w:right w:val="single" w:color="auto" w:sz="4" w:space="0"/>
                  </w:tcBorders>
                  <w:shd w:val="clear" w:color="auto" w:fill="auto"/>
                  <w:noWrap w:val="0"/>
                  <w:vAlign w:val="center"/>
                </w:tcPr>
                <w:p w14:paraId="28B7A442">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26</w:t>
                  </w:r>
                </w:p>
              </w:tc>
              <w:tc>
                <w:tcPr>
                  <w:tcW w:w="1106" w:type="pct"/>
                  <w:tcBorders>
                    <w:top w:val="single" w:color="auto" w:sz="4" w:space="0"/>
                    <w:left w:val="single" w:color="auto" w:sz="4" w:space="0"/>
                    <w:bottom w:val="single" w:color="auto" w:sz="4" w:space="0"/>
                    <w:right w:val="single" w:color="auto" w:sz="4" w:space="0"/>
                  </w:tcBorders>
                  <w:noWrap w:val="0"/>
                  <w:vAlign w:val="center"/>
                </w:tcPr>
                <w:p w14:paraId="4C8F38C5">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X光机</w:t>
                  </w:r>
                </w:p>
              </w:tc>
              <w:tc>
                <w:tcPr>
                  <w:tcW w:w="851" w:type="pct"/>
                  <w:tcBorders>
                    <w:top w:val="single" w:color="auto" w:sz="4" w:space="0"/>
                    <w:left w:val="single" w:color="auto" w:sz="4" w:space="0"/>
                    <w:bottom w:val="single" w:color="auto" w:sz="4" w:space="0"/>
                    <w:right w:val="single" w:color="auto" w:sz="4" w:space="0"/>
                  </w:tcBorders>
                  <w:noWrap w:val="0"/>
                  <w:vAlign w:val="center"/>
                </w:tcPr>
                <w:p w14:paraId="514E81B9">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1.5w</w:t>
                  </w:r>
                </w:p>
              </w:tc>
              <w:tc>
                <w:tcPr>
                  <w:tcW w:w="482" w:type="pct"/>
                  <w:tcBorders>
                    <w:top w:val="single" w:color="auto" w:sz="4" w:space="0"/>
                    <w:left w:val="single" w:color="auto" w:sz="4" w:space="0"/>
                    <w:bottom w:val="single" w:color="auto" w:sz="4" w:space="0"/>
                    <w:right w:val="single" w:color="auto" w:sz="4" w:space="0"/>
                  </w:tcBorders>
                  <w:noWrap w:val="0"/>
                  <w:vAlign w:val="center"/>
                </w:tcPr>
                <w:p w14:paraId="7A931F3F">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0</w:t>
                  </w:r>
                </w:p>
              </w:tc>
              <w:tc>
                <w:tcPr>
                  <w:tcW w:w="545" w:type="pct"/>
                  <w:tcBorders>
                    <w:top w:val="single" w:color="auto" w:sz="4" w:space="0"/>
                    <w:left w:val="single" w:color="auto" w:sz="4" w:space="0"/>
                    <w:bottom w:val="single" w:color="auto" w:sz="4" w:space="0"/>
                    <w:right w:val="nil"/>
                  </w:tcBorders>
                  <w:noWrap w:val="0"/>
                  <w:vAlign w:val="center"/>
                </w:tcPr>
                <w:p w14:paraId="7D0508E8">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1</w:t>
                  </w:r>
                </w:p>
              </w:tc>
              <w:tc>
                <w:tcPr>
                  <w:tcW w:w="599" w:type="pct"/>
                  <w:tcBorders>
                    <w:top w:val="single" w:color="auto" w:sz="4" w:space="0"/>
                    <w:left w:val="single" w:color="auto" w:sz="4" w:space="0"/>
                    <w:bottom w:val="single" w:color="auto" w:sz="4" w:space="0"/>
                    <w:right w:val="nil"/>
                  </w:tcBorders>
                  <w:noWrap w:val="0"/>
                  <w:vAlign w:val="center"/>
                </w:tcPr>
                <w:p w14:paraId="46D8F5D9">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1</w:t>
                  </w:r>
                </w:p>
              </w:tc>
              <w:tc>
                <w:tcPr>
                  <w:tcW w:w="796" w:type="pct"/>
                  <w:tcBorders>
                    <w:top w:val="single" w:color="auto" w:sz="4" w:space="0"/>
                    <w:left w:val="single" w:color="auto" w:sz="4" w:space="0"/>
                    <w:bottom w:val="single" w:color="auto" w:sz="4" w:space="0"/>
                    <w:right w:val="nil"/>
                  </w:tcBorders>
                  <w:shd w:val="clear" w:color="auto" w:fill="auto"/>
                  <w:noWrap w:val="0"/>
                  <w:vAlign w:val="center"/>
                </w:tcPr>
                <w:p w14:paraId="1D28B809">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肉产品产线</w:t>
                  </w:r>
                </w:p>
              </w:tc>
              <w:tc>
                <w:tcPr>
                  <w:tcW w:w="252" w:type="pct"/>
                  <w:vMerge w:val="continue"/>
                  <w:tcBorders>
                    <w:top w:val="single" w:color="auto" w:sz="4" w:space="0"/>
                    <w:left w:val="single" w:color="auto" w:sz="4" w:space="0"/>
                    <w:bottom w:val="single" w:color="auto" w:sz="4" w:space="0"/>
                    <w:right w:val="nil"/>
                  </w:tcBorders>
                  <w:noWrap w:val="0"/>
                  <w:vAlign w:val="center"/>
                </w:tcPr>
                <w:p w14:paraId="41A5F35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yellow"/>
                    </w:rPr>
                  </w:pPr>
                </w:p>
              </w:tc>
            </w:tr>
            <w:tr w14:paraId="30AA7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365" w:type="pct"/>
                  <w:tcBorders>
                    <w:top w:val="single" w:color="auto" w:sz="4" w:space="0"/>
                    <w:left w:val="nil"/>
                    <w:bottom w:val="single" w:color="auto" w:sz="4" w:space="0"/>
                    <w:right w:val="single" w:color="auto" w:sz="4" w:space="0"/>
                  </w:tcBorders>
                  <w:shd w:val="clear" w:color="auto" w:fill="auto"/>
                  <w:noWrap w:val="0"/>
                  <w:vAlign w:val="center"/>
                </w:tcPr>
                <w:p w14:paraId="5EDA78FC">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27</w:t>
                  </w:r>
                </w:p>
              </w:tc>
              <w:tc>
                <w:tcPr>
                  <w:tcW w:w="1106" w:type="pct"/>
                  <w:tcBorders>
                    <w:top w:val="single" w:color="auto" w:sz="4" w:space="0"/>
                    <w:left w:val="single" w:color="auto" w:sz="4" w:space="0"/>
                    <w:bottom w:val="single" w:color="auto" w:sz="4" w:space="0"/>
                    <w:right w:val="single" w:color="auto" w:sz="4" w:space="0"/>
                  </w:tcBorders>
                  <w:noWrap w:val="0"/>
                  <w:vAlign w:val="center"/>
                </w:tcPr>
                <w:p w14:paraId="71D6DB92">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杀菌釜</w:t>
                  </w:r>
                </w:p>
              </w:tc>
              <w:tc>
                <w:tcPr>
                  <w:tcW w:w="851" w:type="pct"/>
                  <w:tcBorders>
                    <w:top w:val="single" w:color="auto" w:sz="4" w:space="0"/>
                    <w:left w:val="single" w:color="auto" w:sz="4" w:space="0"/>
                    <w:bottom w:val="single" w:color="auto" w:sz="4" w:space="0"/>
                    <w:right w:val="single" w:color="auto" w:sz="4" w:space="0"/>
                  </w:tcBorders>
                  <w:noWrap w:val="0"/>
                  <w:vAlign w:val="center"/>
                </w:tcPr>
                <w:p w14:paraId="45EA558B">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144w</w:t>
                  </w:r>
                </w:p>
              </w:tc>
              <w:tc>
                <w:tcPr>
                  <w:tcW w:w="482" w:type="pct"/>
                  <w:tcBorders>
                    <w:top w:val="single" w:color="auto" w:sz="4" w:space="0"/>
                    <w:left w:val="single" w:color="auto" w:sz="4" w:space="0"/>
                    <w:bottom w:val="single" w:color="auto" w:sz="4" w:space="0"/>
                    <w:right w:val="single" w:color="auto" w:sz="4" w:space="0"/>
                  </w:tcBorders>
                  <w:noWrap w:val="0"/>
                  <w:vAlign w:val="center"/>
                </w:tcPr>
                <w:p w14:paraId="7BEDD4B5">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0</w:t>
                  </w:r>
                </w:p>
              </w:tc>
              <w:tc>
                <w:tcPr>
                  <w:tcW w:w="545" w:type="pct"/>
                  <w:tcBorders>
                    <w:top w:val="single" w:color="auto" w:sz="4" w:space="0"/>
                    <w:left w:val="single" w:color="auto" w:sz="4" w:space="0"/>
                    <w:bottom w:val="single" w:color="auto" w:sz="4" w:space="0"/>
                    <w:right w:val="nil"/>
                  </w:tcBorders>
                  <w:noWrap w:val="0"/>
                  <w:vAlign w:val="center"/>
                </w:tcPr>
                <w:p w14:paraId="022FC0FD">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3</w:t>
                  </w:r>
                </w:p>
              </w:tc>
              <w:tc>
                <w:tcPr>
                  <w:tcW w:w="599" w:type="pct"/>
                  <w:tcBorders>
                    <w:top w:val="single" w:color="auto" w:sz="4" w:space="0"/>
                    <w:left w:val="single" w:color="auto" w:sz="4" w:space="0"/>
                    <w:bottom w:val="single" w:color="auto" w:sz="4" w:space="0"/>
                    <w:right w:val="nil"/>
                  </w:tcBorders>
                  <w:noWrap w:val="0"/>
                  <w:vAlign w:val="center"/>
                </w:tcPr>
                <w:p w14:paraId="3391D016">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3</w:t>
                  </w:r>
                </w:p>
              </w:tc>
              <w:tc>
                <w:tcPr>
                  <w:tcW w:w="796" w:type="pct"/>
                  <w:tcBorders>
                    <w:top w:val="single" w:color="auto" w:sz="4" w:space="0"/>
                    <w:left w:val="single" w:color="auto" w:sz="4" w:space="0"/>
                    <w:bottom w:val="single" w:color="auto" w:sz="4" w:space="0"/>
                    <w:right w:val="nil"/>
                  </w:tcBorders>
                  <w:shd w:val="clear" w:color="auto" w:fill="auto"/>
                  <w:noWrap w:val="0"/>
                  <w:vAlign w:val="center"/>
                </w:tcPr>
                <w:p w14:paraId="7E784748">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肉产品产线</w:t>
                  </w:r>
                </w:p>
              </w:tc>
              <w:tc>
                <w:tcPr>
                  <w:tcW w:w="252" w:type="pct"/>
                  <w:vMerge w:val="continue"/>
                  <w:tcBorders>
                    <w:top w:val="single" w:color="auto" w:sz="4" w:space="0"/>
                    <w:left w:val="single" w:color="auto" w:sz="4" w:space="0"/>
                    <w:bottom w:val="single" w:color="auto" w:sz="4" w:space="0"/>
                    <w:right w:val="nil"/>
                  </w:tcBorders>
                  <w:noWrap w:val="0"/>
                  <w:vAlign w:val="center"/>
                </w:tcPr>
                <w:p w14:paraId="37D480C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yellow"/>
                    </w:rPr>
                  </w:pPr>
                </w:p>
              </w:tc>
            </w:tr>
            <w:tr w14:paraId="1A638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365" w:type="pct"/>
                  <w:tcBorders>
                    <w:top w:val="single" w:color="auto" w:sz="4" w:space="0"/>
                    <w:left w:val="nil"/>
                    <w:bottom w:val="single" w:color="auto" w:sz="4" w:space="0"/>
                    <w:right w:val="single" w:color="auto" w:sz="4" w:space="0"/>
                  </w:tcBorders>
                  <w:shd w:val="clear" w:color="auto" w:fill="auto"/>
                  <w:noWrap w:val="0"/>
                  <w:vAlign w:val="center"/>
                </w:tcPr>
                <w:p w14:paraId="4A65ED9C">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28</w:t>
                  </w:r>
                </w:p>
              </w:tc>
              <w:tc>
                <w:tcPr>
                  <w:tcW w:w="1106" w:type="pct"/>
                  <w:tcBorders>
                    <w:top w:val="single" w:color="auto" w:sz="4" w:space="0"/>
                    <w:left w:val="single" w:color="auto" w:sz="4" w:space="0"/>
                    <w:bottom w:val="single" w:color="auto" w:sz="4" w:space="0"/>
                    <w:right w:val="single" w:color="auto" w:sz="4" w:space="0"/>
                  </w:tcBorders>
                  <w:noWrap w:val="0"/>
                  <w:vAlign w:val="center"/>
                </w:tcPr>
                <w:p w14:paraId="08B8C8E6">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切菜机</w:t>
                  </w:r>
                </w:p>
              </w:tc>
              <w:tc>
                <w:tcPr>
                  <w:tcW w:w="851" w:type="pct"/>
                  <w:tcBorders>
                    <w:top w:val="single" w:color="auto" w:sz="4" w:space="0"/>
                    <w:left w:val="single" w:color="auto" w:sz="4" w:space="0"/>
                    <w:bottom w:val="single" w:color="auto" w:sz="4" w:space="0"/>
                    <w:right w:val="single" w:color="auto" w:sz="4" w:space="0"/>
                  </w:tcBorders>
                  <w:noWrap w:val="0"/>
                  <w:vAlign w:val="center"/>
                </w:tcPr>
                <w:p w14:paraId="61A23261">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2.2w</w:t>
                  </w:r>
                </w:p>
              </w:tc>
              <w:tc>
                <w:tcPr>
                  <w:tcW w:w="482" w:type="pct"/>
                  <w:tcBorders>
                    <w:top w:val="single" w:color="auto" w:sz="4" w:space="0"/>
                    <w:left w:val="single" w:color="auto" w:sz="4" w:space="0"/>
                    <w:bottom w:val="single" w:color="auto" w:sz="4" w:space="0"/>
                    <w:right w:val="single" w:color="auto" w:sz="4" w:space="0"/>
                  </w:tcBorders>
                  <w:noWrap w:val="0"/>
                  <w:vAlign w:val="center"/>
                </w:tcPr>
                <w:p w14:paraId="7BE875BF">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0</w:t>
                  </w:r>
                </w:p>
              </w:tc>
              <w:tc>
                <w:tcPr>
                  <w:tcW w:w="545" w:type="pct"/>
                  <w:tcBorders>
                    <w:top w:val="single" w:color="auto" w:sz="4" w:space="0"/>
                    <w:left w:val="single" w:color="auto" w:sz="4" w:space="0"/>
                    <w:bottom w:val="single" w:color="auto" w:sz="4" w:space="0"/>
                    <w:right w:val="nil"/>
                  </w:tcBorders>
                  <w:noWrap w:val="0"/>
                  <w:vAlign w:val="center"/>
                </w:tcPr>
                <w:p w14:paraId="00DB0991">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1</w:t>
                  </w:r>
                </w:p>
              </w:tc>
              <w:tc>
                <w:tcPr>
                  <w:tcW w:w="599" w:type="pct"/>
                  <w:tcBorders>
                    <w:top w:val="single" w:color="auto" w:sz="4" w:space="0"/>
                    <w:left w:val="single" w:color="auto" w:sz="4" w:space="0"/>
                    <w:bottom w:val="single" w:color="auto" w:sz="4" w:space="0"/>
                    <w:right w:val="nil"/>
                  </w:tcBorders>
                  <w:noWrap w:val="0"/>
                  <w:vAlign w:val="center"/>
                </w:tcPr>
                <w:p w14:paraId="099DA454">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1</w:t>
                  </w:r>
                </w:p>
              </w:tc>
              <w:tc>
                <w:tcPr>
                  <w:tcW w:w="796" w:type="pct"/>
                  <w:tcBorders>
                    <w:top w:val="single" w:color="auto" w:sz="4" w:space="0"/>
                    <w:left w:val="single" w:color="auto" w:sz="4" w:space="0"/>
                    <w:bottom w:val="single" w:color="auto" w:sz="4" w:space="0"/>
                    <w:right w:val="nil"/>
                  </w:tcBorders>
                  <w:shd w:val="clear" w:color="auto" w:fill="auto"/>
                  <w:noWrap w:val="0"/>
                  <w:vAlign w:val="center"/>
                </w:tcPr>
                <w:p w14:paraId="290BD5B9">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藻类产线</w:t>
                  </w:r>
                </w:p>
              </w:tc>
              <w:tc>
                <w:tcPr>
                  <w:tcW w:w="252" w:type="pct"/>
                  <w:vMerge w:val="continue"/>
                  <w:tcBorders>
                    <w:top w:val="single" w:color="auto" w:sz="4" w:space="0"/>
                    <w:left w:val="single" w:color="auto" w:sz="4" w:space="0"/>
                    <w:bottom w:val="single" w:color="auto" w:sz="4" w:space="0"/>
                    <w:right w:val="nil"/>
                  </w:tcBorders>
                  <w:noWrap w:val="0"/>
                  <w:vAlign w:val="center"/>
                </w:tcPr>
                <w:p w14:paraId="168F2AB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yellow"/>
                    </w:rPr>
                  </w:pPr>
                </w:p>
              </w:tc>
            </w:tr>
            <w:tr w14:paraId="7557D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365" w:type="pct"/>
                  <w:tcBorders>
                    <w:top w:val="single" w:color="auto" w:sz="4" w:space="0"/>
                    <w:left w:val="nil"/>
                    <w:bottom w:val="single" w:color="auto" w:sz="4" w:space="0"/>
                    <w:right w:val="single" w:color="auto" w:sz="4" w:space="0"/>
                  </w:tcBorders>
                  <w:shd w:val="clear" w:color="auto" w:fill="auto"/>
                  <w:noWrap w:val="0"/>
                  <w:vAlign w:val="center"/>
                </w:tcPr>
                <w:p w14:paraId="0F66B5E0">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29</w:t>
                  </w:r>
                </w:p>
              </w:tc>
              <w:tc>
                <w:tcPr>
                  <w:tcW w:w="1106" w:type="pct"/>
                  <w:tcBorders>
                    <w:top w:val="single" w:color="auto" w:sz="4" w:space="0"/>
                    <w:left w:val="single" w:color="auto" w:sz="4" w:space="0"/>
                    <w:bottom w:val="single" w:color="auto" w:sz="4" w:space="0"/>
                    <w:right w:val="single" w:color="auto" w:sz="4" w:space="0"/>
                  </w:tcBorders>
                  <w:noWrap w:val="0"/>
                  <w:vAlign w:val="center"/>
                </w:tcPr>
                <w:p w14:paraId="2652B26C">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脱水机</w:t>
                  </w:r>
                </w:p>
              </w:tc>
              <w:tc>
                <w:tcPr>
                  <w:tcW w:w="851" w:type="pct"/>
                  <w:tcBorders>
                    <w:top w:val="single" w:color="auto" w:sz="4" w:space="0"/>
                    <w:left w:val="single" w:color="auto" w:sz="4" w:space="0"/>
                    <w:bottom w:val="single" w:color="auto" w:sz="4" w:space="0"/>
                    <w:right w:val="single" w:color="auto" w:sz="4" w:space="0"/>
                  </w:tcBorders>
                  <w:noWrap w:val="0"/>
                  <w:vAlign w:val="center"/>
                </w:tcPr>
                <w:p w14:paraId="0A56776D">
                  <w:pPr>
                    <w:adjustRightInd w:val="0"/>
                    <w:snapToGrid w:val="0"/>
                    <w:jc w:val="center"/>
                    <w:rPr>
                      <w:rFonts w:hint="default" w:ascii="Times New Roman" w:hAnsi="Times New Roman" w:eastAsia="宋体" w:cs="Times New Roman"/>
                      <w:b w:val="0"/>
                      <w:bCs/>
                      <w:color w:val="auto"/>
                      <w:sz w:val="21"/>
                      <w:szCs w:val="21"/>
                      <w:lang w:val="en-US"/>
                    </w:rPr>
                  </w:pPr>
                  <w:r>
                    <w:rPr>
                      <w:rFonts w:hint="default" w:ascii="Times New Roman" w:hAnsi="Times New Roman" w:eastAsia="宋体" w:cs="Times New Roman"/>
                      <w:b w:val="0"/>
                      <w:bCs/>
                      <w:color w:val="auto"/>
                      <w:sz w:val="21"/>
                      <w:szCs w:val="21"/>
                      <w:lang w:val="en-US" w:eastAsia="zh-CN"/>
                    </w:rPr>
                    <w:t>5.5</w:t>
                  </w:r>
                  <w:r>
                    <w:rPr>
                      <w:rFonts w:hint="eastAsia" w:cs="Times New Roman"/>
                      <w:b w:val="0"/>
                      <w:bCs/>
                      <w:color w:val="auto"/>
                      <w:sz w:val="21"/>
                      <w:szCs w:val="21"/>
                      <w:lang w:val="en-US" w:eastAsia="zh-CN"/>
                    </w:rPr>
                    <w:t>kW</w:t>
                  </w:r>
                </w:p>
              </w:tc>
              <w:tc>
                <w:tcPr>
                  <w:tcW w:w="482" w:type="pct"/>
                  <w:tcBorders>
                    <w:top w:val="single" w:color="auto" w:sz="4" w:space="0"/>
                    <w:left w:val="single" w:color="auto" w:sz="4" w:space="0"/>
                    <w:bottom w:val="single" w:color="auto" w:sz="4" w:space="0"/>
                    <w:right w:val="single" w:color="auto" w:sz="4" w:space="0"/>
                  </w:tcBorders>
                  <w:noWrap w:val="0"/>
                  <w:vAlign w:val="center"/>
                </w:tcPr>
                <w:p w14:paraId="30CE1569">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0</w:t>
                  </w:r>
                </w:p>
              </w:tc>
              <w:tc>
                <w:tcPr>
                  <w:tcW w:w="545" w:type="pct"/>
                  <w:tcBorders>
                    <w:top w:val="single" w:color="auto" w:sz="4" w:space="0"/>
                    <w:left w:val="single" w:color="auto" w:sz="4" w:space="0"/>
                    <w:bottom w:val="single" w:color="auto" w:sz="4" w:space="0"/>
                    <w:right w:val="nil"/>
                  </w:tcBorders>
                  <w:noWrap w:val="0"/>
                  <w:vAlign w:val="center"/>
                </w:tcPr>
                <w:p w14:paraId="71EA3971">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1</w:t>
                  </w:r>
                </w:p>
              </w:tc>
              <w:tc>
                <w:tcPr>
                  <w:tcW w:w="599" w:type="pct"/>
                  <w:tcBorders>
                    <w:top w:val="single" w:color="auto" w:sz="4" w:space="0"/>
                    <w:left w:val="single" w:color="auto" w:sz="4" w:space="0"/>
                    <w:bottom w:val="single" w:color="auto" w:sz="4" w:space="0"/>
                    <w:right w:val="nil"/>
                  </w:tcBorders>
                  <w:noWrap w:val="0"/>
                  <w:vAlign w:val="center"/>
                </w:tcPr>
                <w:p w14:paraId="4536B9A7">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1</w:t>
                  </w:r>
                </w:p>
              </w:tc>
              <w:tc>
                <w:tcPr>
                  <w:tcW w:w="796" w:type="pct"/>
                  <w:tcBorders>
                    <w:top w:val="single" w:color="auto" w:sz="4" w:space="0"/>
                    <w:left w:val="single" w:color="auto" w:sz="4" w:space="0"/>
                    <w:bottom w:val="single" w:color="auto" w:sz="4" w:space="0"/>
                    <w:right w:val="nil"/>
                  </w:tcBorders>
                  <w:shd w:val="clear" w:color="auto" w:fill="auto"/>
                  <w:noWrap w:val="0"/>
                  <w:vAlign w:val="center"/>
                </w:tcPr>
                <w:p w14:paraId="4678B6BA">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藻类产线</w:t>
                  </w:r>
                </w:p>
              </w:tc>
              <w:tc>
                <w:tcPr>
                  <w:tcW w:w="252" w:type="pct"/>
                  <w:vMerge w:val="continue"/>
                  <w:tcBorders>
                    <w:top w:val="single" w:color="auto" w:sz="4" w:space="0"/>
                    <w:left w:val="single" w:color="auto" w:sz="4" w:space="0"/>
                    <w:bottom w:val="single" w:color="auto" w:sz="4" w:space="0"/>
                    <w:right w:val="nil"/>
                  </w:tcBorders>
                  <w:noWrap w:val="0"/>
                  <w:vAlign w:val="center"/>
                </w:tcPr>
                <w:p w14:paraId="5B1FA4C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yellow"/>
                    </w:rPr>
                  </w:pPr>
                </w:p>
              </w:tc>
            </w:tr>
            <w:tr w14:paraId="2D5D1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365" w:type="pct"/>
                  <w:tcBorders>
                    <w:top w:val="single" w:color="auto" w:sz="4" w:space="0"/>
                    <w:left w:val="nil"/>
                    <w:bottom w:val="single" w:color="auto" w:sz="4" w:space="0"/>
                    <w:right w:val="single" w:color="auto" w:sz="4" w:space="0"/>
                  </w:tcBorders>
                  <w:shd w:val="clear" w:color="auto" w:fill="auto"/>
                  <w:noWrap w:val="0"/>
                  <w:vAlign w:val="center"/>
                </w:tcPr>
                <w:p w14:paraId="0F940D13">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30</w:t>
                  </w:r>
                </w:p>
              </w:tc>
              <w:tc>
                <w:tcPr>
                  <w:tcW w:w="1106" w:type="pct"/>
                  <w:tcBorders>
                    <w:top w:val="single" w:color="auto" w:sz="4" w:space="0"/>
                    <w:left w:val="single" w:color="auto" w:sz="4" w:space="0"/>
                    <w:bottom w:val="single" w:color="auto" w:sz="4" w:space="0"/>
                    <w:right w:val="single" w:color="auto" w:sz="4" w:space="0"/>
                  </w:tcBorders>
                  <w:noWrap w:val="0"/>
                  <w:vAlign w:val="center"/>
                </w:tcPr>
                <w:p w14:paraId="02539F98">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滚筒烘干机8米</w:t>
                  </w:r>
                </w:p>
              </w:tc>
              <w:tc>
                <w:tcPr>
                  <w:tcW w:w="851" w:type="pct"/>
                  <w:tcBorders>
                    <w:top w:val="single" w:color="auto" w:sz="4" w:space="0"/>
                    <w:left w:val="single" w:color="auto" w:sz="4" w:space="0"/>
                    <w:bottom w:val="single" w:color="auto" w:sz="4" w:space="0"/>
                    <w:right w:val="single" w:color="auto" w:sz="4" w:space="0"/>
                  </w:tcBorders>
                  <w:noWrap w:val="0"/>
                  <w:vAlign w:val="center"/>
                </w:tcPr>
                <w:p w14:paraId="408D0796">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8000*φ1100</w:t>
                  </w:r>
                </w:p>
              </w:tc>
              <w:tc>
                <w:tcPr>
                  <w:tcW w:w="482" w:type="pct"/>
                  <w:tcBorders>
                    <w:top w:val="single" w:color="auto" w:sz="4" w:space="0"/>
                    <w:left w:val="single" w:color="auto" w:sz="4" w:space="0"/>
                    <w:bottom w:val="single" w:color="auto" w:sz="4" w:space="0"/>
                    <w:right w:val="single" w:color="auto" w:sz="4" w:space="0"/>
                  </w:tcBorders>
                  <w:noWrap w:val="0"/>
                  <w:vAlign w:val="center"/>
                </w:tcPr>
                <w:p w14:paraId="298702EF">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0</w:t>
                  </w:r>
                </w:p>
              </w:tc>
              <w:tc>
                <w:tcPr>
                  <w:tcW w:w="545" w:type="pct"/>
                  <w:tcBorders>
                    <w:top w:val="single" w:color="auto" w:sz="4" w:space="0"/>
                    <w:left w:val="single" w:color="auto" w:sz="4" w:space="0"/>
                    <w:bottom w:val="single" w:color="auto" w:sz="4" w:space="0"/>
                    <w:right w:val="nil"/>
                  </w:tcBorders>
                  <w:noWrap w:val="0"/>
                  <w:vAlign w:val="center"/>
                </w:tcPr>
                <w:p w14:paraId="4436506B">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w:t>
                  </w:r>
                </w:p>
              </w:tc>
              <w:tc>
                <w:tcPr>
                  <w:tcW w:w="599" w:type="pct"/>
                  <w:tcBorders>
                    <w:top w:val="single" w:color="auto" w:sz="4" w:space="0"/>
                    <w:left w:val="single" w:color="auto" w:sz="4" w:space="0"/>
                    <w:bottom w:val="single" w:color="auto" w:sz="4" w:space="0"/>
                    <w:right w:val="nil"/>
                  </w:tcBorders>
                  <w:noWrap w:val="0"/>
                  <w:vAlign w:val="center"/>
                </w:tcPr>
                <w:p w14:paraId="7E16CF93">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2</w:t>
                  </w:r>
                </w:p>
              </w:tc>
              <w:tc>
                <w:tcPr>
                  <w:tcW w:w="796" w:type="pct"/>
                  <w:tcBorders>
                    <w:top w:val="single" w:color="auto" w:sz="4" w:space="0"/>
                    <w:left w:val="single" w:color="auto" w:sz="4" w:space="0"/>
                    <w:bottom w:val="single" w:color="auto" w:sz="4" w:space="0"/>
                    <w:right w:val="nil"/>
                  </w:tcBorders>
                  <w:shd w:val="clear" w:color="auto" w:fill="auto"/>
                  <w:noWrap w:val="0"/>
                  <w:vAlign w:val="center"/>
                </w:tcPr>
                <w:p w14:paraId="1C42517A">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藻类产线</w:t>
                  </w:r>
                </w:p>
              </w:tc>
              <w:tc>
                <w:tcPr>
                  <w:tcW w:w="252" w:type="pct"/>
                  <w:vMerge w:val="continue"/>
                  <w:tcBorders>
                    <w:top w:val="single" w:color="auto" w:sz="4" w:space="0"/>
                    <w:left w:val="single" w:color="auto" w:sz="4" w:space="0"/>
                    <w:bottom w:val="single" w:color="auto" w:sz="4" w:space="0"/>
                    <w:right w:val="nil"/>
                  </w:tcBorders>
                  <w:noWrap w:val="0"/>
                  <w:vAlign w:val="center"/>
                </w:tcPr>
                <w:p w14:paraId="12E059B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yellow"/>
                    </w:rPr>
                  </w:pPr>
                </w:p>
              </w:tc>
            </w:tr>
            <w:tr w14:paraId="11082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365" w:type="pct"/>
                  <w:tcBorders>
                    <w:top w:val="single" w:color="auto" w:sz="4" w:space="0"/>
                    <w:left w:val="nil"/>
                    <w:bottom w:val="single" w:color="auto" w:sz="4" w:space="0"/>
                    <w:right w:val="single" w:color="auto" w:sz="4" w:space="0"/>
                  </w:tcBorders>
                  <w:shd w:val="clear" w:color="auto" w:fill="auto"/>
                  <w:noWrap w:val="0"/>
                  <w:vAlign w:val="center"/>
                </w:tcPr>
                <w:p w14:paraId="50D55271">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31</w:t>
                  </w:r>
                </w:p>
              </w:tc>
              <w:tc>
                <w:tcPr>
                  <w:tcW w:w="1106" w:type="pct"/>
                  <w:tcBorders>
                    <w:top w:val="single" w:color="auto" w:sz="4" w:space="0"/>
                    <w:left w:val="single" w:color="auto" w:sz="4" w:space="0"/>
                    <w:bottom w:val="single" w:color="auto" w:sz="4" w:space="0"/>
                    <w:right w:val="single" w:color="auto" w:sz="4" w:space="0"/>
                  </w:tcBorders>
                  <w:noWrap w:val="0"/>
                  <w:vAlign w:val="center"/>
                </w:tcPr>
                <w:p w14:paraId="5B104FFD">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平面筛选机</w:t>
                  </w:r>
                </w:p>
              </w:tc>
              <w:tc>
                <w:tcPr>
                  <w:tcW w:w="851" w:type="pct"/>
                  <w:tcBorders>
                    <w:top w:val="single" w:color="auto" w:sz="4" w:space="0"/>
                    <w:left w:val="single" w:color="auto" w:sz="4" w:space="0"/>
                    <w:bottom w:val="single" w:color="auto" w:sz="4" w:space="0"/>
                    <w:right w:val="single" w:color="auto" w:sz="4" w:space="0"/>
                  </w:tcBorders>
                  <w:noWrap w:val="0"/>
                  <w:vAlign w:val="center"/>
                </w:tcPr>
                <w:p w14:paraId="0275B8EB">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2700*1500</w:t>
                  </w:r>
                </w:p>
              </w:tc>
              <w:tc>
                <w:tcPr>
                  <w:tcW w:w="482" w:type="pct"/>
                  <w:tcBorders>
                    <w:top w:val="single" w:color="auto" w:sz="4" w:space="0"/>
                    <w:left w:val="single" w:color="auto" w:sz="4" w:space="0"/>
                    <w:bottom w:val="single" w:color="auto" w:sz="4" w:space="0"/>
                    <w:right w:val="single" w:color="auto" w:sz="4" w:space="0"/>
                  </w:tcBorders>
                  <w:noWrap w:val="0"/>
                  <w:vAlign w:val="center"/>
                </w:tcPr>
                <w:p w14:paraId="61A1790F">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0</w:t>
                  </w:r>
                </w:p>
              </w:tc>
              <w:tc>
                <w:tcPr>
                  <w:tcW w:w="545" w:type="pct"/>
                  <w:tcBorders>
                    <w:top w:val="single" w:color="auto" w:sz="4" w:space="0"/>
                    <w:left w:val="single" w:color="auto" w:sz="4" w:space="0"/>
                    <w:bottom w:val="single" w:color="auto" w:sz="4" w:space="0"/>
                    <w:right w:val="nil"/>
                  </w:tcBorders>
                  <w:noWrap w:val="0"/>
                  <w:vAlign w:val="center"/>
                </w:tcPr>
                <w:p w14:paraId="4522CAAD">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1</w:t>
                  </w:r>
                </w:p>
              </w:tc>
              <w:tc>
                <w:tcPr>
                  <w:tcW w:w="599" w:type="pct"/>
                  <w:tcBorders>
                    <w:top w:val="single" w:color="auto" w:sz="4" w:space="0"/>
                    <w:left w:val="single" w:color="auto" w:sz="4" w:space="0"/>
                    <w:bottom w:val="single" w:color="auto" w:sz="4" w:space="0"/>
                    <w:right w:val="nil"/>
                  </w:tcBorders>
                  <w:noWrap w:val="0"/>
                  <w:vAlign w:val="center"/>
                </w:tcPr>
                <w:p w14:paraId="0002F277">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1</w:t>
                  </w:r>
                </w:p>
              </w:tc>
              <w:tc>
                <w:tcPr>
                  <w:tcW w:w="796" w:type="pct"/>
                  <w:tcBorders>
                    <w:top w:val="single" w:color="auto" w:sz="4" w:space="0"/>
                    <w:left w:val="single" w:color="auto" w:sz="4" w:space="0"/>
                    <w:bottom w:val="single" w:color="auto" w:sz="4" w:space="0"/>
                    <w:right w:val="nil"/>
                  </w:tcBorders>
                  <w:shd w:val="clear" w:color="auto" w:fill="auto"/>
                  <w:noWrap w:val="0"/>
                  <w:vAlign w:val="center"/>
                </w:tcPr>
                <w:p w14:paraId="3D0AABCB">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藻类产线</w:t>
                  </w:r>
                </w:p>
              </w:tc>
              <w:tc>
                <w:tcPr>
                  <w:tcW w:w="252" w:type="pct"/>
                  <w:vMerge w:val="continue"/>
                  <w:tcBorders>
                    <w:top w:val="single" w:color="auto" w:sz="4" w:space="0"/>
                    <w:left w:val="single" w:color="auto" w:sz="4" w:space="0"/>
                    <w:bottom w:val="single" w:color="auto" w:sz="4" w:space="0"/>
                    <w:right w:val="nil"/>
                  </w:tcBorders>
                  <w:noWrap w:val="0"/>
                  <w:vAlign w:val="center"/>
                </w:tcPr>
                <w:p w14:paraId="322A956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yellow"/>
                    </w:rPr>
                  </w:pPr>
                </w:p>
              </w:tc>
            </w:tr>
            <w:tr w14:paraId="08B26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365" w:type="pct"/>
                  <w:tcBorders>
                    <w:top w:val="single" w:color="auto" w:sz="4" w:space="0"/>
                    <w:left w:val="nil"/>
                    <w:bottom w:val="single" w:color="auto" w:sz="4" w:space="0"/>
                    <w:right w:val="single" w:color="auto" w:sz="4" w:space="0"/>
                  </w:tcBorders>
                  <w:shd w:val="clear" w:color="auto" w:fill="auto"/>
                  <w:noWrap w:val="0"/>
                  <w:vAlign w:val="center"/>
                </w:tcPr>
                <w:p w14:paraId="1FD3263F">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32</w:t>
                  </w:r>
                </w:p>
              </w:tc>
              <w:tc>
                <w:tcPr>
                  <w:tcW w:w="1106" w:type="pct"/>
                  <w:tcBorders>
                    <w:top w:val="single" w:color="auto" w:sz="4" w:space="0"/>
                    <w:left w:val="single" w:color="auto" w:sz="4" w:space="0"/>
                    <w:bottom w:val="single" w:color="auto" w:sz="4" w:space="0"/>
                    <w:right w:val="single" w:color="auto" w:sz="4" w:space="0"/>
                  </w:tcBorders>
                  <w:noWrap w:val="0"/>
                  <w:vAlign w:val="center"/>
                </w:tcPr>
                <w:p w14:paraId="6D4B0DCE">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磁选机</w:t>
                  </w:r>
                </w:p>
              </w:tc>
              <w:tc>
                <w:tcPr>
                  <w:tcW w:w="851" w:type="pct"/>
                  <w:tcBorders>
                    <w:top w:val="single" w:color="auto" w:sz="4" w:space="0"/>
                    <w:left w:val="single" w:color="auto" w:sz="4" w:space="0"/>
                    <w:bottom w:val="single" w:color="auto" w:sz="4" w:space="0"/>
                    <w:right w:val="single" w:color="auto" w:sz="4" w:space="0"/>
                  </w:tcBorders>
                  <w:noWrap w:val="0"/>
                  <w:vAlign w:val="center"/>
                </w:tcPr>
                <w:p w14:paraId="5B67F6B1">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1000*1700</w:t>
                  </w:r>
                </w:p>
              </w:tc>
              <w:tc>
                <w:tcPr>
                  <w:tcW w:w="482" w:type="pct"/>
                  <w:tcBorders>
                    <w:top w:val="single" w:color="auto" w:sz="4" w:space="0"/>
                    <w:left w:val="single" w:color="auto" w:sz="4" w:space="0"/>
                    <w:bottom w:val="single" w:color="auto" w:sz="4" w:space="0"/>
                    <w:right w:val="single" w:color="auto" w:sz="4" w:space="0"/>
                  </w:tcBorders>
                  <w:noWrap w:val="0"/>
                  <w:vAlign w:val="center"/>
                </w:tcPr>
                <w:p w14:paraId="10344556">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0</w:t>
                  </w:r>
                </w:p>
              </w:tc>
              <w:tc>
                <w:tcPr>
                  <w:tcW w:w="545" w:type="pct"/>
                  <w:tcBorders>
                    <w:top w:val="single" w:color="auto" w:sz="4" w:space="0"/>
                    <w:left w:val="single" w:color="auto" w:sz="4" w:space="0"/>
                    <w:bottom w:val="single" w:color="auto" w:sz="4" w:space="0"/>
                    <w:right w:val="nil"/>
                  </w:tcBorders>
                  <w:noWrap w:val="0"/>
                  <w:vAlign w:val="center"/>
                </w:tcPr>
                <w:p w14:paraId="018B487D">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1</w:t>
                  </w:r>
                </w:p>
              </w:tc>
              <w:tc>
                <w:tcPr>
                  <w:tcW w:w="599" w:type="pct"/>
                  <w:tcBorders>
                    <w:top w:val="single" w:color="auto" w:sz="4" w:space="0"/>
                    <w:left w:val="single" w:color="auto" w:sz="4" w:space="0"/>
                    <w:bottom w:val="single" w:color="auto" w:sz="4" w:space="0"/>
                    <w:right w:val="nil"/>
                  </w:tcBorders>
                  <w:noWrap w:val="0"/>
                  <w:vAlign w:val="center"/>
                </w:tcPr>
                <w:p w14:paraId="1BD210E8">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1</w:t>
                  </w:r>
                </w:p>
              </w:tc>
              <w:tc>
                <w:tcPr>
                  <w:tcW w:w="796" w:type="pct"/>
                  <w:tcBorders>
                    <w:top w:val="single" w:color="auto" w:sz="4" w:space="0"/>
                    <w:left w:val="single" w:color="auto" w:sz="4" w:space="0"/>
                    <w:bottom w:val="single" w:color="auto" w:sz="4" w:space="0"/>
                    <w:right w:val="nil"/>
                  </w:tcBorders>
                  <w:shd w:val="clear" w:color="auto" w:fill="auto"/>
                  <w:noWrap w:val="0"/>
                  <w:vAlign w:val="center"/>
                </w:tcPr>
                <w:p w14:paraId="33A30870">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藻类产线</w:t>
                  </w:r>
                </w:p>
              </w:tc>
              <w:tc>
                <w:tcPr>
                  <w:tcW w:w="252" w:type="pct"/>
                  <w:vMerge w:val="continue"/>
                  <w:tcBorders>
                    <w:top w:val="single" w:color="auto" w:sz="4" w:space="0"/>
                    <w:left w:val="single" w:color="auto" w:sz="4" w:space="0"/>
                    <w:bottom w:val="single" w:color="auto" w:sz="4" w:space="0"/>
                    <w:right w:val="nil"/>
                  </w:tcBorders>
                  <w:noWrap w:val="0"/>
                  <w:vAlign w:val="center"/>
                </w:tcPr>
                <w:p w14:paraId="6048A59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yellow"/>
                    </w:rPr>
                  </w:pPr>
                </w:p>
              </w:tc>
            </w:tr>
            <w:tr w14:paraId="359C3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365" w:type="pct"/>
                  <w:tcBorders>
                    <w:top w:val="single" w:color="auto" w:sz="4" w:space="0"/>
                    <w:left w:val="nil"/>
                    <w:bottom w:val="single" w:color="auto" w:sz="4" w:space="0"/>
                    <w:right w:val="single" w:color="auto" w:sz="4" w:space="0"/>
                  </w:tcBorders>
                  <w:shd w:val="clear" w:color="auto" w:fill="auto"/>
                  <w:noWrap w:val="0"/>
                  <w:vAlign w:val="center"/>
                </w:tcPr>
                <w:p w14:paraId="7F25F88A">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33</w:t>
                  </w:r>
                </w:p>
              </w:tc>
              <w:tc>
                <w:tcPr>
                  <w:tcW w:w="1106" w:type="pct"/>
                  <w:tcBorders>
                    <w:top w:val="single" w:color="auto" w:sz="4" w:space="0"/>
                    <w:left w:val="single" w:color="auto" w:sz="4" w:space="0"/>
                    <w:bottom w:val="single" w:color="auto" w:sz="4" w:space="0"/>
                    <w:right w:val="single" w:color="auto" w:sz="4" w:space="0"/>
                  </w:tcBorders>
                  <w:noWrap w:val="0"/>
                  <w:vAlign w:val="center"/>
                </w:tcPr>
                <w:p w14:paraId="1A169B7F">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静电选别机</w:t>
                  </w:r>
                </w:p>
              </w:tc>
              <w:tc>
                <w:tcPr>
                  <w:tcW w:w="851" w:type="pct"/>
                  <w:tcBorders>
                    <w:top w:val="single" w:color="auto" w:sz="4" w:space="0"/>
                    <w:left w:val="single" w:color="auto" w:sz="4" w:space="0"/>
                    <w:bottom w:val="single" w:color="auto" w:sz="4" w:space="0"/>
                    <w:right w:val="single" w:color="auto" w:sz="4" w:space="0"/>
                  </w:tcBorders>
                  <w:noWrap w:val="0"/>
                  <w:vAlign w:val="center"/>
                </w:tcPr>
                <w:p w14:paraId="30E10A38">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1300*3000</w:t>
                  </w:r>
                </w:p>
              </w:tc>
              <w:tc>
                <w:tcPr>
                  <w:tcW w:w="482" w:type="pct"/>
                  <w:tcBorders>
                    <w:top w:val="single" w:color="auto" w:sz="4" w:space="0"/>
                    <w:left w:val="single" w:color="auto" w:sz="4" w:space="0"/>
                    <w:bottom w:val="single" w:color="auto" w:sz="4" w:space="0"/>
                    <w:right w:val="single" w:color="auto" w:sz="4" w:space="0"/>
                  </w:tcBorders>
                  <w:noWrap w:val="0"/>
                  <w:vAlign w:val="center"/>
                </w:tcPr>
                <w:p w14:paraId="11D74A07">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0</w:t>
                  </w:r>
                </w:p>
              </w:tc>
              <w:tc>
                <w:tcPr>
                  <w:tcW w:w="545" w:type="pct"/>
                  <w:tcBorders>
                    <w:top w:val="single" w:color="auto" w:sz="4" w:space="0"/>
                    <w:left w:val="single" w:color="auto" w:sz="4" w:space="0"/>
                    <w:bottom w:val="single" w:color="auto" w:sz="4" w:space="0"/>
                    <w:right w:val="nil"/>
                  </w:tcBorders>
                  <w:noWrap w:val="0"/>
                  <w:vAlign w:val="center"/>
                </w:tcPr>
                <w:p w14:paraId="34BA0B15">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1</w:t>
                  </w:r>
                </w:p>
              </w:tc>
              <w:tc>
                <w:tcPr>
                  <w:tcW w:w="599" w:type="pct"/>
                  <w:tcBorders>
                    <w:top w:val="single" w:color="auto" w:sz="4" w:space="0"/>
                    <w:left w:val="single" w:color="auto" w:sz="4" w:space="0"/>
                    <w:bottom w:val="single" w:color="auto" w:sz="4" w:space="0"/>
                    <w:right w:val="nil"/>
                  </w:tcBorders>
                  <w:noWrap w:val="0"/>
                  <w:vAlign w:val="center"/>
                </w:tcPr>
                <w:p w14:paraId="51B348D0">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1</w:t>
                  </w:r>
                </w:p>
              </w:tc>
              <w:tc>
                <w:tcPr>
                  <w:tcW w:w="796" w:type="pct"/>
                  <w:tcBorders>
                    <w:top w:val="single" w:color="auto" w:sz="4" w:space="0"/>
                    <w:left w:val="single" w:color="auto" w:sz="4" w:space="0"/>
                    <w:bottom w:val="single" w:color="auto" w:sz="4" w:space="0"/>
                    <w:right w:val="nil"/>
                  </w:tcBorders>
                  <w:shd w:val="clear" w:color="auto" w:fill="auto"/>
                  <w:noWrap w:val="0"/>
                  <w:vAlign w:val="center"/>
                </w:tcPr>
                <w:p w14:paraId="01F3EFFE">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藻类产线</w:t>
                  </w:r>
                </w:p>
              </w:tc>
              <w:tc>
                <w:tcPr>
                  <w:tcW w:w="252" w:type="pct"/>
                  <w:vMerge w:val="continue"/>
                  <w:tcBorders>
                    <w:top w:val="single" w:color="auto" w:sz="4" w:space="0"/>
                    <w:left w:val="single" w:color="auto" w:sz="4" w:space="0"/>
                    <w:bottom w:val="single" w:color="auto" w:sz="4" w:space="0"/>
                    <w:right w:val="nil"/>
                  </w:tcBorders>
                  <w:noWrap w:val="0"/>
                  <w:vAlign w:val="center"/>
                </w:tcPr>
                <w:p w14:paraId="6D55863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yellow"/>
                    </w:rPr>
                  </w:pPr>
                </w:p>
              </w:tc>
            </w:tr>
            <w:tr w14:paraId="1A5F7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365" w:type="pct"/>
                  <w:tcBorders>
                    <w:top w:val="single" w:color="auto" w:sz="4" w:space="0"/>
                    <w:left w:val="nil"/>
                    <w:bottom w:val="single" w:color="auto" w:sz="4" w:space="0"/>
                    <w:right w:val="single" w:color="auto" w:sz="4" w:space="0"/>
                  </w:tcBorders>
                  <w:shd w:val="clear" w:color="auto" w:fill="auto"/>
                  <w:noWrap w:val="0"/>
                  <w:vAlign w:val="center"/>
                </w:tcPr>
                <w:p w14:paraId="51586F8C">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34</w:t>
                  </w:r>
                </w:p>
              </w:tc>
              <w:tc>
                <w:tcPr>
                  <w:tcW w:w="1106" w:type="pct"/>
                  <w:tcBorders>
                    <w:top w:val="single" w:color="auto" w:sz="4" w:space="0"/>
                    <w:left w:val="single" w:color="auto" w:sz="4" w:space="0"/>
                    <w:bottom w:val="single" w:color="auto" w:sz="4" w:space="0"/>
                    <w:right w:val="single" w:color="auto" w:sz="4" w:space="0"/>
                  </w:tcBorders>
                  <w:noWrap w:val="0"/>
                  <w:vAlign w:val="center"/>
                </w:tcPr>
                <w:p w14:paraId="5E4E1A49">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AI选别机</w:t>
                  </w:r>
                </w:p>
              </w:tc>
              <w:tc>
                <w:tcPr>
                  <w:tcW w:w="851" w:type="pct"/>
                  <w:tcBorders>
                    <w:top w:val="single" w:color="auto" w:sz="4" w:space="0"/>
                    <w:left w:val="single" w:color="auto" w:sz="4" w:space="0"/>
                    <w:bottom w:val="single" w:color="auto" w:sz="4" w:space="0"/>
                    <w:right w:val="single" w:color="auto" w:sz="4" w:space="0"/>
                  </w:tcBorders>
                  <w:noWrap w:val="0"/>
                  <w:vAlign w:val="center"/>
                </w:tcPr>
                <w:p w14:paraId="37F6EC04">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5.5w</w:t>
                  </w:r>
                </w:p>
              </w:tc>
              <w:tc>
                <w:tcPr>
                  <w:tcW w:w="482" w:type="pct"/>
                  <w:tcBorders>
                    <w:top w:val="single" w:color="auto" w:sz="4" w:space="0"/>
                    <w:left w:val="single" w:color="auto" w:sz="4" w:space="0"/>
                    <w:bottom w:val="single" w:color="auto" w:sz="4" w:space="0"/>
                    <w:right w:val="single" w:color="auto" w:sz="4" w:space="0"/>
                  </w:tcBorders>
                  <w:noWrap w:val="0"/>
                  <w:vAlign w:val="center"/>
                </w:tcPr>
                <w:p w14:paraId="6E6AF435">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0</w:t>
                  </w:r>
                </w:p>
              </w:tc>
              <w:tc>
                <w:tcPr>
                  <w:tcW w:w="545" w:type="pct"/>
                  <w:tcBorders>
                    <w:top w:val="single" w:color="auto" w:sz="4" w:space="0"/>
                    <w:left w:val="single" w:color="auto" w:sz="4" w:space="0"/>
                    <w:bottom w:val="single" w:color="auto" w:sz="4" w:space="0"/>
                    <w:right w:val="nil"/>
                  </w:tcBorders>
                  <w:noWrap w:val="0"/>
                  <w:vAlign w:val="center"/>
                </w:tcPr>
                <w:p w14:paraId="6A9F35DF">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w:t>
                  </w:r>
                </w:p>
              </w:tc>
              <w:tc>
                <w:tcPr>
                  <w:tcW w:w="599" w:type="pct"/>
                  <w:tcBorders>
                    <w:top w:val="single" w:color="auto" w:sz="4" w:space="0"/>
                    <w:left w:val="single" w:color="auto" w:sz="4" w:space="0"/>
                    <w:bottom w:val="single" w:color="auto" w:sz="4" w:space="0"/>
                    <w:right w:val="nil"/>
                  </w:tcBorders>
                  <w:noWrap w:val="0"/>
                  <w:vAlign w:val="center"/>
                </w:tcPr>
                <w:p w14:paraId="3C503B37">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2</w:t>
                  </w:r>
                </w:p>
              </w:tc>
              <w:tc>
                <w:tcPr>
                  <w:tcW w:w="796" w:type="pct"/>
                  <w:tcBorders>
                    <w:top w:val="single" w:color="auto" w:sz="4" w:space="0"/>
                    <w:left w:val="single" w:color="auto" w:sz="4" w:space="0"/>
                    <w:bottom w:val="single" w:color="auto" w:sz="4" w:space="0"/>
                    <w:right w:val="nil"/>
                  </w:tcBorders>
                  <w:shd w:val="clear" w:color="auto" w:fill="auto"/>
                  <w:noWrap w:val="0"/>
                  <w:vAlign w:val="center"/>
                </w:tcPr>
                <w:p w14:paraId="11A55F21">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藻类产线</w:t>
                  </w:r>
                </w:p>
              </w:tc>
              <w:tc>
                <w:tcPr>
                  <w:tcW w:w="252" w:type="pct"/>
                  <w:vMerge w:val="continue"/>
                  <w:tcBorders>
                    <w:top w:val="single" w:color="auto" w:sz="4" w:space="0"/>
                    <w:left w:val="single" w:color="auto" w:sz="4" w:space="0"/>
                    <w:bottom w:val="single" w:color="auto" w:sz="4" w:space="0"/>
                    <w:right w:val="nil"/>
                  </w:tcBorders>
                  <w:noWrap w:val="0"/>
                  <w:vAlign w:val="center"/>
                </w:tcPr>
                <w:p w14:paraId="61EC29B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yellow"/>
                    </w:rPr>
                  </w:pPr>
                </w:p>
              </w:tc>
            </w:tr>
            <w:tr w14:paraId="27087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365" w:type="pct"/>
                  <w:tcBorders>
                    <w:top w:val="single" w:color="auto" w:sz="4" w:space="0"/>
                    <w:left w:val="nil"/>
                    <w:bottom w:val="single" w:color="auto" w:sz="4" w:space="0"/>
                    <w:right w:val="single" w:color="auto" w:sz="4" w:space="0"/>
                  </w:tcBorders>
                  <w:shd w:val="clear" w:color="auto" w:fill="auto"/>
                  <w:noWrap w:val="0"/>
                  <w:vAlign w:val="center"/>
                </w:tcPr>
                <w:p w14:paraId="18534C62">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35</w:t>
                  </w:r>
                </w:p>
              </w:tc>
              <w:tc>
                <w:tcPr>
                  <w:tcW w:w="1106" w:type="pct"/>
                  <w:tcBorders>
                    <w:top w:val="single" w:color="auto" w:sz="4" w:space="0"/>
                    <w:left w:val="single" w:color="auto" w:sz="4" w:space="0"/>
                    <w:bottom w:val="single" w:color="auto" w:sz="4" w:space="0"/>
                    <w:right w:val="single" w:color="auto" w:sz="4" w:space="0"/>
                  </w:tcBorders>
                  <w:noWrap w:val="0"/>
                  <w:vAlign w:val="center"/>
                </w:tcPr>
                <w:p w14:paraId="760A8D2B">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振动给料装置</w:t>
                  </w:r>
                </w:p>
              </w:tc>
              <w:tc>
                <w:tcPr>
                  <w:tcW w:w="851" w:type="pct"/>
                  <w:tcBorders>
                    <w:top w:val="single" w:color="auto" w:sz="4" w:space="0"/>
                    <w:left w:val="single" w:color="auto" w:sz="4" w:space="0"/>
                    <w:bottom w:val="single" w:color="auto" w:sz="4" w:space="0"/>
                    <w:right w:val="single" w:color="auto" w:sz="4" w:space="0"/>
                  </w:tcBorders>
                  <w:noWrap w:val="0"/>
                  <w:vAlign w:val="center"/>
                </w:tcPr>
                <w:p w14:paraId="21EB951E">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0.6w</w:t>
                  </w:r>
                </w:p>
              </w:tc>
              <w:tc>
                <w:tcPr>
                  <w:tcW w:w="482" w:type="pct"/>
                  <w:tcBorders>
                    <w:top w:val="single" w:color="auto" w:sz="4" w:space="0"/>
                    <w:left w:val="single" w:color="auto" w:sz="4" w:space="0"/>
                    <w:bottom w:val="single" w:color="auto" w:sz="4" w:space="0"/>
                    <w:right w:val="single" w:color="auto" w:sz="4" w:space="0"/>
                  </w:tcBorders>
                  <w:noWrap w:val="0"/>
                  <w:vAlign w:val="center"/>
                </w:tcPr>
                <w:p w14:paraId="7E7F2A94">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0</w:t>
                  </w:r>
                </w:p>
              </w:tc>
              <w:tc>
                <w:tcPr>
                  <w:tcW w:w="545" w:type="pct"/>
                  <w:tcBorders>
                    <w:top w:val="single" w:color="auto" w:sz="4" w:space="0"/>
                    <w:left w:val="single" w:color="auto" w:sz="4" w:space="0"/>
                    <w:bottom w:val="single" w:color="auto" w:sz="4" w:space="0"/>
                    <w:right w:val="nil"/>
                  </w:tcBorders>
                  <w:noWrap w:val="0"/>
                  <w:vAlign w:val="center"/>
                </w:tcPr>
                <w:p w14:paraId="59D9D647">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1</w:t>
                  </w:r>
                </w:p>
              </w:tc>
              <w:tc>
                <w:tcPr>
                  <w:tcW w:w="599" w:type="pct"/>
                  <w:tcBorders>
                    <w:top w:val="single" w:color="auto" w:sz="4" w:space="0"/>
                    <w:left w:val="single" w:color="auto" w:sz="4" w:space="0"/>
                    <w:bottom w:val="single" w:color="auto" w:sz="4" w:space="0"/>
                    <w:right w:val="nil"/>
                  </w:tcBorders>
                  <w:noWrap w:val="0"/>
                  <w:vAlign w:val="center"/>
                </w:tcPr>
                <w:p w14:paraId="14C202F8">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1</w:t>
                  </w:r>
                </w:p>
              </w:tc>
              <w:tc>
                <w:tcPr>
                  <w:tcW w:w="796" w:type="pct"/>
                  <w:tcBorders>
                    <w:top w:val="single" w:color="auto" w:sz="4" w:space="0"/>
                    <w:left w:val="single" w:color="auto" w:sz="4" w:space="0"/>
                    <w:bottom w:val="single" w:color="auto" w:sz="4" w:space="0"/>
                    <w:right w:val="nil"/>
                  </w:tcBorders>
                  <w:shd w:val="clear" w:color="auto" w:fill="auto"/>
                  <w:noWrap w:val="0"/>
                  <w:vAlign w:val="center"/>
                </w:tcPr>
                <w:p w14:paraId="2B049D4C">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藻类产线</w:t>
                  </w:r>
                </w:p>
              </w:tc>
              <w:tc>
                <w:tcPr>
                  <w:tcW w:w="252" w:type="pct"/>
                  <w:vMerge w:val="continue"/>
                  <w:tcBorders>
                    <w:top w:val="single" w:color="auto" w:sz="4" w:space="0"/>
                    <w:left w:val="single" w:color="auto" w:sz="4" w:space="0"/>
                    <w:bottom w:val="single" w:color="auto" w:sz="4" w:space="0"/>
                    <w:right w:val="nil"/>
                  </w:tcBorders>
                  <w:noWrap w:val="0"/>
                  <w:vAlign w:val="center"/>
                </w:tcPr>
                <w:p w14:paraId="12CB1BF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yellow"/>
                    </w:rPr>
                  </w:pPr>
                </w:p>
              </w:tc>
            </w:tr>
            <w:tr w14:paraId="69DA5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365" w:type="pct"/>
                  <w:tcBorders>
                    <w:top w:val="single" w:color="auto" w:sz="4" w:space="0"/>
                    <w:left w:val="nil"/>
                    <w:bottom w:val="single" w:color="auto" w:sz="4" w:space="0"/>
                    <w:right w:val="single" w:color="auto" w:sz="4" w:space="0"/>
                  </w:tcBorders>
                  <w:shd w:val="clear" w:color="auto" w:fill="auto"/>
                  <w:noWrap w:val="0"/>
                  <w:vAlign w:val="center"/>
                </w:tcPr>
                <w:p w14:paraId="6B0D5E12">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36</w:t>
                  </w:r>
                </w:p>
              </w:tc>
              <w:tc>
                <w:tcPr>
                  <w:tcW w:w="1106" w:type="pct"/>
                  <w:tcBorders>
                    <w:top w:val="single" w:color="auto" w:sz="4" w:space="0"/>
                    <w:left w:val="single" w:color="auto" w:sz="4" w:space="0"/>
                    <w:bottom w:val="single" w:color="auto" w:sz="4" w:space="0"/>
                    <w:right w:val="single" w:color="auto" w:sz="4" w:space="0"/>
                  </w:tcBorders>
                  <w:noWrap w:val="0"/>
                  <w:vAlign w:val="center"/>
                </w:tcPr>
                <w:p w14:paraId="7848DA40">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金探</w:t>
                  </w:r>
                </w:p>
              </w:tc>
              <w:tc>
                <w:tcPr>
                  <w:tcW w:w="851" w:type="pct"/>
                  <w:tcBorders>
                    <w:top w:val="single" w:color="auto" w:sz="4" w:space="0"/>
                    <w:left w:val="single" w:color="auto" w:sz="4" w:space="0"/>
                    <w:bottom w:val="single" w:color="auto" w:sz="4" w:space="0"/>
                    <w:right w:val="single" w:color="auto" w:sz="4" w:space="0"/>
                  </w:tcBorders>
                  <w:noWrap w:val="0"/>
                  <w:vAlign w:val="center"/>
                </w:tcPr>
                <w:p w14:paraId="30ED4D02">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0.35w</w:t>
                  </w:r>
                </w:p>
              </w:tc>
              <w:tc>
                <w:tcPr>
                  <w:tcW w:w="482" w:type="pct"/>
                  <w:tcBorders>
                    <w:top w:val="single" w:color="auto" w:sz="4" w:space="0"/>
                    <w:left w:val="single" w:color="auto" w:sz="4" w:space="0"/>
                    <w:bottom w:val="single" w:color="auto" w:sz="4" w:space="0"/>
                    <w:right w:val="single" w:color="auto" w:sz="4" w:space="0"/>
                  </w:tcBorders>
                  <w:noWrap w:val="0"/>
                  <w:vAlign w:val="center"/>
                </w:tcPr>
                <w:p w14:paraId="2C55F52A">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0</w:t>
                  </w:r>
                </w:p>
              </w:tc>
              <w:tc>
                <w:tcPr>
                  <w:tcW w:w="545" w:type="pct"/>
                  <w:tcBorders>
                    <w:top w:val="single" w:color="auto" w:sz="4" w:space="0"/>
                    <w:left w:val="single" w:color="auto" w:sz="4" w:space="0"/>
                    <w:bottom w:val="single" w:color="auto" w:sz="4" w:space="0"/>
                    <w:right w:val="nil"/>
                  </w:tcBorders>
                  <w:noWrap w:val="0"/>
                  <w:vAlign w:val="center"/>
                </w:tcPr>
                <w:p w14:paraId="5A8BC84C">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1</w:t>
                  </w:r>
                </w:p>
              </w:tc>
              <w:tc>
                <w:tcPr>
                  <w:tcW w:w="599" w:type="pct"/>
                  <w:tcBorders>
                    <w:top w:val="single" w:color="auto" w:sz="4" w:space="0"/>
                    <w:left w:val="single" w:color="auto" w:sz="4" w:space="0"/>
                    <w:bottom w:val="single" w:color="auto" w:sz="4" w:space="0"/>
                    <w:right w:val="nil"/>
                  </w:tcBorders>
                  <w:noWrap w:val="0"/>
                  <w:vAlign w:val="center"/>
                </w:tcPr>
                <w:p w14:paraId="714F33BB">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1</w:t>
                  </w:r>
                </w:p>
              </w:tc>
              <w:tc>
                <w:tcPr>
                  <w:tcW w:w="796" w:type="pct"/>
                  <w:tcBorders>
                    <w:top w:val="single" w:color="auto" w:sz="4" w:space="0"/>
                    <w:left w:val="single" w:color="auto" w:sz="4" w:space="0"/>
                    <w:bottom w:val="single" w:color="auto" w:sz="4" w:space="0"/>
                    <w:right w:val="nil"/>
                  </w:tcBorders>
                  <w:shd w:val="clear" w:color="auto" w:fill="auto"/>
                  <w:noWrap w:val="0"/>
                  <w:vAlign w:val="center"/>
                </w:tcPr>
                <w:p w14:paraId="1C9D2F4C">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藻类产线</w:t>
                  </w:r>
                </w:p>
              </w:tc>
              <w:tc>
                <w:tcPr>
                  <w:tcW w:w="252" w:type="pct"/>
                  <w:vMerge w:val="continue"/>
                  <w:tcBorders>
                    <w:top w:val="single" w:color="auto" w:sz="4" w:space="0"/>
                    <w:left w:val="single" w:color="auto" w:sz="4" w:space="0"/>
                    <w:bottom w:val="single" w:color="auto" w:sz="4" w:space="0"/>
                    <w:right w:val="nil"/>
                  </w:tcBorders>
                  <w:noWrap w:val="0"/>
                  <w:vAlign w:val="center"/>
                </w:tcPr>
                <w:p w14:paraId="38EC2D9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yellow"/>
                    </w:rPr>
                  </w:pPr>
                </w:p>
              </w:tc>
            </w:tr>
            <w:tr w14:paraId="79A7F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365" w:type="pct"/>
                  <w:tcBorders>
                    <w:top w:val="single" w:color="auto" w:sz="4" w:space="0"/>
                    <w:left w:val="nil"/>
                    <w:bottom w:val="single" w:color="auto" w:sz="4" w:space="0"/>
                    <w:right w:val="single" w:color="auto" w:sz="4" w:space="0"/>
                  </w:tcBorders>
                  <w:shd w:val="clear" w:color="auto" w:fill="auto"/>
                  <w:noWrap w:val="0"/>
                  <w:vAlign w:val="center"/>
                </w:tcPr>
                <w:p w14:paraId="3C5704B3">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37</w:t>
                  </w:r>
                </w:p>
              </w:tc>
              <w:tc>
                <w:tcPr>
                  <w:tcW w:w="1106" w:type="pct"/>
                  <w:tcBorders>
                    <w:top w:val="single" w:color="auto" w:sz="4" w:space="0"/>
                    <w:left w:val="single" w:color="auto" w:sz="4" w:space="0"/>
                    <w:bottom w:val="single" w:color="auto" w:sz="4" w:space="0"/>
                    <w:right w:val="single" w:color="auto" w:sz="4" w:space="0"/>
                  </w:tcBorders>
                  <w:noWrap w:val="0"/>
                  <w:vAlign w:val="center"/>
                </w:tcPr>
                <w:p w14:paraId="49FFDC10">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X光机</w:t>
                  </w:r>
                </w:p>
              </w:tc>
              <w:tc>
                <w:tcPr>
                  <w:tcW w:w="851" w:type="pct"/>
                  <w:tcBorders>
                    <w:top w:val="single" w:color="auto" w:sz="4" w:space="0"/>
                    <w:left w:val="single" w:color="auto" w:sz="4" w:space="0"/>
                    <w:bottom w:val="single" w:color="auto" w:sz="4" w:space="0"/>
                    <w:right w:val="single" w:color="auto" w:sz="4" w:space="0"/>
                  </w:tcBorders>
                  <w:noWrap w:val="0"/>
                  <w:vAlign w:val="center"/>
                </w:tcPr>
                <w:p w14:paraId="274D5A0A">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1.5w</w:t>
                  </w:r>
                </w:p>
              </w:tc>
              <w:tc>
                <w:tcPr>
                  <w:tcW w:w="482" w:type="pct"/>
                  <w:tcBorders>
                    <w:top w:val="single" w:color="auto" w:sz="4" w:space="0"/>
                    <w:left w:val="single" w:color="auto" w:sz="4" w:space="0"/>
                    <w:bottom w:val="single" w:color="auto" w:sz="4" w:space="0"/>
                    <w:right w:val="single" w:color="auto" w:sz="4" w:space="0"/>
                  </w:tcBorders>
                  <w:noWrap w:val="0"/>
                  <w:vAlign w:val="center"/>
                </w:tcPr>
                <w:p w14:paraId="5A6321F9">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0</w:t>
                  </w:r>
                </w:p>
              </w:tc>
              <w:tc>
                <w:tcPr>
                  <w:tcW w:w="545" w:type="pct"/>
                  <w:tcBorders>
                    <w:top w:val="single" w:color="auto" w:sz="4" w:space="0"/>
                    <w:left w:val="single" w:color="auto" w:sz="4" w:space="0"/>
                    <w:bottom w:val="single" w:color="auto" w:sz="4" w:space="0"/>
                    <w:right w:val="nil"/>
                  </w:tcBorders>
                  <w:noWrap w:val="0"/>
                  <w:vAlign w:val="center"/>
                </w:tcPr>
                <w:p w14:paraId="4083DEBC">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1</w:t>
                  </w:r>
                </w:p>
              </w:tc>
              <w:tc>
                <w:tcPr>
                  <w:tcW w:w="599" w:type="pct"/>
                  <w:tcBorders>
                    <w:top w:val="single" w:color="auto" w:sz="4" w:space="0"/>
                    <w:left w:val="single" w:color="auto" w:sz="4" w:space="0"/>
                    <w:bottom w:val="single" w:color="auto" w:sz="4" w:space="0"/>
                    <w:right w:val="nil"/>
                  </w:tcBorders>
                  <w:noWrap w:val="0"/>
                  <w:vAlign w:val="center"/>
                </w:tcPr>
                <w:p w14:paraId="0BBF4019">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1</w:t>
                  </w:r>
                </w:p>
              </w:tc>
              <w:tc>
                <w:tcPr>
                  <w:tcW w:w="796" w:type="pct"/>
                  <w:tcBorders>
                    <w:top w:val="single" w:color="auto" w:sz="4" w:space="0"/>
                    <w:left w:val="single" w:color="auto" w:sz="4" w:space="0"/>
                    <w:bottom w:val="single" w:color="auto" w:sz="4" w:space="0"/>
                    <w:right w:val="nil"/>
                  </w:tcBorders>
                  <w:shd w:val="clear" w:color="auto" w:fill="auto"/>
                  <w:noWrap w:val="0"/>
                  <w:vAlign w:val="center"/>
                </w:tcPr>
                <w:p w14:paraId="61FC1B30">
                  <w:pPr>
                    <w:adjustRightInd w:val="0"/>
                    <w:snapToGrid w:val="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藻类产线</w:t>
                  </w:r>
                </w:p>
              </w:tc>
              <w:tc>
                <w:tcPr>
                  <w:tcW w:w="252" w:type="pct"/>
                  <w:vMerge w:val="continue"/>
                  <w:tcBorders>
                    <w:top w:val="single" w:color="auto" w:sz="4" w:space="0"/>
                    <w:left w:val="single" w:color="auto" w:sz="4" w:space="0"/>
                    <w:bottom w:val="single" w:color="auto" w:sz="4" w:space="0"/>
                    <w:right w:val="nil"/>
                  </w:tcBorders>
                  <w:noWrap w:val="0"/>
                  <w:vAlign w:val="center"/>
                </w:tcPr>
                <w:p w14:paraId="3B81697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yellow"/>
                    </w:rPr>
                  </w:pPr>
                </w:p>
              </w:tc>
            </w:tr>
            <w:tr w14:paraId="0D93E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65" w:type="pct"/>
                  <w:tcBorders>
                    <w:top w:val="single" w:color="auto" w:sz="4" w:space="0"/>
                    <w:left w:val="nil"/>
                    <w:bottom w:val="single" w:color="auto" w:sz="4" w:space="0"/>
                    <w:right w:val="single" w:color="auto" w:sz="4" w:space="0"/>
                  </w:tcBorders>
                  <w:shd w:val="clear" w:color="auto" w:fill="auto"/>
                  <w:noWrap w:val="0"/>
                  <w:vAlign w:val="center"/>
                </w:tcPr>
                <w:p w14:paraId="49D285AD">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38</w:t>
                  </w:r>
                </w:p>
              </w:tc>
              <w:tc>
                <w:tcPr>
                  <w:tcW w:w="110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09CC75D">
                  <w:pPr>
                    <w:adjustRightInd w:val="0"/>
                    <w:snapToGrid w:val="0"/>
                    <w:jc w:val="center"/>
                    <w:rPr>
                      <w:rFonts w:hint="default" w:ascii="Times New Roman" w:hAnsi="Times New Roman" w:eastAsia="宋体" w:cs="Times New Roman"/>
                      <w:color w:val="auto"/>
                      <w:kern w:val="2"/>
                      <w:sz w:val="21"/>
                      <w:szCs w:val="21"/>
                      <w:lang w:val="en-US" w:eastAsia="zh-CN" w:bidi="ar-SA"/>
                    </w:rPr>
                  </w:pPr>
                  <w:r>
                    <w:rPr>
                      <w:color w:val="auto"/>
                      <w:szCs w:val="21"/>
                    </w:rPr>
                    <w:t>蔬菜清洗机</w:t>
                  </w:r>
                </w:p>
              </w:tc>
              <w:tc>
                <w:tcPr>
                  <w:tcW w:w="85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D960D19">
                  <w:pPr>
                    <w:adjustRightInd w:val="0"/>
                    <w:snapToGrid w:val="0"/>
                    <w:jc w:val="center"/>
                    <w:rPr>
                      <w:rFonts w:hint="default" w:ascii="Times New Roman" w:hAnsi="Times New Roman" w:eastAsia="宋体" w:cs="Times New Roman"/>
                      <w:color w:val="auto"/>
                      <w:kern w:val="2"/>
                      <w:sz w:val="21"/>
                      <w:szCs w:val="21"/>
                      <w:lang w:val="en-US" w:eastAsia="zh-CN" w:bidi="ar-SA"/>
                    </w:rPr>
                  </w:pPr>
                  <w:r>
                    <w:rPr>
                      <w:color w:val="auto"/>
                      <w:szCs w:val="21"/>
                    </w:rPr>
                    <w:t>YT268</w:t>
                  </w:r>
                </w:p>
              </w:tc>
              <w:tc>
                <w:tcPr>
                  <w:tcW w:w="48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1A4B733">
                  <w:pPr>
                    <w:adjustRightInd w:val="0"/>
                    <w:snapToGrid w:val="0"/>
                    <w:jc w:val="center"/>
                    <w:rPr>
                      <w:rFonts w:hint="default" w:ascii="Times New Roman" w:hAnsi="Times New Roman" w:eastAsia="宋体" w:cs="Times New Roman"/>
                      <w:color w:val="auto"/>
                      <w:kern w:val="2"/>
                      <w:sz w:val="21"/>
                      <w:szCs w:val="21"/>
                      <w:lang w:val="en-US" w:eastAsia="zh-CN" w:bidi="ar-SA"/>
                    </w:rPr>
                  </w:pPr>
                  <w:r>
                    <w:rPr>
                      <w:color w:val="auto"/>
                      <w:szCs w:val="21"/>
                    </w:rPr>
                    <w:t>3</w:t>
                  </w:r>
                </w:p>
              </w:tc>
              <w:tc>
                <w:tcPr>
                  <w:tcW w:w="545" w:type="pct"/>
                  <w:tcBorders>
                    <w:top w:val="single" w:color="auto" w:sz="4" w:space="0"/>
                    <w:left w:val="single" w:color="auto" w:sz="4" w:space="0"/>
                    <w:bottom w:val="single" w:color="auto" w:sz="4" w:space="0"/>
                    <w:right w:val="nil"/>
                  </w:tcBorders>
                  <w:noWrap w:val="0"/>
                  <w:vAlign w:val="center"/>
                </w:tcPr>
                <w:p w14:paraId="1832359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w:t>
                  </w:r>
                </w:p>
              </w:tc>
              <w:tc>
                <w:tcPr>
                  <w:tcW w:w="599" w:type="pct"/>
                  <w:tcBorders>
                    <w:top w:val="single" w:color="auto" w:sz="4" w:space="0"/>
                    <w:left w:val="single" w:color="auto" w:sz="4" w:space="0"/>
                    <w:bottom w:val="single" w:color="auto" w:sz="4" w:space="0"/>
                    <w:right w:val="nil"/>
                  </w:tcBorders>
                  <w:shd w:val="clear" w:color="auto" w:fill="auto"/>
                  <w:noWrap w:val="0"/>
                  <w:vAlign w:val="center"/>
                </w:tcPr>
                <w:p w14:paraId="696C7AC0">
                  <w:pPr>
                    <w:adjustRightInd w:val="0"/>
                    <w:snapToGrid w:val="0"/>
                    <w:jc w:val="center"/>
                    <w:rPr>
                      <w:rFonts w:hint="default"/>
                      <w:color w:val="auto"/>
                      <w:szCs w:val="21"/>
                      <w:lang w:val="en-US" w:eastAsia="zh-CN"/>
                    </w:rPr>
                  </w:pPr>
                  <w:r>
                    <w:rPr>
                      <w:color w:val="auto"/>
                      <w:szCs w:val="21"/>
                    </w:rPr>
                    <w:t>3</w:t>
                  </w:r>
                </w:p>
              </w:tc>
              <w:tc>
                <w:tcPr>
                  <w:tcW w:w="796" w:type="pct"/>
                  <w:tcBorders>
                    <w:top w:val="single" w:color="auto" w:sz="4" w:space="0"/>
                    <w:left w:val="single" w:color="auto" w:sz="4" w:space="0"/>
                    <w:right w:val="nil"/>
                  </w:tcBorders>
                  <w:noWrap w:val="0"/>
                  <w:vAlign w:val="center"/>
                </w:tcPr>
                <w:p w14:paraId="46156862">
                  <w:pPr>
                    <w:adjustRightInd w:val="0"/>
                    <w:snapToGrid w:val="0"/>
                    <w:jc w:val="center"/>
                    <w:rPr>
                      <w:rFonts w:hint="eastAsia" w:eastAsia="宋体"/>
                      <w:color w:val="auto"/>
                      <w:szCs w:val="21"/>
                      <w:lang w:val="en-US" w:eastAsia="zh-CN"/>
                    </w:rPr>
                  </w:pPr>
                  <w:r>
                    <w:rPr>
                      <w:rFonts w:hint="eastAsia"/>
                      <w:color w:val="auto"/>
                      <w:szCs w:val="21"/>
                      <w:lang w:val="en-US" w:eastAsia="zh-CN"/>
                    </w:rPr>
                    <w:t>/</w:t>
                  </w:r>
                </w:p>
              </w:tc>
              <w:tc>
                <w:tcPr>
                  <w:tcW w:w="252" w:type="pct"/>
                  <w:vMerge w:val="restart"/>
                  <w:tcBorders>
                    <w:top w:val="single" w:color="auto" w:sz="4" w:space="0"/>
                    <w:left w:val="single" w:color="auto" w:sz="4" w:space="0"/>
                    <w:right w:val="nil"/>
                  </w:tcBorders>
                  <w:noWrap w:val="0"/>
                  <w:vAlign w:val="center"/>
                </w:tcPr>
                <w:p w14:paraId="0207428D">
                  <w:pPr>
                    <w:adjustRightInd w:val="0"/>
                    <w:snapToGrid w:val="0"/>
                    <w:jc w:val="center"/>
                    <w:rPr>
                      <w:rFonts w:hint="eastAsia"/>
                      <w:color w:val="auto"/>
                      <w:szCs w:val="21"/>
                      <w:lang w:eastAsia="zh-CN"/>
                    </w:rPr>
                  </w:pPr>
                  <w:r>
                    <w:rPr>
                      <w:rFonts w:hint="eastAsia"/>
                      <w:color w:val="auto"/>
                      <w:szCs w:val="21"/>
                      <w:lang w:eastAsia="zh-CN"/>
                    </w:rPr>
                    <w:t>现有项目</w:t>
                  </w:r>
                </w:p>
              </w:tc>
            </w:tr>
            <w:tr w14:paraId="6CD42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65" w:type="pct"/>
                  <w:tcBorders>
                    <w:top w:val="single" w:color="auto" w:sz="4" w:space="0"/>
                    <w:left w:val="nil"/>
                    <w:bottom w:val="single" w:color="auto" w:sz="4" w:space="0"/>
                    <w:right w:val="single" w:color="auto" w:sz="4" w:space="0"/>
                  </w:tcBorders>
                  <w:shd w:val="clear" w:color="auto" w:fill="auto"/>
                  <w:noWrap w:val="0"/>
                  <w:vAlign w:val="center"/>
                </w:tcPr>
                <w:p w14:paraId="0DA97714">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39</w:t>
                  </w:r>
                </w:p>
              </w:tc>
              <w:tc>
                <w:tcPr>
                  <w:tcW w:w="110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11AD9E3">
                  <w:pPr>
                    <w:adjustRightInd w:val="0"/>
                    <w:snapToGrid w:val="0"/>
                    <w:jc w:val="center"/>
                    <w:rPr>
                      <w:rFonts w:hint="default" w:ascii="Times New Roman" w:hAnsi="Times New Roman" w:eastAsia="宋体" w:cs="Times New Roman"/>
                      <w:color w:val="auto"/>
                      <w:kern w:val="2"/>
                      <w:sz w:val="21"/>
                      <w:szCs w:val="21"/>
                      <w:lang w:val="en-US" w:eastAsia="zh-CN" w:bidi="ar-SA"/>
                    </w:rPr>
                  </w:pPr>
                  <w:r>
                    <w:rPr>
                      <w:color w:val="auto"/>
                      <w:szCs w:val="21"/>
                    </w:rPr>
                    <w:t>切段机</w:t>
                  </w:r>
                </w:p>
              </w:tc>
              <w:tc>
                <w:tcPr>
                  <w:tcW w:w="85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76D7C6D">
                  <w:pPr>
                    <w:adjustRightInd w:val="0"/>
                    <w:snapToGrid w:val="0"/>
                    <w:jc w:val="center"/>
                    <w:rPr>
                      <w:rFonts w:hint="default" w:ascii="Times New Roman" w:hAnsi="Times New Roman" w:eastAsia="宋体" w:cs="Times New Roman"/>
                      <w:color w:val="auto"/>
                      <w:kern w:val="2"/>
                      <w:sz w:val="21"/>
                      <w:szCs w:val="21"/>
                      <w:lang w:val="en-US" w:eastAsia="zh-CN" w:bidi="ar-SA"/>
                    </w:rPr>
                  </w:pPr>
                  <w:r>
                    <w:rPr>
                      <w:color w:val="auto"/>
                      <w:szCs w:val="21"/>
                    </w:rPr>
                    <w:t>/</w:t>
                  </w:r>
                </w:p>
              </w:tc>
              <w:tc>
                <w:tcPr>
                  <w:tcW w:w="48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DBBDBA5">
                  <w:pPr>
                    <w:adjustRightInd w:val="0"/>
                    <w:snapToGrid w:val="0"/>
                    <w:jc w:val="center"/>
                    <w:rPr>
                      <w:rFonts w:hint="default" w:ascii="Times New Roman" w:hAnsi="Times New Roman" w:eastAsia="宋体" w:cs="Times New Roman"/>
                      <w:color w:val="auto"/>
                      <w:kern w:val="2"/>
                      <w:sz w:val="21"/>
                      <w:szCs w:val="21"/>
                      <w:lang w:val="en-US" w:eastAsia="zh-CN" w:bidi="ar-SA"/>
                    </w:rPr>
                  </w:pPr>
                  <w:r>
                    <w:rPr>
                      <w:color w:val="auto"/>
                      <w:szCs w:val="21"/>
                    </w:rPr>
                    <w:t>3</w:t>
                  </w:r>
                </w:p>
              </w:tc>
              <w:tc>
                <w:tcPr>
                  <w:tcW w:w="545" w:type="pct"/>
                  <w:tcBorders>
                    <w:top w:val="single" w:color="auto" w:sz="4" w:space="0"/>
                    <w:left w:val="single" w:color="auto" w:sz="4" w:space="0"/>
                    <w:bottom w:val="single" w:color="auto" w:sz="4" w:space="0"/>
                    <w:right w:val="nil"/>
                  </w:tcBorders>
                  <w:noWrap w:val="0"/>
                  <w:vAlign w:val="center"/>
                </w:tcPr>
                <w:p w14:paraId="56C2DFB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w:t>
                  </w:r>
                </w:p>
              </w:tc>
              <w:tc>
                <w:tcPr>
                  <w:tcW w:w="599" w:type="pct"/>
                  <w:tcBorders>
                    <w:top w:val="single" w:color="auto" w:sz="4" w:space="0"/>
                    <w:left w:val="single" w:color="auto" w:sz="4" w:space="0"/>
                    <w:bottom w:val="single" w:color="auto" w:sz="4" w:space="0"/>
                    <w:right w:val="nil"/>
                  </w:tcBorders>
                  <w:shd w:val="clear" w:color="auto" w:fill="auto"/>
                  <w:noWrap w:val="0"/>
                  <w:vAlign w:val="center"/>
                </w:tcPr>
                <w:p w14:paraId="2F7D1DC1">
                  <w:pPr>
                    <w:adjustRightInd w:val="0"/>
                    <w:snapToGrid w:val="0"/>
                    <w:jc w:val="center"/>
                    <w:rPr>
                      <w:rFonts w:hint="default"/>
                      <w:color w:val="auto"/>
                      <w:szCs w:val="21"/>
                      <w:lang w:val="en-US" w:eastAsia="zh-CN"/>
                    </w:rPr>
                  </w:pPr>
                  <w:r>
                    <w:rPr>
                      <w:color w:val="auto"/>
                      <w:szCs w:val="21"/>
                    </w:rPr>
                    <w:t>3</w:t>
                  </w:r>
                </w:p>
              </w:tc>
              <w:tc>
                <w:tcPr>
                  <w:tcW w:w="796" w:type="pct"/>
                  <w:tcBorders>
                    <w:left w:val="single" w:color="auto" w:sz="4" w:space="0"/>
                    <w:right w:val="nil"/>
                  </w:tcBorders>
                  <w:noWrap w:val="0"/>
                  <w:vAlign w:val="center"/>
                </w:tcPr>
                <w:p w14:paraId="15FBEA77">
                  <w:pPr>
                    <w:adjustRightInd w:val="0"/>
                    <w:snapToGrid w:val="0"/>
                    <w:jc w:val="center"/>
                    <w:rPr>
                      <w:color w:val="auto"/>
                      <w:szCs w:val="21"/>
                    </w:rPr>
                  </w:pPr>
                  <w:r>
                    <w:rPr>
                      <w:rFonts w:hint="eastAsia"/>
                      <w:color w:val="auto"/>
                      <w:szCs w:val="21"/>
                      <w:lang w:val="en-US" w:eastAsia="zh-CN"/>
                    </w:rPr>
                    <w:t>/</w:t>
                  </w:r>
                </w:p>
              </w:tc>
              <w:tc>
                <w:tcPr>
                  <w:tcW w:w="252" w:type="pct"/>
                  <w:vMerge w:val="continue"/>
                  <w:tcBorders>
                    <w:left w:val="single" w:color="auto" w:sz="4" w:space="0"/>
                    <w:right w:val="nil"/>
                  </w:tcBorders>
                  <w:noWrap w:val="0"/>
                  <w:vAlign w:val="center"/>
                </w:tcPr>
                <w:p w14:paraId="5E391834">
                  <w:pPr>
                    <w:adjustRightInd w:val="0"/>
                    <w:snapToGrid w:val="0"/>
                    <w:jc w:val="center"/>
                    <w:rPr>
                      <w:rFonts w:hint="default"/>
                      <w:color w:val="auto"/>
                      <w:szCs w:val="21"/>
                    </w:rPr>
                  </w:pPr>
                </w:p>
              </w:tc>
            </w:tr>
            <w:tr w14:paraId="3F927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65" w:type="pct"/>
                  <w:tcBorders>
                    <w:top w:val="single" w:color="auto" w:sz="4" w:space="0"/>
                    <w:left w:val="nil"/>
                    <w:bottom w:val="single" w:color="auto" w:sz="4" w:space="0"/>
                    <w:right w:val="single" w:color="auto" w:sz="4" w:space="0"/>
                  </w:tcBorders>
                  <w:shd w:val="clear" w:color="auto" w:fill="auto"/>
                  <w:noWrap w:val="0"/>
                  <w:vAlign w:val="center"/>
                </w:tcPr>
                <w:p w14:paraId="7D72E950">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40</w:t>
                  </w:r>
                </w:p>
              </w:tc>
              <w:tc>
                <w:tcPr>
                  <w:tcW w:w="110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1A4FC50">
                  <w:pPr>
                    <w:adjustRightInd w:val="0"/>
                    <w:snapToGrid w:val="0"/>
                    <w:jc w:val="center"/>
                    <w:rPr>
                      <w:rFonts w:hint="default" w:ascii="Times New Roman" w:hAnsi="Times New Roman" w:eastAsia="宋体" w:cs="Times New Roman"/>
                      <w:color w:val="auto"/>
                      <w:kern w:val="2"/>
                      <w:sz w:val="21"/>
                      <w:szCs w:val="21"/>
                      <w:lang w:val="en-US" w:eastAsia="zh-CN" w:bidi="ar-SA"/>
                    </w:rPr>
                  </w:pPr>
                  <w:r>
                    <w:rPr>
                      <w:color w:val="auto"/>
                      <w:szCs w:val="21"/>
                    </w:rPr>
                    <w:t>切片机</w:t>
                  </w:r>
                </w:p>
              </w:tc>
              <w:tc>
                <w:tcPr>
                  <w:tcW w:w="85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9AF1BF4">
                  <w:pPr>
                    <w:adjustRightInd w:val="0"/>
                    <w:snapToGrid w:val="0"/>
                    <w:jc w:val="center"/>
                    <w:rPr>
                      <w:rFonts w:hint="default" w:ascii="Times New Roman" w:hAnsi="Times New Roman" w:eastAsia="宋体" w:cs="Times New Roman"/>
                      <w:color w:val="auto"/>
                      <w:kern w:val="2"/>
                      <w:sz w:val="21"/>
                      <w:szCs w:val="21"/>
                      <w:lang w:val="en-US" w:eastAsia="zh-CN" w:bidi="ar-SA"/>
                    </w:rPr>
                  </w:pPr>
                  <w:r>
                    <w:rPr>
                      <w:color w:val="auto"/>
                      <w:szCs w:val="21"/>
                    </w:rPr>
                    <w:t>/</w:t>
                  </w:r>
                </w:p>
              </w:tc>
              <w:tc>
                <w:tcPr>
                  <w:tcW w:w="48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973D47C">
                  <w:pPr>
                    <w:adjustRightInd w:val="0"/>
                    <w:snapToGrid w:val="0"/>
                    <w:jc w:val="center"/>
                    <w:rPr>
                      <w:rFonts w:hint="default" w:ascii="Times New Roman" w:hAnsi="Times New Roman" w:eastAsia="宋体" w:cs="Times New Roman"/>
                      <w:color w:val="auto"/>
                      <w:kern w:val="2"/>
                      <w:sz w:val="21"/>
                      <w:szCs w:val="21"/>
                      <w:lang w:val="en-US" w:eastAsia="zh-CN" w:bidi="ar-SA"/>
                    </w:rPr>
                  </w:pPr>
                  <w:r>
                    <w:rPr>
                      <w:color w:val="auto"/>
                      <w:szCs w:val="21"/>
                    </w:rPr>
                    <w:t>3</w:t>
                  </w:r>
                </w:p>
              </w:tc>
              <w:tc>
                <w:tcPr>
                  <w:tcW w:w="545" w:type="pct"/>
                  <w:tcBorders>
                    <w:top w:val="single" w:color="auto" w:sz="4" w:space="0"/>
                    <w:left w:val="single" w:color="auto" w:sz="4" w:space="0"/>
                    <w:bottom w:val="single" w:color="auto" w:sz="4" w:space="0"/>
                    <w:right w:val="nil"/>
                  </w:tcBorders>
                  <w:noWrap w:val="0"/>
                  <w:vAlign w:val="center"/>
                </w:tcPr>
                <w:p w14:paraId="592ED35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w:t>
                  </w:r>
                </w:p>
              </w:tc>
              <w:tc>
                <w:tcPr>
                  <w:tcW w:w="599" w:type="pct"/>
                  <w:tcBorders>
                    <w:top w:val="single" w:color="auto" w:sz="4" w:space="0"/>
                    <w:left w:val="single" w:color="auto" w:sz="4" w:space="0"/>
                    <w:bottom w:val="single" w:color="auto" w:sz="4" w:space="0"/>
                    <w:right w:val="nil"/>
                  </w:tcBorders>
                  <w:shd w:val="clear" w:color="auto" w:fill="auto"/>
                  <w:noWrap w:val="0"/>
                  <w:vAlign w:val="center"/>
                </w:tcPr>
                <w:p w14:paraId="22ECEAC0">
                  <w:pPr>
                    <w:adjustRightInd w:val="0"/>
                    <w:snapToGrid w:val="0"/>
                    <w:jc w:val="center"/>
                    <w:rPr>
                      <w:rFonts w:hint="default"/>
                      <w:color w:val="auto"/>
                      <w:szCs w:val="21"/>
                      <w:lang w:val="en-US" w:eastAsia="zh-CN"/>
                    </w:rPr>
                  </w:pPr>
                  <w:r>
                    <w:rPr>
                      <w:color w:val="auto"/>
                      <w:szCs w:val="21"/>
                    </w:rPr>
                    <w:t>3</w:t>
                  </w:r>
                </w:p>
              </w:tc>
              <w:tc>
                <w:tcPr>
                  <w:tcW w:w="796" w:type="pct"/>
                  <w:tcBorders>
                    <w:left w:val="single" w:color="auto" w:sz="4" w:space="0"/>
                    <w:right w:val="nil"/>
                  </w:tcBorders>
                  <w:noWrap w:val="0"/>
                  <w:vAlign w:val="center"/>
                </w:tcPr>
                <w:p w14:paraId="150221E9">
                  <w:pPr>
                    <w:adjustRightInd w:val="0"/>
                    <w:snapToGrid w:val="0"/>
                    <w:jc w:val="center"/>
                    <w:rPr>
                      <w:color w:val="auto"/>
                      <w:szCs w:val="21"/>
                    </w:rPr>
                  </w:pPr>
                  <w:r>
                    <w:rPr>
                      <w:rFonts w:hint="eastAsia"/>
                      <w:color w:val="auto"/>
                      <w:szCs w:val="21"/>
                      <w:lang w:val="en-US" w:eastAsia="zh-CN"/>
                    </w:rPr>
                    <w:t>/</w:t>
                  </w:r>
                </w:p>
              </w:tc>
              <w:tc>
                <w:tcPr>
                  <w:tcW w:w="252" w:type="pct"/>
                  <w:vMerge w:val="continue"/>
                  <w:tcBorders>
                    <w:left w:val="single" w:color="auto" w:sz="4" w:space="0"/>
                    <w:right w:val="nil"/>
                  </w:tcBorders>
                  <w:noWrap w:val="0"/>
                  <w:vAlign w:val="center"/>
                </w:tcPr>
                <w:p w14:paraId="3E767919">
                  <w:pPr>
                    <w:adjustRightInd w:val="0"/>
                    <w:snapToGrid w:val="0"/>
                    <w:jc w:val="center"/>
                    <w:rPr>
                      <w:rFonts w:hint="default"/>
                      <w:color w:val="auto"/>
                      <w:szCs w:val="21"/>
                    </w:rPr>
                  </w:pPr>
                </w:p>
              </w:tc>
            </w:tr>
            <w:tr w14:paraId="1D6A9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65" w:type="pct"/>
                  <w:tcBorders>
                    <w:top w:val="single" w:color="auto" w:sz="4" w:space="0"/>
                    <w:left w:val="nil"/>
                    <w:bottom w:val="single" w:color="auto" w:sz="4" w:space="0"/>
                    <w:right w:val="single" w:color="auto" w:sz="4" w:space="0"/>
                  </w:tcBorders>
                  <w:shd w:val="clear" w:color="auto" w:fill="auto"/>
                  <w:noWrap w:val="0"/>
                  <w:vAlign w:val="center"/>
                </w:tcPr>
                <w:p w14:paraId="7566EFD1">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41</w:t>
                  </w:r>
                </w:p>
              </w:tc>
              <w:tc>
                <w:tcPr>
                  <w:tcW w:w="110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D019B30">
                  <w:pPr>
                    <w:adjustRightInd w:val="0"/>
                    <w:snapToGrid w:val="0"/>
                    <w:jc w:val="center"/>
                    <w:rPr>
                      <w:rFonts w:hint="default" w:ascii="Times New Roman" w:hAnsi="Times New Roman" w:eastAsia="宋体" w:cs="Times New Roman"/>
                      <w:color w:val="auto"/>
                      <w:kern w:val="2"/>
                      <w:sz w:val="21"/>
                      <w:szCs w:val="21"/>
                      <w:lang w:val="en-US" w:eastAsia="zh-CN" w:bidi="ar-SA"/>
                    </w:rPr>
                  </w:pPr>
                  <w:r>
                    <w:rPr>
                      <w:color w:val="auto"/>
                      <w:szCs w:val="21"/>
                    </w:rPr>
                    <w:t>蒸煮机</w:t>
                  </w:r>
                </w:p>
              </w:tc>
              <w:tc>
                <w:tcPr>
                  <w:tcW w:w="85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C5FC3D4">
                  <w:pPr>
                    <w:adjustRightInd w:val="0"/>
                    <w:snapToGrid w:val="0"/>
                    <w:jc w:val="center"/>
                    <w:rPr>
                      <w:rFonts w:hint="default" w:ascii="Times New Roman" w:hAnsi="Times New Roman" w:eastAsia="宋体" w:cs="Times New Roman"/>
                      <w:color w:val="auto"/>
                      <w:kern w:val="2"/>
                      <w:sz w:val="21"/>
                      <w:szCs w:val="21"/>
                      <w:lang w:val="en-US" w:eastAsia="zh-CN" w:bidi="ar-SA"/>
                    </w:rPr>
                  </w:pPr>
                  <w:r>
                    <w:rPr>
                      <w:color w:val="auto"/>
                      <w:szCs w:val="21"/>
                    </w:rPr>
                    <w:t>/</w:t>
                  </w:r>
                </w:p>
              </w:tc>
              <w:tc>
                <w:tcPr>
                  <w:tcW w:w="48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F747A63">
                  <w:pPr>
                    <w:adjustRightInd w:val="0"/>
                    <w:snapToGrid w:val="0"/>
                    <w:jc w:val="center"/>
                    <w:rPr>
                      <w:rFonts w:hint="default" w:ascii="Times New Roman" w:hAnsi="Times New Roman" w:eastAsia="宋体" w:cs="Times New Roman"/>
                      <w:color w:val="auto"/>
                      <w:kern w:val="2"/>
                      <w:sz w:val="21"/>
                      <w:szCs w:val="21"/>
                      <w:lang w:val="en-US" w:eastAsia="zh-CN" w:bidi="ar-SA"/>
                    </w:rPr>
                  </w:pPr>
                  <w:r>
                    <w:rPr>
                      <w:color w:val="auto"/>
                      <w:szCs w:val="21"/>
                    </w:rPr>
                    <w:t>2</w:t>
                  </w:r>
                </w:p>
              </w:tc>
              <w:tc>
                <w:tcPr>
                  <w:tcW w:w="545" w:type="pct"/>
                  <w:tcBorders>
                    <w:top w:val="single" w:color="auto" w:sz="4" w:space="0"/>
                    <w:left w:val="single" w:color="auto" w:sz="4" w:space="0"/>
                    <w:bottom w:val="single" w:color="auto" w:sz="4" w:space="0"/>
                    <w:right w:val="nil"/>
                  </w:tcBorders>
                  <w:noWrap w:val="0"/>
                  <w:vAlign w:val="center"/>
                </w:tcPr>
                <w:p w14:paraId="3044ADD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w:t>
                  </w:r>
                </w:p>
              </w:tc>
              <w:tc>
                <w:tcPr>
                  <w:tcW w:w="599" w:type="pct"/>
                  <w:tcBorders>
                    <w:top w:val="single" w:color="auto" w:sz="4" w:space="0"/>
                    <w:left w:val="single" w:color="auto" w:sz="4" w:space="0"/>
                    <w:bottom w:val="single" w:color="auto" w:sz="4" w:space="0"/>
                    <w:right w:val="nil"/>
                  </w:tcBorders>
                  <w:shd w:val="clear" w:color="auto" w:fill="auto"/>
                  <w:noWrap w:val="0"/>
                  <w:vAlign w:val="center"/>
                </w:tcPr>
                <w:p w14:paraId="4C2D2E89">
                  <w:pPr>
                    <w:adjustRightInd w:val="0"/>
                    <w:snapToGrid w:val="0"/>
                    <w:jc w:val="center"/>
                    <w:rPr>
                      <w:rFonts w:hint="default"/>
                      <w:color w:val="auto"/>
                      <w:szCs w:val="21"/>
                      <w:lang w:val="en-US" w:eastAsia="zh-CN"/>
                    </w:rPr>
                  </w:pPr>
                  <w:r>
                    <w:rPr>
                      <w:color w:val="auto"/>
                      <w:szCs w:val="21"/>
                    </w:rPr>
                    <w:t>2</w:t>
                  </w:r>
                </w:p>
              </w:tc>
              <w:tc>
                <w:tcPr>
                  <w:tcW w:w="796" w:type="pct"/>
                  <w:tcBorders>
                    <w:left w:val="single" w:color="auto" w:sz="4" w:space="0"/>
                    <w:right w:val="nil"/>
                  </w:tcBorders>
                  <w:noWrap w:val="0"/>
                  <w:vAlign w:val="center"/>
                </w:tcPr>
                <w:p w14:paraId="4CF36796">
                  <w:pPr>
                    <w:adjustRightInd w:val="0"/>
                    <w:snapToGrid w:val="0"/>
                    <w:jc w:val="center"/>
                    <w:rPr>
                      <w:color w:val="auto"/>
                      <w:szCs w:val="21"/>
                    </w:rPr>
                  </w:pPr>
                  <w:r>
                    <w:rPr>
                      <w:rFonts w:hint="eastAsia"/>
                      <w:color w:val="auto"/>
                      <w:szCs w:val="21"/>
                      <w:lang w:val="en-US" w:eastAsia="zh-CN"/>
                    </w:rPr>
                    <w:t>/</w:t>
                  </w:r>
                </w:p>
              </w:tc>
              <w:tc>
                <w:tcPr>
                  <w:tcW w:w="252" w:type="pct"/>
                  <w:vMerge w:val="continue"/>
                  <w:tcBorders>
                    <w:left w:val="single" w:color="auto" w:sz="4" w:space="0"/>
                    <w:right w:val="nil"/>
                  </w:tcBorders>
                  <w:noWrap w:val="0"/>
                  <w:vAlign w:val="center"/>
                </w:tcPr>
                <w:p w14:paraId="2BE9043F">
                  <w:pPr>
                    <w:adjustRightInd w:val="0"/>
                    <w:snapToGrid w:val="0"/>
                    <w:jc w:val="center"/>
                    <w:rPr>
                      <w:rFonts w:hint="default"/>
                      <w:color w:val="auto"/>
                      <w:szCs w:val="21"/>
                    </w:rPr>
                  </w:pPr>
                </w:p>
              </w:tc>
            </w:tr>
            <w:tr w14:paraId="65A7B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65" w:type="pct"/>
                  <w:tcBorders>
                    <w:top w:val="single" w:color="auto" w:sz="4" w:space="0"/>
                    <w:left w:val="nil"/>
                    <w:bottom w:val="single" w:color="auto" w:sz="4" w:space="0"/>
                    <w:right w:val="single" w:color="auto" w:sz="4" w:space="0"/>
                  </w:tcBorders>
                  <w:shd w:val="clear" w:color="auto" w:fill="auto"/>
                  <w:noWrap w:val="0"/>
                  <w:vAlign w:val="center"/>
                </w:tcPr>
                <w:p w14:paraId="2E4115C3">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42</w:t>
                  </w:r>
                </w:p>
              </w:tc>
              <w:tc>
                <w:tcPr>
                  <w:tcW w:w="110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E033AB0">
                  <w:pPr>
                    <w:adjustRightInd w:val="0"/>
                    <w:snapToGrid w:val="0"/>
                    <w:jc w:val="center"/>
                    <w:rPr>
                      <w:rFonts w:hint="default" w:ascii="Times New Roman" w:hAnsi="Times New Roman" w:eastAsia="宋体" w:cs="Times New Roman"/>
                      <w:color w:val="auto"/>
                      <w:kern w:val="2"/>
                      <w:sz w:val="21"/>
                      <w:szCs w:val="21"/>
                      <w:lang w:val="en-US" w:eastAsia="zh-CN" w:bidi="ar-SA"/>
                    </w:rPr>
                  </w:pPr>
                  <w:r>
                    <w:rPr>
                      <w:color w:val="auto"/>
                      <w:szCs w:val="21"/>
                    </w:rPr>
                    <w:t>脱水机</w:t>
                  </w:r>
                </w:p>
              </w:tc>
              <w:tc>
                <w:tcPr>
                  <w:tcW w:w="85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C43146D">
                  <w:pPr>
                    <w:adjustRightInd w:val="0"/>
                    <w:snapToGrid w:val="0"/>
                    <w:jc w:val="center"/>
                    <w:rPr>
                      <w:rFonts w:hint="default" w:ascii="Times New Roman" w:hAnsi="Times New Roman" w:eastAsia="宋体" w:cs="Times New Roman"/>
                      <w:color w:val="auto"/>
                      <w:kern w:val="2"/>
                      <w:sz w:val="21"/>
                      <w:szCs w:val="21"/>
                      <w:lang w:val="en-US" w:eastAsia="zh-CN" w:bidi="ar-SA"/>
                    </w:rPr>
                  </w:pPr>
                  <w:r>
                    <w:rPr>
                      <w:color w:val="auto"/>
                      <w:szCs w:val="21"/>
                    </w:rPr>
                    <w:t>/</w:t>
                  </w:r>
                </w:p>
              </w:tc>
              <w:tc>
                <w:tcPr>
                  <w:tcW w:w="48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9D97DE9">
                  <w:pPr>
                    <w:adjustRightInd w:val="0"/>
                    <w:snapToGrid w:val="0"/>
                    <w:jc w:val="center"/>
                    <w:rPr>
                      <w:rFonts w:hint="default" w:ascii="Times New Roman" w:hAnsi="Times New Roman" w:eastAsia="宋体" w:cs="Times New Roman"/>
                      <w:color w:val="auto"/>
                      <w:kern w:val="2"/>
                      <w:sz w:val="21"/>
                      <w:szCs w:val="21"/>
                      <w:lang w:val="en-US" w:eastAsia="zh-CN" w:bidi="ar-SA"/>
                    </w:rPr>
                  </w:pPr>
                  <w:r>
                    <w:rPr>
                      <w:color w:val="auto"/>
                      <w:szCs w:val="21"/>
                    </w:rPr>
                    <w:t>4</w:t>
                  </w:r>
                </w:p>
              </w:tc>
              <w:tc>
                <w:tcPr>
                  <w:tcW w:w="545" w:type="pct"/>
                  <w:tcBorders>
                    <w:top w:val="single" w:color="auto" w:sz="4" w:space="0"/>
                    <w:left w:val="single" w:color="auto" w:sz="4" w:space="0"/>
                    <w:bottom w:val="single" w:color="auto" w:sz="4" w:space="0"/>
                    <w:right w:val="nil"/>
                  </w:tcBorders>
                  <w:noWrap w:val="0"/>
                  <w:vAlign w:val="center"/>
                </w:tcPr>
                <w:p w14:paraId="16F9544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w:t>
                  </w:r>
                </w:p>
              </w:tc>
              <w:tc>
                <w:tcPr>
                  <w:tcW w:w="599" w:type="pct"/>
                  <w:tcBorders>
                    <w:top w:val="single" w:color="auto" w:sz="4" w:space="0"/>
                    <w:left w:val="single" w:color="auto" w:sz="4" w:space="0"/>
                    <w:bottom w:val="single" w:color="auto" w:sz="4" w:space="0"/>
                    <w:right w:val="nil"/>
                  </w:tcBorders>
                  <w:shd w:val="clear" w:color="auto" w:fill="auto"/>
                  <w:noWrap w:val="0"/>
                  <w:vAlign w:val="center"/>
                </w:tcPr>
                <w:p w14:paraId="5A03CC81">
                  <w:pPr>
                    <w:adjustRightInd w:val="0"/>
                    <w:snapToGrid w:val="0"/>
                    <w:jc w:val="center"/>
                    <w:rPr>
                      <w:rFonts w:hint="default"/>
                      <w:color w:val="auto"/>
                      <w:szCs w:val="21"/>
                      <w:lang w:val="en-US" w:eastAsia="zh-CN"/>
                    </w:rPr>
                  </w:pPr>
                  <w:r>
                    <w:rPr>
                      <w:color w:val="auto"/>
                      <w:szCs w:val="21"/>
                    </w:rPr>
                    <w:t>4</w:t>
                  </w:r>
                </w:p>
              </w:tc>
              <w:tc>
                <w:tcPr>
                  <w:tcW w:w="796" w:type="pct"/>
                  <w:tcBorders>
                    <w:left w:val="single" w:color="auto" w:sz="4" w:space="0"/>
                    <w:right w:val="nil"/>
                  </w:tcBorders>
                  <w:noWrap w:val="0"/>
                  <w:vAlign w:val="center"/>
                </w:tcPr>
                <w:p w14:paraId="2820C135">
                  <w:pPr>
                    <w:adjustRightInd w:val="0"/>
                    <w:snapToGrid w:val="0"/>
                    <w:jc w:val="center"/>
                    <w:rPr>
                      <w:color w:val="auto"/>
                      <w:szCs w:val="21"/>
                    </w:rPr>
                  </w:pPr>
                  <w:r>
                    <w:rPr>
                      <w:rFonts w:hint="eastAsia"/>
                      <w:color w:val="auto"/>
                      <w:szCs w:val="21"/>
                      <w:lang w:val="en-US" w:eastAsia="zh-CN"/>
                    </w:rPr>
                    <w:t>/</w:t>
                  </w:r>
                </w:p>
              </w:tc>
              <w:tc>
                <w:tcPr>
                  <w:tcW w:w="252" w:type="pct"/>
                  <w:vMerge w:val="continue"/>
                  <w:tcBorders>
                    <w:left w:val="single" w:color="auto" w:sz="4" w:space="0"/>
                    <w:right w:val="nil"/>
                  </w:tcBorders>
                  <w:noWrap w:val="0"/>
                  <w:vAlign w:val="center"/>
                </w:tcPr>
                <w:p w14:paraId="33AC662E">
                  <w:pPr>
                    <w:adjustRightInd w:val="0"/>
                    <w:snapToGrid w:val="0"/>
                    <w:jc w:val="center"/>
                    <w:rPr>
                      <w:rFonts w:hint="default"/>
                      <w:color w:val="auto"/>
                      <w:szCs w:val="21"/>
                    </w:rPr>
                  </w:pPr>
                </w:p>
              </w:tc>
            </w:tr>
            <w:tr w14:paraId="5A1B4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65" w:type="pct"/>
                  <w:tcBorders>
                    <w:top w:val="single" w:color="auto" w:sz="4" w:space="0"/>
                    <w:left w:val="nil"/>
                    <w:bottom w:val="single" w:color="auto" w:sz="4" w:space="0"/>
                    <w:right w:val="single" w:color="auto" w:sz="4" w:space="0"/>
                  </w:tcBorders>
                  <w:shd w:val="clear" w:color="auto" w:fill="auto"/>
                  <w:noWrap w:val="0"/>
                  <w:vAlign w:val="center"/>
                </w:tcPr>
                <w:p w14:paraId="743531D3">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43</w:t>
                  </w:r>
                </w:p>
              </w:tc>
              <w:tc>
                <w:tcPr>
                  <w:tcW w:w="110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937F67E">
                  <w:pPr>
                    <w:adjustRightInd w:val="0"/>
                    <w:snapToGrid w:val="0"/>
                    <w:jc w:val="center"/>
                    <w:rPr>
                      <w:rFonts w:hint="default" w:ascii="Times New Roman" w:hAnsi="Times New Roman" w:eastAsia="宋体" w:cs="Times New Roman"/>
                      <w:color w:val="auto"/>
                      <w:kern w:val="2"/>
                      <w:sz w:val="21"/>
                      <w:szCs w:val="21"/>
                      <w:lang w:val="en-US" w:eastAsia="zh-CN" w:bidi="ar-SA"/>
                    </w:rPr>
                  </w:pPr>
                  <w:r>
                    <w:rPr>
                      <w:color w:val="auto"/>
                      <w:szCs w:val="21"/>
                    </w:rPr>
                    <w:t>食品真空包装机</w:t>
                  </w:r>
                </w:p>
              </w:tc>
              <w:tc>
                <w:tcPr>
                  <w:tcW w:w="85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22D5A65">
                  <w:pPr>
                    <w:adjustRightInd w:val="0"/>
                    <w:snapToGrid w:val="0"/>
                    <w:jc w:val="center"/>
                    <w:rPr>
                      <w:rFonts w:hint="default" w:ascii="Times New Roman" w:hAnsi="Times New Roman" w:eastAsia="宋体" w:cs="Times New Roman"/>
                      <w:color w:val="auto"/>
                      <w:kern w:val="2"/>
                      <w:sz w:val="21"/>
                      <w:szCs w:val="21"/>
                      <w:lang w:val="en-US" w:eastAsia="zh-CN" w:bidi="ar-SA"/>
                    </w:rPr>
                  </w:pPr>
                  <w:r>
                    <w:rPr>
                      <w:color w:val="auto"/>
                      <w:szCs w:val="21"/>
                    </w:rPr>
                    <w:t>/</w:t>
                  </w:r>
                </w:p>
              </w:tc>
              <w:tc>
                <w:tcPr>
                  <w:tcW w:w="48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77D249E">
                  <w:pPr>
                    <w:adjustRightInd w:val="0"/>
                    <w:snapToGrid w:val="0"/>
                    <w:jc w:val="center"/>
                    <w:rPr>
                      <w:rFonts w:hint="default" w:ascii="Times New Roman" w:hAnsi="Times New Roman" w:eastAsia="宋体" w:cs="Times New Roman"/>
                      <w:color w:val="auto"/>
                      <w:kern w:val="2"/>
                      <w:sz w:val="21"/>
                      <w:szCs w:val="21"/>
                      <w:lang w:val="en-US" w:eastAsia="zh-CN" w:bidi="ar-SA"/>
                    </w:rPr>
                  </w:pPr>
                  <w:r>
                    <w:rPr>
                      <w:color w:val="auto"/>
                      <w:szCs w:val="21"/>
                    </w:rPr>
                    <w:t>5</w:t>
                  </w:r>
                </w:p>
              </w:tc>
              <w:tc>
                <w:tcPr>
                  <w:tcW w:w="545" w:type="pct"/>
                  <w:tcBorders>
                    <w:top w:val="single" w:color="auto" w:sz="4" w:space="0"/>
                    <w:left w:val="single" w:color="auto" w:sz="4" w:space="0"/>
                    <w:bottom w:val="single" w:color="auto" w:sz="4" w:space="0"/>
                    <w:right w:val="nil"/>
                  </w:tcBorders>
                  <w:noWrap w:val="0"/>
                  <w:vAlign w:val="center"/>
                </w:tcPr>
                <w:p w14:paraId="238FEFF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w:t>
                  </w:r>
                </w:p>
              </w:tc>
              <w:tc>
                <w:tcPr>
                  <w:tcW w:w="599" w:type="pct"/>
                  <w:tcBorders>
                    <w:top w:val="single" w:color="auto" w:sz="4" w:space="0"/>
                    <w:left w:val="single" w:color="auto" w:sz="4" w:space="0"/>
                    <w:bottom w:val="single" w:color="auto" w:sz="4" w:space="0"/>
                    <w:right w:val="nil"/>
                  </w:tcBorders>
                  <w:shd w:val="clear" w:color="auto" w:fill="auto"/>
                  <w:noWrap w:val="0"/>
                  <w:vAlign w:val="center"/>
                </w:tcPr>
                <w:p w14:paraId="2C650E52">
                  <w:pPr>
                    <w:adjustRightInd w:val="0"/>
                    <w:snapToGrid w:val="0"/>
                    <w:jc w:val="center"/>
                    <w:rPr>
                      <w:rFonts w:hint="default"/>
                      <w:color w:val="auto"/>
                      <w:szCs w:val="21"/>
                      <w:lang w:val="en-US" w:eastAsia="zh-CN"/>
                    </w:rPr>
                  </w:pPr>
                  <w:r>
                    <w:rPr>
                      <w:color w:val="auto"/>
                      <w:szCs w:val="21"/>
                    </w:rPr>
                    <w:t>5</w:t>
                  </w:r>
                </w:p>
              </w:tc>
              <w:tc>
                <w:tcPr>
                  <w:tcW w:w="796" w:type="pct"/>
                  <w:tcBorders>
                    <w:left w:val="single" w:color="auto" w:sz="4" w:space="0"/>
                    <w:right w:val="nil"/>
                  </w:tcBorders>
                  <w:noWrap w:val="0"/>
                  <w:vAlign w:val="center"/>
                </w:tcPr>
                <w:p w14:paraId="76471C43">
                  <w:pPr>
                    <w:adjustRightInd w:val="0"/>
                    <w:snapToGrid w:val="0"/>
                    <w:jc w:val="center"/>
                    <w:rPr>
                      <w:color w:val="auto"/>
                      <w:szCs w:val="21"/>
                    </w:rPr>
                  </w:pPr>
                  <w:r>
                    <w:rPr>
                      <w:rFonts w:hint="eastAsia"/>
                      <w:color w:val="auto"/>
                      <w:szCs w:val="21"/>
                      <w:lang w:val="en-US" w:eastAsia="zh-CN"/>
                    </w:rPr>
                    <w:t>/</w:t>
                  </w:r>
                </w:p>
              </w:tc>
              <w:tc>
                <w:tcPr>
                  <w:tcW w:w="252" w:type="pct"/>
                  <w:vMerge w:val="continue"/>
                  <w:tcBorders>
                    <w:left w:val="single" w:color="auto" w:sz="4" w:space="0"/>
                    <w:right w:val="nil"/>
                  </w:tcBorders>
                  <w:noWrap w:val="0"/>
                  <w:vAlign w:val="center"/>
                </w:tcPr>
                <w:p w14:paraId="69CB5D05">
                  <w:pPr>
                    <w:adjustRightInd w:val="0"/>
                    <w:snapToGrid w:val="0"/>
                    <w:jc w:val="center"/>
                    <w:rPr>
                      <w:rFonts w:hint="default"/>
                      <w:color w:val="auto"/>
                      <w:szCs w:val="21"/>
                    </w:rPr>
                  </w:pPr>
                </w:p>
              </w:tc>
            </w:tr>
            <w:tr w14:paraId="7884D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65" w:type="pct"/>
                  <w:tcBorders>
                    <w:top w:val="single" w:color="auto" w:sz="4" w:space="0"/>
                    <w:left w:val="nil"/>
                    <w:bottom w:val="single" w:color="auto" w:sz="4" w:space="0"/>
                    <w:right w:val="single" w:color="auto" w:sz="4" w:space="0"/>
                  </w:tcBorders>
                  <w:shd w:val="clear" w:color="auto" w:fill="auto"/>
                  <w:noWrap w:val="0"/>
                  <w:vAlign w:val="center"/>
                </w:tcPr>
                <w:p w14:paraId="49C69E5C">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44</w:t>
                  </w:r>
                </w:p>
              </w:tc>
              <w:tc>
                <w:tcPr>
                  <w:tcW w:w="110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15AA5BB">
                  <w:pPr>
                    <w:adjustRightInd w:val="0"/>
                    <w:snapToGrid w:val="0"/>
                    <w:jc w:val="center"/>
                    <w:rPr>
                      <w:rFonts w:hint="default" w:ascii="Times New Roman" w:hAnsi="Times New Roman" w:eastAsia="宋体" w:cs="Times New Roman"/>
                      <w:color w:val="auto"/>
                      <w:kern w:val="2"/>
                      <w:sz w:val="21"/>
                      <w:szCs w:val="21"/>
                      <w:lang w:val="en-US" w:eastAsia="zh-CN" w:bidi="ar-SA"/>
                    </w:rPr>
                  </w:pPr>
                  <w:r>
                    <w:rPr>
                      <w:color w:val="auto"/>
                      <w:szCs w:val="21"/>
                    </w:rPr>
                    <w:t>速冻机</w:t>
                  </w:r>
                </w:p>
              </w:tc>
              <w:tc>
                <w:tcPr>
                  <w:tcW w:w="85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F33EF6D">
                  <w:pPr>
                    <w:adjustRightInd w:val="0"/>
                    <w:snapToGrid w:val="0"/>
                    <w:jc w:val="center"/>
                    <w:rPr>
                      <w:rFonts w:hint="default" w:ascii="Times New Roman" w:hAnsi="Times New Roman" w:eastAsia="宋体" w:cs="Times New Roman"/>
                      <w:color w:val="auto"/>
                      <w:kern w:val="2"/>
                      <w:sz w:val="21"/>
                      <w:szCs w:val="21"/>
                      <w:lang w:val="en-US" w:eastAsia="zh-CN" w:bidi="ar-SA"/>
                    </w:rPr>
                  </w:pPr>
                  <w:r>
                    <w:rPr>
                      <w:color w:val="auto"/>
                      <w:szCs w:val="21"/>
                    </w:rPr>
                    <w:t>/</w:t>
                  </w:r>
                </w:p>
              </w:tc>
              <w:tc>
                <w:tcPr>
                  <w:tcW w:w="48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0C123B0">
                  <w:pPr>
                    <w:adjustRightInd w:val="0"/>
                    <w:snapToGrid w:val="0"/>
                    <w:jc w:val="center"/>
                    <w:rPr>
                      <w:rFonts w:hint="default" w:ascii="Times New Roman" w:hAnsi="Times New Roman" w:eastAsia="宋体" w:cs="Times New Roman"/>
                      <w:color w:val="auto"/>
                      <w:kern w:val="2"/>
                      <w:sz w:val="21"/>
                      <w:szCs w:val="21"/>
                      <w:lang w:val="en-US" w:eastAsia="zh-CN" w:bidi="ar-SA"/>
                    </w:rPr>
                  </w:pPr>
                  <w:r>
                    <w:rPr>
                      <w:color w:val="auto"/>
                      <w:szCs w:val="21"/>
                    </w:rPr>
                    <w:t>1</w:t>
                  </w:r>
                </w:p>
              </w:tc>
              <w:tc>
                <w:tcPr>
                  <w:tcW w:w="545" w:type="pct"/>
                  <w:tcBorders>
                    <w:top w:val="single" w:color="auto" w:sz="4" w:space="0"/>
                    <w:left w:val="single" w:color="auto" w:sz="4" w:space="0"/>
                    <w:bottom w:val="single" w:color="auto" w:sz="4" w:space="0"/>
                    <w:right w:val="nil"/>
                  </w:tcBorders>
                  <w:noWrap w:val="0"/>
                  <w:vAlign w:val="center"/>
                </w:tcPr>
                <w:p w14:paraId="77056B0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w:t>
                  </w:r>
                </w:p>
              </w:tc>
              <w:tc>
                <w:tcPr>
                  <w:tcW w:w="599" w:type="pct"/>
                  <w:tcBorders>
                    <w:top w:val="single" w:color="auto" w:sz="4" w:space="0"/>
                    <w:left w:val="single" w:color="auto" w:sz="4" w:space="0"/>
                    <w:bottom w:val="single" w:color="auto" w:sz="4" w:space="0"/>
                    <w:right w:val="nil"/>
                  </w:tcBorders>
                  <w:shd w:val="clear" w:color="auto" w:fill="auto"/>
                  <w:noWrap w:val="0"/>
                  <w:vAlign w:val="center"/>
                </w:tcPr>
                <w:p w14:paraId="5035998F">
                  <w:pPr>
                    <w:adjustRightInd w:val="0"/>
                    <w:snapToGrid w:val="0"/>
                    <w:jc w:val="center"/>
                    <w:rPr>
                      <w:rFonts w:hint="default"/>
                      <w:color w:val="auto"/>
                      <w:szCs w:val="21"/>
                      <w:lang w:val="en-US" w:eastAsia="zh-CN"/>
                    </w:rPr>
                  </w:pPr>
                  <w:r>
                    <w:rPr>
                      <w:color w:val="auto"/>
                      <w:szCs w:val="21"/>
                    </w:rPr>
                    <w:t>1</w:t>
                  </w:r>
                </w:p>
              </w:tc>
              <w:tc>
                <w:tcPr>
                  <w:tcW w:w="796" w:type="pct"/>
                  <w:tcBorders>
                    <w:left w:val="single" w:color="auto" w:sz="4" w:space="0"/>
                    <w:right w:val="nil"/>
                  </w:tcBorders>
                  <w:noWrap w:val="0"/>
                  <w:vAlign w:val="center"/>
                </w:tcPr>
                <w:p w14:paraId="25964EDC">
                  <w:pPr>
                    <w:adjustRightInd w:val="0"/>
                    <w:snapToGrid w:val="0"/>
                    <w:jc w:val="center"/>
                    <w:rPr>
                      <w:color w:val="auto"/>
                      <w:szCs w:val="21"/>
                    </w:rPr>
                  </w:pPr>
                  <w:r>
                    <w:rPr>
                      <w:rFonts w:hint="eastAsia"/>
                      <w:color w:val="auto"/>
                      <w:szCs w:val="21"/>
                      <w:lang w:val="en-US" w:eastAsia="zh-CN"/>
                    </w:rPr>
                    <w:t>/</w:t>
                  </w:r>
                </w:p>
              </w:tc>
              <w:tc>
                <w:tcPr>
                  <w:tcW w:w="252" w:type="pct"/>
                  <w:vMerge w:val="continue"/>
                  <w:tcBorders>
                    <w:left w:val="single" w:color="auto" w:sz="4" w:space="0"/>
                    <w:right w:val="nil"/>
                  </w:tcBorders>
                  <w:noWrap w:val="0"/>
                  <w:vAlign w:val="center"/>
                </w:tcPr>
                <w:p w14:paraId="5E944EF0">
                  <w:pPr>
                    <w:adjustRightInd w:val="0"/>
                    <w:snapToGrid w:val="0"/>
                    <w:jc w:val="center"/>
                    <w:rPr>
                      <w:rFonts w:hint="default"/>
                      <w:color w:val="auto"/>
                      <w:szCs w:val="21"/>
                    </w:rPr>
                  </w:pPr>
                </w:p>
              </w:tc>
            </w:tr>
            <w:tr w14:paraId="5A4CD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65" w:type="pct"/>
                  <w:tcBorders>
                    <w:top w:val="single" w:color="auto" w:sz="4" w:space="0"/>
                    <w:left w:val="nil"/>
                    <w:bottom w:val="single" w:color="auto" w:sz="4" w:space="0"/>
                    <w:right w:val="single" w:color="auto" w:sz="4" w:space="0"/>
                  </w:tcBorders>
                  <w:shd w:val="clear" w:color="auto" w:fill="auto"/>
                  <w:noWrap w:val="0"/>
                  <w:vAlign w:val="center"/>
                </w:tcPr>
                <w:p w14:paraId="458970D1">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45</w:t>
                  </w:r>
                </w:p>
              </w:tc>
              <w:tc>
                <w:tcPr>
                  <w:tcW w:w="110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48E374F">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rPr>
                    <w:t>封口机</w:t>
                  </w:r>
                </w:p>
              </w:tc>
              <w:tc>
                <w:tcPr>
                  <w:tcW w:w="85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0D8B26F">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rPr>
                    <w:t>/</w:t>
                  </w:r>
                </w:p>
              </w:tc>
              <w:tc>
                <w:tcPr>
                  <w:tcW w:w="48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B7357E1">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rPr>
                    <w:t>3</w:t>
                  </w:r>
                </w:p>
              </w:tc>
              <w:tc>
                <w:tcPr>
                  <w:tcW w:w="545" w:type="pct"/>
                  <w:tcBorders>
                    <w:top w:val="single" w:color="auto" w:sz="4" w:space="0"/>
                    <w:left w:val="single" w:color="auto" w:sz="4" w:space="0"/>
                    <w:bottom w:val="single" w:color="auto" w:sz="4" w:space="0"/>
                    <w:right w:val="nil"/>
                  </w:tcBorders>
                  <w:noWrap w:val="0"/>
                  <w:vAlign w:val="center"/>
                </w:tcPr>
                <w:p w14:paraId="002531A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w:t>
                  </w:r>
                </w:p>
              </w:tc>
              <w:tc>
                <w:tcPr>
                  <w:tcW w:w="599" w:type="pct"/>
                  <w:tcBorders>
                    <w:top w:val="single" w:color="auto" w:sz="4" w:space="0"/>
                    <w:left w:val="single" w:color="auto" w:sz="4" w:space="0"/>
                    <w:bottom w:val="single" w:color="auto" w:sz="4" w:space="0"/>
                    <w:right w:val="nil"/>
                  </w:tcBorders>
                  <w:shd w:val="clear" w:color="auto" w:fill="auto"/>
                  <w:noWrap w:val="0"/>
                  <w:vAlign w:val="center"/>
                </w:tcPr>
                <w:p w14:paraId="040C4E75">
                  <w:pPr>
                    <w:adjustRightInd w:val="0"/>
                    <w:snapToGrid w:val="0"/>
                    <w:jc w:val="center"/>
                    <w:rPr>
                      <w:rFonts w:hint="default"/>
                      <w:color w:val="auto"/>
                      <w:szCs w:val="21"/>
                      <w:lang w:val="en-US" w:eastAsia="zh-CN"/>
                    </w:rPr>
                  </w:pPr>
                  <w:r>
                    <w:rPr>
                      <w:rFonts w:hint="eastAsia"/>
                      <w:color w:val="auto"/>
                      <w:szCs w:val="21"/>
                    </w:rPr>
                    <w:t>3</w:t>
                  </w:r>
                </w:p>
              </w:tc>
              <w:tc>
                <w:tcPr>
                  <w:tcW w:w="796" w:type="pct"/>
                  <w:tcBorders>
                    <w:left w:val="single" w:color="auto" w:sz="4" w:space="0"/>
                    <w:right w:val="nil"/>
                  </w:tcBorders>
                  <w:noWrap w:val="0"/>
                  <w:vAlign w:val="center"/>
                </w:tcPr>
                <w:p w14:paraId="100C82A4">
                  <w:pPr>
                    <w:adjustRightInd w:val="0"/>
                    <w:snapToGrid w:val="0"/>
                    <w:jc w:val="center"/>
                    <w:rPr>
                      <w:rFonts w:hint="eastAsia"/>
                      <w:color w:val="auto"/>
                      <w:szCs w:val="21"/>
                    </w:rPr>
                  </w:pPr>
                  <w:r>
                    <w:rPr>
                      <w:rFonts w:hint="eastAsia"/>
                      <w:color w:val="auto"/>
                      <w:szCs w:val="21"/>
                      <w:lang w:val="en-US" w:eastAsia="zh-CN"/>
                    </w:rPr>
                    <w:t>/</w:t>
                  </w:r>
                </w:p>
              </w:tc>
              <w:tc>
                <w:tcPr>
                  <w:tcW w:w="252" w:type="pct"/>
                  <w:vMerge w:val="continue"/>
                  <w:tcBorders>
                    <w:left w:val="single" w:color="auto" w:sz="4" w:space="0"/>
                    <w:right w:val="nil"/>
                  </w:tcBorders>
                  <w:noWrap w:val="0"/>
                  <w:vAlign w:val="center"/>
                </w:tcPr>
                <w:p w14:paraId="3640DFC7">
                  <w:pPr>
                    <w:adjustRightInd w:val="0"/>
                    <w:snapToGrid w:val="0"/>
                    <w:jc w:val="center"/>
                    <w:rPr>
                      <w:rFonts w:hint="default"/>
                      <w:color w:val="auto"/>
                      <w:szCs w:val="21"/>
                    </w:rPr>
                  </w:pPr>
                </w:p>
              </w:tc>
            </w:tr>
            <w:tr w14:paraId="682A8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65" w:type="pct"/>
                  <w:tcBorders>
                    <w:top w:val="single" w:color="auto" w:sz="4" w:space="0"/>
                    <w:left w:val="nil"/>
                    <w:bottom w:val="single" w:color="auto" w:sz="4" w:space="0"/>
                    <w:right w:val="single" w:color="auto" w:sz="4" w:space="0"/>
                  </w:tcBorders>
                  <w:shd w:val="clear" w:color="auto" w:fill="auto"/>
                  <w:noWrap w:val="0"/>
                  <w:vAlign w:val="center"/>
                </w:tcPr>
                <w:p w14:paraId="7A1183CC">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46</w:t>
                  </w:r>
                </w:p>
              </w:tc>
              <w:tc>
                <w:tcPr>
                  <w:tcW w:w="110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28821B9">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rPr>
                    <w:t>金属探测仪</w:t>
                  </w:r>
                </w:p>
              </w:tc>
              <w:tc>
                <w:tcPr>
                  <w:tcW w:w="85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DA62E3C">
                  <w:pPr>
                    <w:adjustRightInd w:val="0"/>
                    <w:snapToGrid w:val="0"/>
                    <w:jc w:val="center"/>
                    <w:rPr>
                      <w:rFonts w:hint="default" w:ascii="Times New Roman" w:hAnsi="Times New Roman" w:eastAsia="宋体" w:cs="Times New Roman"/>
                      <w:color w:val="auto"/>
                      <w:kern w:val="2"/>
                      <w:sz w:val="21"/>
                      <w:szCs w:val="21"/>
                      <w:lang w:val="en-US" w:eastAsia="zh-CN" w:bidi="ar-SA"/>
                    </w:rPr>
                  </w:pPr>
                  <w:r>
                    <w:rPr>
                      <w:color w:val="auto"/>
                      <w:szCs w:val="21"/>
                    </w:rPr>
                    <w:t>/</w:t>
                  </w:r>
                </w:p>
              </w:tc>
              <w:tc>
                <w:tcPr>
                  <w:tcW w:w="48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263F626">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rPr>
                    <w:t>4</w:t>
                  </w:r>
                </w:p>
              </w:tc>
              <w:tc>
                <w:tcPr>
                  <w:tcW w:w="545" w:type="pct"/>
                  <w:tcBorders>
                    <w:top w:val="single" w:color="auto" w:sz="4" w:space="0"/>
                    <w:left w:val="single" w:color="auto" w:sz="4" w:space="0"/>
                    <w:bottom w:val="single" w:color="auto" w:sz="4" w:space="0"/>
                    <w:right w:val="nil"/>
                  </w:tcBorders>
                  <w:noWrap w:val="0"/>
                  <w:vAlign w:val="center"/>
                </w:tcPr>
                <w:p w14:paraId="78EA51D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w:t>
                  </w:r>
                </w:p>
              </w:tc>
              <w:tc>
                <w:tcPr>
                  <w:tcW w:w="599" w:type="pct"/>
                  <w:tcBorders>
                    <w:top w:val="single" w:color="auto" w:sz="4" w:space="0"/>
                    <w:left w:val="single" w:color="auto" w:sz="4" w:space="0"/>
                    <w:bottom w:val="single" w:color="auto" w:sz="4" w:space="0"/>
                    <w:right w:val="nil"/>
                  </w:tcBorders>
                  <w:shd w:val="clear" w:color="auto" w:fill="auto"/>
                  <w:noWrap w:val="0"/>
                  <w:vAlign w:val="center"/>
                </w:tcPr>
                <w:p w14:paraId="4DE5D341">
                  <w:pPr>
                    <w:adjustRightInd w:val="0"/>
                    <w:snapToGrid w:val="0"/>
                    <w:jc w:val="center"/>
                    <w:rPr>
                      <w:rFonts w:hint="default"/>
                      <w:color w:val="auto"/>
                      <w:szCs w:val="21"/>
                      <w:lang w:val="en-US" w:eastAsia="zh-CN"/>
                    </w:rPr>
                  </w:pPr>
                  <w:r>
                    <w:rPr>
                      <w:rFonts w:hint="eastAsia"/>
                      <w:color w:val="auto"/>
                      <w:szCs w:val="21"/>
                    </w:rPr>
                    <w:t>4</w:t>
                  </w:r>
                </w:p>
              </w:tc>
              <w:tc>
                <w:tcPr>
                  <w:tcW w:w="796" w:type="pct"/>
                  <w:tcBorders>
                    <w:left w:val="single" w:color="auto" w:sz="4" w:space="0"/>
                    <w:right w:val="nil"/>
                  </w:tcBorders>
                  <w:noWrap w:val="0"/>
                  <w:vAlign w:val="center"/>
                </w:tcPr>
                <w:p w14:paraId="33BD00CE">
                  <w:pPr>
                    <w:adjustRightInd w:val="0"/>
                    <w:snapToGrid w:val="0"/>
                    <w:jc w:val="center"/>
                    <w:rPr>
                      <w:rFonts w:hint="eastAsia"/>
                      <w:color w:val="auto"/>
                      <w:szCs w:val="21"/>
                    </w:rPr>
                  </w:pPr>
                  <w:r>
                    <w:rPr>
                      <w:rFonts w:hint="eastAsia"/>
                      <w:color w:val="auto"/>
                      <w:szCs w:val="21"/>
                      <w:lang w:val="en-US" w:eastAsia="zh-CN"/>
                    </w:rPr>
                    <w:t>/</w:t>
                  </w:r>
                </w:p>
              </w:tc>
              <w:tc>
                <w:tcPr>
                  <w:tcW w:w="252" w:type="pct"/>
                  <w:vMerge w:val="continue"/>
                  <w:tcBorders>
                    <w:left w:val="single" w:color="auto" w:sz="4" w:space="0"/>
                    <w:right w:val="nil"/>
                  </w:tcBorders>
                  <w:noWrap w:val="0"/>
                  <w:vAlign w:val="center"/>
                </w:tcPr>
                <w:p w14:paraId="546BF77E">
                  <w:pPr>
                    <w:adjustRightInd w:val="0"/>
                    <w:snapToGrid w:val="0"/>
                    <w:jc w:val="center"/>
                    <w:rPr>
                      <w:rFonts w:hint="default"/>
                      <w:color w:val="auto"/>
                      <w:szCs w:val="21"/>
                    </w:rPr>
                  </w:pPr>
                </w:p>
              </w:tc>
            </w:tr>
            <w:tr w14:paraId="77603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65" w:type="pct"/>
                  <w:tcBorders>
                    <w:top w:val="single" w:color="auto" w:sz="4" w:space="0"/>
                    <w:left w:val="nil"/>
                    <w:bottom w:val="single" w:color="auto" w:sz="4" w:space="0"/>
                    <w:right w:val="single" w:color="auto" w:sz="4" w:space="0"/>
                  </w:tcBorders>
                  <w:shd w:val="clear" w:color="auto" w:fill="auto"/>
                  <w:noWrap w:val="0"/>
                  <w:vAlign w:val="center"/>
                </w:tcPr>
                <w:p w14:paraId="4686CCD1">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47</w:t>
                  </w:r>
                </w:p>
              </w:tc>
              <w:tc>
                <w:tcPr>
                  <w:tcW w:w="110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67185D4">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rPr>
                    <w:t>搅拌锅</w:t>
                  </w:r>
                </w:p>
              </w:tc>
              <w:tc>
                <w:tcPr>
                  <w:tcW w:w="85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8710ADD">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rPr>
                    <w:t>/</w:t>
                  </w:r>
                </w:p>
              </w:tc>
              <w:tc>
                <w:tcPr>
                  <w:tcW w:w="48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39BF6FA">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rPr>
                    <w:t>3</w:t>
                  </w:r>
                </w:p>
              </w:tc>
              <w:tc>
                <w:tcPr>
                  <w:tcW w:w="545" w:type="pct"/>
                  <w:tcBorders>
                    <w:top w:val="single" w:color="auto" w:sz="4" w:space="0"/>
                    <w:left w:val="single" w:color="auto" w:sz="4" w:space="0"/>
                    <w:bottom w:val="single" w:color="auto" w:sz="4" w:space="0"/>
                    <w:right w:val="nil"/>
                  </w:tcBorders>
                  <w:noWrap w:val="0"/>
                  <w:vAlign w:val="center"/>
                </w:tcPr>
                <w:p w14:paraId="722A9AE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w:t>
                  </w:r>
                </w:p>
              </w:tc>
              <w:tc>
                <w:tcPr>
                  <w:tcW w:w="599" w:type="pct"/>
                  <w:tcBorders>
                    <w:top w:val="single" w:color="auto" w:sz="4" w:space="0"/>
                    <w:left w:val="single" w:color="auto" w:sz="4" w:space="0"/>
                    <w:bottom w:val="single" w:color="auto" w:sz="4" w:space="0"/>
                    <w:right w:val="nil"/>
                  </w:tcBorders>
                  <w:shd w:val="clear" w:color="auto" w:fill="auto"/>
                  <w:noWrap w:val="0"/>
                  <w:vAlign w:val="center"/>
                </w:tcPr>
                <w:p w14:paraId="2C094C9E">
                  <w:pPr>
                    <w:adjustRightInd w:val="0"/>
                    <w:snapToGrid w:val="0"/>
                    <w:jc w:val="center"/>
                    <w:rPr>
                      <w:rFonts w:hint="default"/>
                      <w:color w:val="auto"/>
                      <w:szCs w:val="21"/>
                      <w:lang w:val="en-US" w:eastAsia="zh-CN"/>
                    </w:rPr>
                  </w:pPr>
                  <w:r>
                    <w:rPr>
                      <w:rFonts w:hint="eastAsia"/>
                      <w:color w:val="auto"/>
                      <w:szCs w:val="21"/>
                    </w:rPr>
                    <w:t>3</w:t>
                  </w:r>
                </w:p>
              </w:tc>
              <w:tc>
                <w:tcPr>
                  <w:tcW w:w="796" w:type="pct"/>
                  <w:tcBorders>
                    <w:left w:val="single" w:color="auto" w:sz="4" w:space="0"/>
                    <w:right w:val="nil"/>
                  </w:tcBorders>
                  <w:noWrap w:val="0"/>
                  <w:vAlign w:val="center"/>
                </w:tcPr>
                <w:p w14:paraId="60350592">
                  <w:pPr>
                    <w:adjustRightInd w:val="0"/>
                    <w:snapToGrid w:val="0"/>
                    <w:jc w:val="center"/>
                    <w:rPr>
                      <w:rFonts w:hint="eastAsia"/>
                      <w:color w:val="auto"/>
                      <w:szCs w:val="21"/>
                    </w:rPr>
                  </w:pPr>
                  <w:r>
                    <w:rPr>
                      <w:rFonts w:hint="eastAsia"/>
                      <w:color w:val="auto"/>
                      <w:szCs w:val="21"/>
                      <w:lang w:val="en-US" w:eastAsia="zh-CN"/>
                    </w:rPr>
                    <w:t>/</w:t>
                  </w:r>
                </w:p>
              </w:tc>
              <w:tc>
                <w:tcPr>
                  <w:tcW w:w="252" w:type="pct"/>
                  <w:vMerge w:val="continue"/>
                  <w:tcBorders>
                    <w:left w:val="single" w:color="auto" w:sz="4" w:space="0"/>
                    <w:right w:val="nil"/>
                  </w:tcBorders>
                  <w:noWrap w:val="0"/>
                  <w:vAlign w:val="center"/>
                </w:tcPr>
                <w:p w14:paraId="36EB663E">
                  <w:pPr>
                    <w:adjustRightInd w:val="0"/>
                    <w:snapToGrid w:val="0"/>
                    <w:jc w:val="center"/>
                    <w:rPr>
                      <w:rFonts w:hint="default"/>
                      <w:color w:val="auto"/>
                      <w:szCs w:val="21"/>
                    </w:rPr>
                  </w:pPr>
                </w:p>
              </w:tc>
            </w:tr>
            <w:tr w14:paraId="66891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65" w:type="pct"/>
                  <w:tcBorders>
                    <w:top w:val="single" w:color="auto" w:sz="4" w:space="0"/>
                    <w:left w:val="nil"/>
                    <w:bottom w:val="single" w:color="auto" w:sz="4" w:space="0"/>
                    <w:right w:val="single" w:color="auto" w:sz="4" w:space="0"/>
                  </w:tcBorders>
                  <w:shd w:val="clear" w:color="auto" w:fill="auto"/>
                  <w:noWrap w:val="0"/>
                  <w:vAlign w:val="center"/>
                </w:tcPr>
                <w:p w14:paraId="53F8503B">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48</w:t>
                  </w:r>
                </w:p>
              </w:tc>
              <w:tc>
                <w:tcPr>
                  <w:tcW w:w="110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0D00A0E">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rPr>
                    <w:t>杀菌机</w:t>
                  </w:r>
                </w:p>
              </w:tc>
              <w:tc>
                <w:tcPr>
                  <w:tcW w:w="85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72A4CD9">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rPr>
                    <w:t>/</w:t>
                  </w:r>
                </w:p>
              </w:tc>
              <w:tc>
                <w:tcPr>
                  <w:tcW w:w="48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F9FB4A5">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rPr>
                    <w:t>2</w:t>
                  </w:r>
                </w:p>
              </w:tc>
              <w:tc>
                <w:tcPr>
                  <w:tcW w:w="545" w:type="pct"/>
                  <w:tcBorders>
                    <w:top w:val="single" w:color="auto" w:sz="4" w:space="0"/>
                    <w:left w:val="single" w:color="auto" w:sz="4" w:space="0"/>
                    <w:bottom w:val="single" w:color="auto" w:sz="4" w:space="0"/>
                    <w:right w:val="nil"/>
                  </w:tcBorders>
                  <w:noWrap w:val="0"/>
                  <w:vAlign w:val="center"/>
                </w:tcPr>
                <w:p w14:paraId="0E75ADC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w:t>
                  </w:r>
                </w:p>
              </w:tc>
              <w:tc>
                <w:tcPr>
                  <w:tcW w:w="599" w:type="pct"/>
                  <w:tcBorders>
                    <w:top w:val="single" w:color="auto" w:sz="4" w:space="0"/>
                    <w:left w:val="single" w:color="auto" w:sz="4" w:space="0"/>
                    <w:bottom w:val="single" w:color="auto" w:sz="4" w:space="0"/>
                    <w:right w:val="nil"/>
                  </w:tcBorders>
                  <w:shd w:val="clear" w:color="auto" w:fill="auto"/>
                  <w:noWrap w:val="0"/>
                  <w:vAlign w:val="center"/>
                </w:tcPr>
                <w:p w14:paraId="7F987729">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rPr>
                    <w:t>2</w:t>
                  </w:r>
                </w:p>
              </w:tc>
              <w:tc>
                <w:tcPr>
                  <w:tcW w:w="796" w:type="pct"/>
                  <w:tcBorders>
                    <w:left w:val="single" w:color="auto" w:sz="4" w:space="0"/>
                    <w:right w:val="nil"/>
                  </w:tcBorders>
                  <w:noWrap w:val="0"/>
                  <w:vAlign w:val="center"/>
                </w:tcPr>
                <w:p w14:paraId="1920CF76">
                  <w:pPr>
                    <w:adjustRightInd w:val="0"/>
                    <w:snapToGrid w:val="0"/>
                    <w:jc w:val="center"/>
                    <w:rPr>
                      <w:rFonts w:hint="eastAsia"/>
                      <w:color w:val="auto"/>
                      <w:szCs w:val="21"/>
                    </w:rPr>
                  </w:pPr>
                  <w:r>
                    <w:rPr>
                      <w:rFonts w:hint="eastAsia"/>
                      <w:color w:val="auto"/>
                      <w:szCs w:val="21"/>
                      <w:lang w:val="en-US" w:eastAsia="zh-CN"/>
                    </w:rPr>
                    <w:t>/</w:t>
                  </w:r>
                </w:p>
              </w:tc>
              <w:tc>
                <w:tcPr>
                  <w:tcW w:w="252" w:type="pct"/>
                  <w:vMerge w:val="continue"/>
                  <w:tcBorders>
                    <w:left w:val="single" w:color="auto" w:sz="4" w:space="0"/>
                    <w:right w:val="nil"/>
                  </w:tcBorders>
                  <w:noWrap w:val="0"/>
                  <w:vAlign w:val="center"/>
                </w:tcPr>
                <w:p w14:paraId="37D1339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yellow"/>
                    </w:rPr>
                  </w:pPr>
                </w:p>
              </w:tc>
            </w:tr>
            <w:tr w14:paraId="0100E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65" w:type="pct"/>
                  <w:tcBorders>
                    <w:top w:val="single" w:color="auto" w:sz="4" w:space="0"/>
                    <w:left w:val="nil"/>
                    <w:bottom w:val="single" w:color="auto" w:sz="4" w:space="0"/>
                    <w:right w:val="single" w:color="auto" w:sz="4" w:space="0"/>
                  </w:tcBorders>
                  <w:shd w:val="clear" w:color="auto" w:fill="auto"/>
                  <w:noWrap w:val="0"/>
                  <w:vAlign w:val="center"/>
                </w:tcPr>
                <w:p w14:paraId="291571E8">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49</w:t>
                  </w:r>
                </w:p>
              </w:tc>
              <w:tc>
                <w:tcPr>
                  <w:tcW w:w="110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FA9C6D3">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rPr>
                    <w:t>夹层锅</w:t>
                  </w:r>
                </w:p>
              </w:tc>
              <w:tc>
                <w:tcPr>
                  <w:tcW w:w="85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71C26E7">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rPr>
                    <w:t>直径1</w:t>
                  </w:r>
                  <w:r>
                    <w:rPr>
                      <w:color w:val="auto"/>
                      <w:szCs w:val="21"/>
                    </w:rPr>
                    <w:t>.5m</w:t>
                  </w:r>
                </w:p>
              </w:tc>
              <w:tc>
                <w:tcPr>
                  <w:tcW w:w="48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71E52DA">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rPr>
                    <w:t>2</w:t>
                  </w:r>
                </w:p>
              </w:tc>
              <w:tc>
                <w:tcPr>
                  <w:tcW w:w="545" w:type="pct"/>
                  <w:tcBorders>
                    <w:top w:val="single" w:color="auto" w:sz="4" w:space="0"/>
                    <w:left w:val="single" w:color="auto" w:sz="4" w:space="0"/>
                    <w:bottom w:val="single" w:color="auto" w:sz="4" w:space="0"/>
                    <w:right w:val="nil"/>
                  </w:tcBorders>
                  <w:noWrap w:val="0"/>
                  <w:vAlign w:val="center"/>
                </w:tcPr>
                <w:p w14:paraId="626A5AE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w:t>
                  </w:r>
                </w:p>
              </w:tc>
              <w:tc>
                <w:tcPr>
                  <w:tcW w:w="599" w:type="pct"/>
                  <w:tcBorders>
                    <w:top w:val="single" w:color="auto" w:sz="4" w:space="0"/>
                    <w:left w:val="single" w:color="auto" w:sz="4" w:space="0"/>
                    <w:bottom w:val="single" w:color="auto" w:sz="4" w:space="0"/>
                    <w:right w:val="nil"/>
                  </w:tcBorders>
                  <w:shd w:val="clear" w:color="auto" w:fill="auto"/>
                  <w:noWrap w:val="0"/>
                  <w:vAlign w:val="center"/>
                </w:tcPr>
                <w:p w14:paraId="12F5C4ED">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rPr>
                    <w:t>2</w:t>
                  </w:r>
                </w:p>
              </w:tc>
              <w:tc>
                <w:tcPr>
                  <w:tcW w:w="796" w:type="pct"/>
                  <w:tcBorders>
                    <w:left w:val="single" w:color="auto" w:sz="4" w:space="0"/>
                    <w:right w:val="nil"/>
                  </w:tcBorders>
                  <w:noWrap w:val="0"/>
                  <w:vAlign w:val="center"/>
                </w:tcPr>
                <w:p w14:paraId="3A644F43">
                  <w:pPr>
                    <w:adjustRightInd w:val="0"/>
                    <w:snapToGrid w:val="0"/>
                    <w:jc w:val="center"/>
                    <w:rPr>
                      <w:rFonts w:hint="eastAsia"/>
                      <w:color w:val="auto"/>
                      <w:szCs w:val="21"/>
                    </w:rPr>
                  </w:pPr>
                  <w:r>
                    <w:rPr>
                      <w:rFonts w:hint="eastAsia"/>
                      <w:color w:val="auto"/>
                      <w:szCs w:val="21"/>
                      <w:lang w:val="en-US" w:eastAsia="zh-CN"/>
                    </w:rPr>
                    <w:t>/</w:t>
                  </w:r>
                </w:p>
              </w:tc>
              <w:tc>
                <w:tcPr>
                  <w:tcW w:w="252" w:type="pct"/>
                  <w:vMerge w:val="continue"/>
                  <w:tcBorders>
                    <w:left w:val="single" w:color="auto" w:sz="4" w:space="0"/>
                    <w:right w:val="nil"/>
                  </w:tcBorders>
                  <w:noWrap w:val="0"/>
                  <w:vAlign w:val="center"/>
                </w:tcPr>
                <w:p w14:paraId="25F8B57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yellow"/>
                    </w:rPr>
                  </w:pPr>
                </w:p>
              </w:tc>
            </w:tr>
            <w:tr w14:paraId="40E96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65" w:type="pct"/>
                  <w:tcBorders>
                    <w:top w:val="single" w:color="auto" w:sz="4" w:space="0"/>
                    <w:left w:val="nil"/>
                    <w:bottom w:val="single" w:color="auto" w:sz="4" w:space="0"/>
                    <w:right w:val="single" w:color="auto" w:sz="4" w:space="0"/>
                  </w:tcBorders>
                  <w:shd w:val="clear" w:color="auto" w:fill="auto"/>
                  <w:noWrap w:val="0"/>
                  <w:vAlign w:val="center"/>
                </w:tcPr>
                <w:p w14:paraId="3BA1E296">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50</w:t>
                  </w:r>
                </w:p>
              </w:tc>
              <w:tc>
                <w:tcPr>
                  <w:tcW w:w="110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88803FE">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rPr>
                    <w:t>显微镜</w:t>
                  </w:r>
                </w:p>
              </w:tc>
              <w:tc>
                <w:tcPr>
                  <w:tcW w:w="85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54DD204">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rPr>
                    <w:t>/</w:t>
                  </w:r>
                </w:p>
              </w:tc>
              <w:tc>
                <w:tcPr>
                  <w:tcW w:w="48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E313385">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rPr>
                    <w:t>2</w:t>
                  </w:r>
                </w:p>
              </w:tc>
              <w:tc>
                <w:tcPr>
                  <w:tcW w:w="545" w:type="pct"/>
                  <w:tcBorders>
                    <w:top w:val="single" w:color="auto" w:sz="4" w:space="0"/>
                    <w:left w:val="single" w:color="auto" w:sz="4" w:space="0"/>
                    <w:bottom w:val="single" w:color="auto" w:sz="4" w:space="0"/>
                    <w:right w:val="nil"/>
                  </w:tcBorders>
                  <w:noWrap w:val="0"/>
                  <w:vAlign w:val="center"/>
                </w:tcPr>
                <w:p w14:paraId="002E76B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w:t>
                  </w:r>
                </w:p>
              </w:tc>
              <w:tc>
                <w:tcPr>
                  <w:tcW w:w="599" w:type="pct"/>
                  <w:tcBorders>
                    <w:top w:val="single" w:color="auto" w:sz="4" w:space="0"/>
                    <w:left w:val="single" w:color="auto" w:sz="4" w:space="0"/>
                    <w:bottom w:val="single" w:color="auto" w:sz="4" w:space="0"/>
                    <w:right w:val="nil"/>
                  </w:tcBorders>
                  <w:shd w:val="clear" w:color="auto" w:fill="auto"/>
                  <w:noWrap w:val="0"/>
                  <w:vAlign w:val="center"/>
                </w:tcPr>
                <w:p w14:paraId="10F57B80">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rPr>
                    <w:t>2</w:t>
                  </w:r>
                </w:p>
              </w:tc>
              <w:tc>
                <w:tcPr>
                  <w:tcW w:w="796" w:type="pct"/>
                  <w:tcBorders>
                    <w:left w:val="single" w:color="auto" w:sz="4" w:space="0"/>
                    <w:right w:val="nil"/>
                  </w:tcBorders>
                  <w:noWrap w:val="0"/>
                  <w:vAlign w:val="center"/>
                </w:tcPr>
                <w:p w14:paraId="2522D5AC">
                  <w:pPr>
                    <w:adjustRightInd w:val="0"/>
                    <w:snapToGrid w:val="0"/>
                    <w:jc w:val="center"/>
                    <w:rPr>
                      <w:rFonts w:hint="eastAsia"/>
                      <w:color w:val="auto"/>
                      <w:szCs w:val="21"/>
                    </w:rPr>
                  </w:pPr>
                  <w:r>
                    <w:rPr>
                      <w:rFonts w:hint="eastAsia"/>
                      <w:color w:val="auto"/>
                      <w:szCs w:val="21"/>
                      <w:lang w:val="en-US" w:eastAsia="zh-CN"/>
                    </w:rPr>
                    <w:t>/</w:t>
                  </w:r>
                </w:p>
              </w:tc>
              <w:tc>
                <w:tcPr>
                  <w:tcW w:w="252" w:type="pct"/>
                  <w:vMerge w:val="continue"/>
                  <w:tcBorders>
                    <w:left w:val="single" w:color="auto" w:sz="4" w:space="0"/>
                    <w:right w:val="nil"/>
                  </w:tcBorders>
                  <w:noWrap w:val="0"/>
                  <w:vAlign w:val="center"/>
                </w:tcPr>
                <w:p w14:paraId="5E7809C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yellow"/>
                    </w:rPr>
                  </w:pPr>
                </w:p>
              </w:tc>
            </w:tr>
            <w:tr w14:paraId="38D53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65" w:type="pct"/>
                  <w:tcBorders>
                    <w:top w:val="single" w:color="auto" w:sz="4" w:space="0"/>
                    <w:left w:val="nil"/>
                    <w:bottom w:val="single" w:color="auto" w:sz="4" w:space="0"/>
                    <w:right w:val="single" w:color="auto" w:sz="4" w:space="0"/>
                  </w:tcBorders>
                  <w:shd w:val="clear" w:color="auto" w:fill="auto"/>
                  <w:noWrap w:val="0"/>
                  <w:vAlign w:val="center"/>
                </w:tcPr>
                <w:p w14:paraId="15B1299D">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51</w:t>
                  </w:r>
                </w:p>
              </w:tc>
              <w:tc>
                <w:tcPr>
                  <w:tcW w:w="110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5F8AD22">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rPr>
                    <w:t>无菌操作台</w:t>
                  </w:r>
                </w:p>
              </w:tc>
              <w:tc>
                <w:tcPr>
                  <w:tcW w:w="85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1E96E5A">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rPr>
                    <w:t>/</w:t>
                  </w:r>
                </w:p>
              </w:tc>
              <w:tc>
                <w:tcPr>
                  <w:tcW w:w="48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C5E9FB8">
                  <w:pPr>
                    <w:adjustRightInd w:val="0"/>
                    <w:snapToGrid w:val="0"/>
                    <w:jc w:val="center"/>
                    <w:rPr>
                      <w:rFonts w:hint="default" w:ascii="Times New Roman" w:hAnsi="Times New Roman" w:eastAsia="宋体" w:cs="Times New Roman"/>
                      <w:color w:val="auto"/>
                      <w:kern w:val="2"/>
                      <w:sz w:val="21"/>
                      <w:szCs w:val="21"/>
                      <w:lang w:val="en-US" w:eastAsia="zh-CN" w:bidi="ar-SA"/>
                    </w:rPr>
                  </w:pPr>
                  <w:r>
                    <w:rPr>
                      <w:color w:val="auto"/>
                      <w:szCs w:val="21"/>
                    </w:rPr>
                    <w:t>2</w:t>
                  </w:r>
                </w:p>
              </w:tc>
              <w:tc>
                <w:tcPr>
                  <w:tcW w:w="545" w:type="pct"/>
                  <w:tcBorders>
                    <w:top w:val="single" w:color="auto" w:sz="4" w:space="0"/>
                    <w:left w:val="single" w:color="auto" w:sz="4" w:space="0"/>
                    <w:bottom w:val="single" w:color="auto" w:sz="4" w:space="0"/>
                    <w:right w:val="nil"/>
                  </w:tcBorders>
                  <w:noWrap w:val="0"/>
                  <w:vAlign w:val="center"/>
                </w:tcPr>
                <w:p w14:paraId="1705A3E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w:t>
                  </w:r>
                </w:p>
              </w:tc>
              <w:tc>
                <w:tcPr>
                  <w:tcW w:w="599" w:type="pct"/>
                  <w:tcBorders>
                    <w:top w:val="single" w:color="auto" w:sz="4" w:space="0"/>
                    <w:left w:val="single" w:color="auto" w:sz="4" w:space="0"/>
                    <w:bottom w:val="single" w:color="auto" w:sz="4" w:space="0"/>
                    <w:right w:val="nil"/>
                  </w:tcBorders>
                  <w:shd w:val="clear" w:color="auto" w:fill="auto"/>
                  <w:noWrap w:val="0"/>
                  <w:vAlign w:val="center"/>
                </w:tcPr>
                <w:p w14:paraId="3BFC6DC4">
                  <w:pPr>
                    <w:adjustRightInd w:val="0"/>
                    <w:snapToGrid w:val="0"/>
                    <w:jc w:val="center"/>
                    <w:rPr>
                      <w:rFonts w:hint="default" w:ascii="Times New Roman" w:hAnsi="Times New Roman" w:eastAsia="宋体" w:cs="Times New Roman"/>
                      <w:color w:val="auto"/>
                      <w:kern w:val="2"/>
                      <w:sz w:val="21"/>
                      <w:szCs w:val="21"/>
                      <w:lang w:val="en-US" w:eastAsia="zh-CN" w:bidi="ar-SA"/>
                    </w:rPr>
                  </w:pPr>
                  <w:r>
                    <w:rPr>
                      <w:color w:val="auto"/>
                      <w:szCs w:val="21"/>
                    </w:rPr>
                    <w:t>2</w:t>
                  </w:r>
                </w:p>
              </w:tc>
              <w:tc>
                <w:tcPr>
                  <w:tcW w:w="796" w:type="pct"/>
                  <w:tcBorders>
                    <w:left w:val="single" w:color="auto" w:sz="4" w:space="0"/>
                    <w:right w:val="nil"/>
                  </w:tcBorders>
                  <w:noWrap w:val="0"/>
                  <w:vAlign w:val="center"/>
                </w:tcPr>
                <w:p w14:paraId="3D7DC946">
                  <w:pPr>
                    <w:adjustRightInd w:val="0"/>
                    <w:snapToGrid w:val="0"/>
                    <w:jc w:val="center"/>
                    <w:rPr>
                      <w:color w:val="auto"/>
                      <w:szCs w:val="21"/>
                    </w:rPr>
                  </w:pPr>
                  <w:r>
                    <w:rPr>
                      <w:rFonts w:hint="eastAsia"/>
                      <w:color w:val="auto"/>
                      <w:szCs w:val="21"/>
                      <w:lang w:val="en-US" w:eastAsia="zh-CN"/>
                    </w:rPr>
                    <w:t>/</w:t>
                  </w:r>
                </w:p>
              </w:tc>
              <w:tc>
                <w:tcPr>
                  <w:tcW w:w="252" w:type="pct"/>
                  <w:vMerge w:val="continue"/>
                  <w:tcBorders>
                    <w:left w:val="single" w:color="auto" w:sz="4" w:space="0"/>
                    <w:right w:val="nil"/>
                  </w:tcBorders>
                  <w:noWrap w:val="0"/>
                  <w:vAlign w:val="center"/>
                </w:tcPr>
                <w:p w14:paraId="6E0CA20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yellow"/>
                    </w:rPr>
                  </w:pPr>
                </w:p>
              </w:tc>
            </w:tr>
            <w:tr w14:paraId="4D94E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65" w:type="pct"/>
                  <w:tcBorders>
                    <w:top w:val="single" w:color="auto" w:sz="4" w:space="0"/>
                    <w:left w:val="nil"/>
                    <w:bottom w:val="single" w:color="auto" w:sz="4" w:space="0"/>
                    <w:right w:val="single" w:color="auto" w:sz="4" w:space="0"/>
                  </w:tcBorders>
                  <w:shd w:val="clear" w:color="auto" w:fill="auto"/>
                  <w:noWrap w:val="0"/>
                  <w:vAlign w:val="center"/>
                </w:tcPr>
                <w:p w14:paraId="09FA7937">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5</w:t>
                  </w:r>
                  <w:r>
                    <w:rPr>
                      <w:rFonts w:hint="eastAsia" w:cs="Times New Roman"/>
                      <w:b w:val="0"/>
                      <w:bCs/>
                      <w:color w:val="auto"/>
                      <w:sz w:val="21"/>
                      <w:szCs w:val="21"/>
                      <w:lang w:val="en-US" w:eastAsia="zh-CN"/>
                    </w:rPr>
                    <w:t>2</w:t>
                  </w:r>
                </w:p>
              </w:tc>
              <w:tc>
                <w:tcPr>
                  <w:tcW w:w="110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AD11410">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rPr>
                    <w:t>干燥机</w:t>
                  </w:r>
                </w:p>
              </w:tc>
              <w:tc>
                <w:tcPr>
                  <w:tcW w:w="85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F7CEF7A">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rPr>
                    <w:t>/</w:t>
                  </w:r>
                </w:p>
              </w:tc>
              <w:tc>
                <w:tcPr>
                  <w:tcW w:w="48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699100D">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rPr>
                    <w:t>2</w:t>
                  </w:r>
                </w:p>
              </w:tc>
              <w:tc>
                <w:tcPr>
                  <w:tcW w:w="545" w:type="pct"/>
                  <w:tcBorders>
                    <w:top w:val="single" w:color="auto" w:sz="4" w:space="0"/>
                    <w:left w:val="single" w:color="auto" w:sz="4" w:space="0"/>
                    <w:bottom w:val="single" w:color="auto" w:sz="4" w:space="0"/>
                    <w:right w:val="nil"/>
                  </w:tcBorders>
                  <w:noWrap w:val="0"/>
                  <w:vAlign w:val="center"/>
                </w:tcPr>
                <w:p w14:paraId="51175F8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w:t>
                  </w:r>
                </w:p>
              </w:tc>
              <w:tc>
                <w:tcPr>
                  <w:tcW w:w="599" w:type="pct"/>
                  <w:tcBorders>
                    <w:top w:val="single" w:color="auto" w:sz="4" w:space="0"/>
                    <w:left w:val="single" w:color="auto" w:sz="4" w:space="0"/>
                    <w:bottom w:val="single" w:color="auto" w:sz="4" w:space="0"/>
                    <w:right w:val="nil"/>
                  </w:tcBorders>
                  <w:shd w:val="clear" w:color="auto" w:fill="auto"/>
                  <w:noWrap w:val="0"/>
                  <w:vAlign w:val="center"/>
                </w:tcPr>
                <w:p w14:paraId="1230C7CC">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rPr>
                    <w:t>2</w:t>
                  </w:r>
                </w:p>
              </w:tc>
              <w:tc>
                <w:tcPr>
                  <w:tcW w:w="796" w:type="pct"/>
                  <w:tcBorders>
                    <w:left w:val="single" w:color="auto" w:sz="4" w:space="0"/>
                    <w:right w:val="nil"/>
                  </w:tcBorders>
                  <w:noWrap w:val="0"/>
                  <w:vAlign w:val="center"/>
                </w:tcPr>
                <w:p w14:paraId="6A8C8B84">
                  <w:pPr>
                    <w:adjustRightInd w:val="0"/>
                    <w:snapToGrid w:val="0"/>
                    <w:jc w:val="center"/>
                    <w:rPr>
                      <w:rFonts w:hint="eastAsia"/>
                      <w:color w:val="auto"/>
                      <w:szCs w:val="21"/>
                    </w:rPr>
                  </w:pPr>
                  <w:r>
                    <w:rPr>
                      <w:rFonts w:hint="eastAsia"/>
                      <w:color w:val="auto"/>
                      <w:szCs w:val="21"/>
                      <w:lang w:val="en-US" w:eastAsia="zh-CN"/>
                    </w:rPr>
                    <w:t>/</w:t>
                  </w:r>
                </w:p>
              </w:tc>
              <w:tc>
                <w:tcPr>
                  <w:tcW w:w="252" w:type="pct"/>
                  <w:vMerge w:val="continue"/>
                  <w:tcBorders>
                    <w:left w:val="single" w:color="auto" w:sz="4" w:space="0"/>
                    <w:right w:val="nil"/>
                  </w:tcBorders>
                  <w:noWrap w:val="0"/>
                  <w:vAlign w:val="center"/>
                </w:tcPr>
                <w:p w14:paraId="0AE9A38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yellow"/>
                    </w:rPr>
                  </w:pPr>
                </w:p>
              </w:tc>
            </w:tr>
            <w:tr w14:paraId="68154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65" w:type="pct"/>
                  <w:tcBorders>
                    <w:top w:val="single" w:color="auto" w:sz="4" w:space="0"/>
                    <w:left w:val="nil"/>
                    <w:bottom w:val="single" w:color="auto" w:sz="4" w:space="0"/>
                    <w:right w:val="single" w:color="auto" w:sz="4" w:space="0"/>
                  </w:tcBorders>
                  <w:shd w:val="clear" w:color="auto" w:fill="auto"/>
                  <w:noWrap w:val="0"/>
                  <w:vAlign w:val="center"/>
                </w:tcPr>
                <w:p w14:paraId="2AE50A62">
                  <w:pPr>
                    <w:adjustRightInd w:val="0"/>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5</w:t>
                  </w:r>
                  <w:r>
                    <w:rPr>
                      <w:rFonts w:hint="eastAsia" w:cs="Times New Roman"/>
                      <w:b w:val="0"/>
                      <w:bCs/>
                      <w:color w:val="auto"/>
                      <w:sz w:val="21"/>
                      <w:szCs w:val="21"/>
                      <w:lang w:val="en-US" w:eastAsia="zh-CN"/>
                    </w:rPr>
                    <w:t>3</w:t>
                  </w:r>
                </w:p>
              </w:tc>
              <w:tc>
                <w:tcPr>
                  <w:tcW w:w="110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B2D89FA">
                  <w:pPr>
                    <w:adjustRightInd w:val="0"/>
                    <w:snapToGrid w:val="0"/>
                    <w:jc w:val="center"/>
                    <w:rPr>
                      <w:rFonts w:hint="default" w:ascii="Times New Roman" w:hAnsi="Times New Roman" w:eastAsia="宋体" w:cs="Times New Roman"/>
                      <w:color w:val="auto"/>
                      <w:kern w:val="2"/>
                      <w:sz w:val="21"/>
                      <w:szCs w:val="21"/>
                      <w:lang w:val="en-US" w:eastAsia="zh-CN" w:bidi="ar-SA"/>
                    </w:rPr>
                  </w:pPr>
                  <w:r>
                    <w:rPr>
                      <w:color w:val="auto"/>
                      <w:szCs w:val="21"/>
                    </w:rPr>
                    <w:t>真空泵</w:t>
                  </w:r>
                </w:p>
              </w:tc>
              <w:tc>
                <w:tcPr>
                  <w:tcW w:w="85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2B4252D">
                  <w:pPr>
                    <w:adjustRightInd w:val="0"/>
                    <w:snapToGrid w:val="0"/>
                    <w:jc w:val="center"/>
                    <w:rPr>
                      <w:rFonts w:hint="default" w:ascii="Times New Roman" w:hAnsi="Times New Roman" w:eastAsia="宋体" w:cs="Times New Roman"/>
                      <w:color w:val="auto"/>
                      <w:kern w:val="2"/>
                      <w:sz w:val="21"/>
                      <w:szCs w:val="21"/>
                      <w:lang w:val="en-US" w:eastAsia="zh-CN" w:bidi="ar-SA"/>
                    </w:rPr>
                  </w:pPr>
                  <w:r>
                    <w:rPr>
                      <w:color w:val="auto"/>
                      <w:szCs w:val="21"/>
                    </w:rPr>
                    <w:t>/</w:t>
                  </w:r>
                </w:p>
              </w:tc>
              <w:tc>
                <w:tcPr>
                  <w:tcW w:w="48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449D578">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rPr>
                    <w:t>1</w:t>
                  </w:r>
                  <w:r>
                    <w:rPr>
                      <w:color w:val="auto"/>
                      <w:szCs w:val="21"/>
                    </w:rPr>
                    <w:t>0</w:t>
                  </w:r>
                </w:p>
              </w:tc>
              <w:tc>
                <w:tcPr>
                  <w:tcW w:w="545" w:type="pct"/>
                  <w:tcBorders>
                    <w:top w:val="single" w:color="auto" w:sz="4" w:space="0"/>
                    <w:left w:val="single" w:color="auto" w:sz="4" w:space="0"/>
                    <w:bottom w:val="single" w:color="auto" w:sz="4" w:space="0"/>
                    <w:right w:val="nil"/>
                  </w:tcBorders>
                  <w:noWrap w:val="0"/>
                  <w:vAlign w:val="center"/>
                </w:tcPr>
                <w:p w14:paraId="6DA172F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w:t>
                  </w:r>
                </w:p>
              </w:tc>
              <w:tc>
                <w:tcPr>
                  <w:tcW w:w="599" w:type="pct"/>
                  <w:tcBorders>
                    <w:top w:val="single" w:color="auto" w:sz="4" w:space="0"/>
                    <w:left w:val="single" w:color="auto" w:sz="4" w:space="0"/>
                    <w:bottom w:val="single" w:color="auto" w:sz="4" w:space="0"/>
                    <w:right w:val="nil"/>
                  </w:tcBorders>
                  <w:shd w:val="clear" w:color="auto" w:fill="auto"/>
                  <w:noWrap w:val="0"/>
                  <w:vAlign w:val="center"/>
                </w:tcPr>
                <w:p w14:paraId="18C8B7C2">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rPr>
                    <w:t>1</w:t>
                  </w:r>
                  <w:r>
                    <w:rPr>
                      <w:color w:val="auto"/>
                      <w:szCs w:val="21"/>
                    </w:rPr>
                    <w:t>0</w:t>
                  </w:r>
                </w:p>
              </w:tc>
              <w:tc>
                <w:tcPr>
                  <w:tcW w:w="796" w:type="pct"/>
                  <w:tcBorders>
                    <w:left w:val="single" w:color="auto" w:sz="4" w:space="0"/>
                    <w:right w:val="nil"/>
                  </w:tcBorders>
                  <w:noWrap w:val="0"/>
                  <w:vAlign w:val="center"/>
                </w:tcPr>
                <w:p w14:paraId="7131BE64">
                  <w:pPr>
                    <w:adjustRightInd w:val="0"/>
                    <w:snapToGrid w:val="0"/>
                    <w:jc w:val="center"/>
                    <w:rPr>
                      <w:rFonts w:hint="eastAsia"/>
                      <w:color w:val="auto"/>
                      <w:szCs w:val="21"/>
                    </w:rPr>
                  </w:pPr>
                  <w:r>
                    <w:rPr>
                      <w:rFonts w:hint="eastAsia"/>
                      <w:color w:val="auto"/>
                      <w:szCs w:val="21"/>
                      <w:lang w:val="en-US" w:eastAsia="zh-CN"/>
                    </w:rPr>
                    <w:t>/</w:t>
                  </w:r>
                </w:p>
              </w:tc>
              <w:tc>
                <w:tcPr>
                  <w:tcW w:w="252" w:type="pct"/>
                  <w:vMerge w:val="continue"/>
                  <w:tcBorders>
                    <w:left w:val="single" w:color="auto" w:sz="4" w:space="0"/>
                    <w:right w:val="nil"/>
                  </w:tcBorders>
                  <w:noWrap w:val="0"/>
                  <w:vAlign w:val="center"/>
                </w:tcPr>
                <w:p w14:paraId="54815B2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highlight w:val="yellow"/>
                    </w:rPr>
                  </w:pPr>
                </w:p>
              </w:tc>
            </w:tr>
          </w:tbl>
          <w:p w14:paraId="526FBA76">
            <w:pPr>
              <w:widowControl/>
              <w:adjustRightInd w:val="0"/>
              <w:snapToGrid w:val="0"/>
              <w:spacing w:before="120" w:beforeLines="50" w:line="360" w:lineRule="auto"/>
              <w:jc w:val="left"/>
              <w:rPr>
                <w:b/>
                <w:color w:val="auto"/>
                <w:kern w:val="0"/>
                <w:sz w:val="24"/>
              </w:rPr>
            </w:pPr>
            <w:r>
              <w:rPr>
                <w:b/>
                <w:color w:val="auto"/>
                <w:kern w:val="0"/>
                <w:sz w:val="24"/>
              </w:rPr>
              <w:t>5.</w:t>
            </w:r>
            <w:r>
              <w:rPr>
                <w:rFonts w:hAnsi="宋体"/>
                <w:b/>
                <w:color w:val="auto"/>
                <w:kern w:val="0"/>
                <w:sz w:val="24"/>
              </w:rPr>
              <w:t>公用及辅助工程</w:t>
            </w:r>
          </w:p>
          <w:p w14:paraId="122989CE">
            <w:pPr>
              <w:autoSpaceDE w:val="0"/>
              <w:autoSpaceDN w:val="0"/>
              <w:adjustRightInd w:val="0"/>
              <w:snapToGrid w:val="0"/>
              <w:spacing w:line="360" w:lineRule="auto"/>
              <w:ind w:firstLine="480" w:firstLineChars="200"/>
              <w:jc w:val="left"/>
              <w:rPr>
                <w:color w:val="auto"/>
                <w:kern w:val="0"/>
                <w:sz w:val="24"/>
              </w:rPr>
            </w:pPr>
            <w:r>
              <w:rPr>
                <w:rFonts w:hAnsi="宋体"/>
                <w:color w:val="auto"/>
                <w:kern w:val="0"/>
                <w:sz w:val="24"/>
              </w:rPr>
              <w:t>项目主体工程、公用工程及辅助工程见表</w:t>
            </w:r>
            <w:r>
              <w:rPr>
                <w:color w:val="auto"/>
                <w:kern w:val="0"/>
                <w:sz w:val="24"/>
              </w:rPr>
              <w:t>2-</w:t>
            </w:r>
            <w:r>
              <w:rPr>
                <w:rFonts w:hint="eastAsia"/>
                <w:color w:val="auto"/>
                <w:kern w:val="0"/>
                <w:sz w:val="24"/>
                <w:lang w:val="en-US" w:eastAsia="zh-CN"/>
              </w:rPr>
              <w:t>6</w:t>
            </w:r>
            <w:r>
              <w:rPr>
                <w:rFonts w:hAnsi="宋体"/>
                <w:color w:val="auto"/>
                <w:kern w:val="0"/>
                <w:sz w:val="24"/>
              </w:rPr>
              <w:t>。</w:t>
            </w:r>
          </w:p>
          <w:p w14:paraId="3FDE5C50">
            <w:pPr>
              <w:widowControl/>
              <w:autoSpaceDE w:val="0"/>
              <w:autoSpaceDN w:val="0"/>
              <w:adjustRightInd w:val="0"/>
              <w:snapToGrid w:val="0"/>
              <w:jc w:val="center"/>
              <w:rPr>
                <w:rFonts w:hAnsi="宋体"/>
                <w:b/>
                <w:color w:val="auto"/>
                <w:kern w:val="0"/>
                <w:sz w:val="24"/>
              </w:rPr>
            </w:pPr>
            <w:r>
              <w:rPr>
                <w:rFonts w:hAnsi="宋体"/>
                <w:b/>
                <w:color w:val="auto"/>
                <w:kern w:val="0"/>
                <w:sz w:val="24"/>
              </w:rPr>
              <w:t>表</w:t>
            </w:r>
            <w:r>
              <w:rPr>
                <w:b/>
                <w:color w:val="auto"/>
                <w:kern w:val="0"/>
                <w:sz w:val="24"/>
              </w:rPr>
              <w:t>2-</w:t>
            </w:r>
            <w:r>
              <w:rPr>
                <w:rFonts w:hint="eastAsia"/>
                <w:b/>
                <w:color w:val="auto"/>
                <w:kern w:val="0"/>
                <w:sz w:val="24"/>
                <w:lang w:val="en-US" w:eastAsia="zh-CN"/>
              </w:rPr>
              <w:t xml:space="preserve">6  </w:t>
            </w:r>
            <w:r>
              <w:rPr>
                <w:rFonts w:hAnsi="宋体"/>
                <w:b/>
                <w:color w:val="auto"/>
                <w:kern w:val="0"/>
                <w:sz w:val="24"/>
                <w:lang w:val="zh-CN"/>
              </w:rPr>
              <w:t>项目</w:t>
            </w:r>
            <w:r>
              <w:rPr>
                <w:rFonts w:hAnsi="宋体"/>
                <w:b/>
                <w:color w:val="auto"/>
                <w:kern w:val="0"/>
                <w:sz w:val="24"/>
              </w:rPr>
              <w:t>公用与辅助工程一览表</w:t>
            </w:r>
          </w:p>
          <w:tbl>
            <w:tblPr>
              <w:tblStyle w:val="3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4"/>
              <w:gridCol w:w="299"/>
              <w:gridCol w:w="576"/>
              <w:gridCol w:w="723"/>
              <w:gridCol w:w="1425"/>
              <w:gridCol w:w="1400"/>
              <w:gridCol w:w="1532"/>
              <w:gridCol w:w="1727"/>
            </w:tblGrid>
            <w:tr w14:paraId="4DB9DC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4" w:hRule="atLeast"/>
                <w:tblHeader/>
                <w:jc w:val="center"/>
              </w:trPr>
              <w:tc>
                <w:tcPr>
                  <w:tcW w:w="436" w:type="pct"/>
                  <w:tcBorders>
                    <w:top w:val="single" w:color="auto" w:sz="12" w:space="0"/>
                    <w:bottom w:val="single" w:color="auto" w:sz="12" w:space="0"/>
                  </w:tcBorders>
                  <w:vAlign w:val="center"/>
                </w:tcPr>
                <w:p w14:paraId="48922F11">
                  <w:pPr>
                    <w:pStyle w:val="130"/>
                    <w:spacing w:line="240" w:lineRule="auto"/>
                    <w:rPr>
                      <w:rFonts w:ascii="Times New Roman" w:hAnsi="Times New Roman" w:eastAsia="宋体" w:cs="Times New Roman"/>
                      <w:b/>
                      <w:color w:val="auto"/>
                    </w:rPr>
                  </w:pPr>
                  <w:r>
                    <w:rPr>
                      <w:rFonts w:ascii="Times New Roman" w:hAnsi="Times New Roman" w:eastAsia="宋体" w:cs="Times New Roman"/>
                      <w:b/>
                      <w:color w:val="auto"/>
                    </w:rPr>
                    <w:t>类别</w:t>
                  </w:r>
                </w:p>
              </w:tc>
              <w:tc>
                <w:tcPr>
                  <w:tcW w:w="949" w:type="pct"/>
                  <w:gridSpan w:val="3"/>
                  <w:tcBorders>
                    <w:top w:val="single" w:color="auto" w:sz="12" w:space="0"/>
                    <w:bottom w:val="single" w:color="auto" w:sz="12" w:space="0"/>
                  </w:tcBorders>
                  <w:vAlign w:val="center"/>
                </w:tcPr>
                <w:p w14:paraId="7A481F41">
                  <w:pPr>
                    <w:pStyle w:val="130"/>
                    <w:spacing w:line="240" w:lineRule="auto"/>
                    <w:rPr>
                      <w:rFonts w:ascii="Times New Roman" w:hAnsi="Times New Roman" w:eastAsia="宋体" w:cs="Times New Roman"/>
                      <w:b/>
                      <w:color w:val="auto"/>
                    </w:rPr>
                  </w:pPr>
                  <w:r>
                    <w:rPr>
                      <w:rFonts w:ascii="Times New Roman" w:hAnsi="Times New Roman" w:eastAsia="宋体" w:cs="Times New Roman"/>
                      <w:b/>
                      <w:color w:val="auto"/>
                    </w:rPr>
                    <w:t>建设名称</w:t>
                  </w:r>
                </w:p>
              </w:tc>
              <w:tc>
                <w:tcPr>
                  <w:tcW w:w="846" w:type="pct"/>
                  <w:tcBorders>
                    <w:top w:val="single" w:color="auto" w:sz="12" w:space="0"/>
                    <w:bottom w:val="single" w:color="auto" w:sz="12" w:space="0"/>
                  </w:tcBorders>
                  <w:vAlign w:val="center"/>
                </w:tcPr>
                <w:p w14:paraId="68D56FAA">
                  <w:pPr>
                    <w:pStyle w:val="130"/>
                    <w:spacing w:line="240" w:lineRule="auto"/>
                    <w:rPr>
                      <w:rFonts w:ascii="Times New Roman" w:hAnsi="Times New Roman" w:eastAsia="宋体" w:cs="Times New Roman"/>
                      <w:b/>
                      <w:color w:val="auto"/>
                    </w:rPr>
                  </w:pPr>
                  <w:r>
                    <w:rPr>
                      <w:rFonts w:hint="eastAsia" w:ascii="Times New Roman" w:hAnsi="Times New Roman" w:eastAsia="宋体" w:cs="Times New Roman"/>
                      <w:b/>
                      <w:color w:val="auto"/>
                      <w:lang w:eastAsia="zh-CN"/>
                    </w:rPr>
                    <w:t>扩建前</w:t>
                  </w:r>
                  <w:r>
                    <w:rPr>
                      <w:rFonts w:ascii="Times New Roman" w:hAnsi="Times New Roman" w:eastAsia="宋体" w:cs="Times New Roman"/>
                      <w:b/>
                      <w:color w:val="auto"/>
                    </w:rPr>
                    <w:t>设计能力</w:t>
                  </w:r>
                </w:p>
              </w:tc>
              <w:tc>
                <w:tcPr>
                  <w:tcW w:w="831" w:type="pct"/>
                  <w:tcBorders>
                    <w:top w:val="single" w:color="auto" w:sz="12" w:space="0"/>
                    <w:bottom w:val="single" w:color="auto" w:sz="12" w:space="0"/>
                  </w:tcBorders>
                  <w:vAlign w:val="center"/>
                </w:tcPr>
                <w:p w14:paraId="06522E13">
                  <w:pPr>
                    <w:pStyle w:val="130"/>
                    <w:spacing w:line="240" w:lineRule="auto"/>
                    <w:rPr>
                      <w:rFonts w:hint="eastAsia" w:ascii="Times New Roman" w:hAnsi="Times New Roman" w:eastAsia="宋体" w:cs="Times New Roman"/>
                      <w:b/>
                      <w:color w:val="auto"/>
                      <w:lang w:eastAsia="zh-CN"/>
                    </w:rPr>
                  </w:pPr>
                  <w:r>
                    <w:rPr>
                      <w:rFonts w:hint="eastAsia" w:ascii="Times New Roman" w:hAnsi="Times New Roman" w:eastAsia="宋体" w:cs="Times New Roman"/>
                      <w:b/>
                      <w:color w:val="auto"/>
                      <w:lang w:eastAsia="zh-CN"/>
                    </w:rPr>
                    <w:t>扩建后全厂设计能力</w:t>
                  </w:r>
                </w:p>
              </w:tc>
              <w:tc>
                <w:tcPr>
                  <w:tcW w:w="910" w:type="pct"/>
                  <w:tcBorders>
                    <w:top w:val="single" w:color="auto" w:sz="12" w:space="0"/>
                    <w:bottom w:val="single" w:color="auto" w:sz="12" w:space="0"/>
                  </w:tcBorders>
                  <w:vAlign w:val="center"/>
                </w:tcPr>
                <w:p w14:paraId="05AA2F9D">
                  <w:pPr>
                    <w:pStyle w:val="130"/>
                    <w:spacing w:line="240" w:lineRule="auto"/>
                    <w:rPr>
                      <w:rFonts w:hint="eastAsia" w:ascii="Times New Roman" w:hAnsi="Times New Roman" w:eastAsia="宋体" w:cs="Times New Roman"/>
                      <w:b/>
                      <w:color w:val="auto"/>
                      <w:lang w:eastAsia="zh-CN"/>
                    </w:rPr>
                  </w:pPr>
                  <w:r>
                    <w:rPr>
                      <w:rFonts w:hint="eastAsia" w:ascii="Times New Roman" w:hAnsi="Times New Roman" w:cs="Times New Roman"/>
                      <w:b/>
                      <w:color w:val="auto"/>
                      <w:lang w:eastAsia="zh-CN"/>
                    </w:rPr>
                    <w:t>变化情况</w:t>
                  </w:r>
                </w:p>
              </w:tc>
              <w:tc>
                <w:tcPr>
                  <w:tcW w:w="1026" w:type="pct"/>
                  <w:tcBorders>
                    <w:top w:val="single" w:color="auto" w:sz="12" w:space="0"/>
                    <w:bottom w:val="single" w:color="auto" w:sz="12" w:space="0"/>
                  </w:tcBorders>
                  <w:vAlign w:val="center"/>
                </w:tcPr>
                <w:p w14:paraId="7F43A20B">
                  <w:pPr>
                    <w:pStyle w:val="130"/>
                    <w:spacing w:line="240" w:lineRule="auto"/>
                    <w:rPr>
                      <w:rFonts w:ascii="Times New Roman" w:hAnsi="Times New Roman" w:eastAsia="宋体" w:cs="Times New Roman"/>
                      <w:b/>
                      <w:color w:val="auto"/>
                    </w:rPr>
                  </w:pPr>
                  <w:r>
                    <w:rPr>
                      <w:rFonts w:ascii="Times New Roman" w:hAnsi="Times New Roman" w:eastAsia="宋体" w:cs="Times New Roman"/>
                      <w:b/>
                      <w:color w:val="auto"/>
                    </w:rPr>
                    <w:t>备注</w:t>
                  </w:r>
                </w:p>
              </w:tc>
            </w:tr>
            <w:tr w14:paraId="331B64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vMerge w:val="restart"/>
                  <w:tcBorders>
                    <w:top w:val="single" w:color="auto" w:sz="12" w:space="0"/>
                  </w:tcBorders>
                  <w:vAlign w:val="center"/>
                </w:tcPr>
                <w:p w14:paraId="0A2254E9">
                  <w:pPr>
                    <w:pStyle w:val="130"/>
                    <w:spacing w:line="240" w:lineRule="auto"/>
                    <w:rPr>
                      <w:rFonts w:ascii="Times New Roman" w:hAnsi="Times New Roman" w:eastAsia="宋体" w:cs="Times New Roman"/>
                      <w:color w:val="auto"/>
                    </w:rPr>
                  </w:pPr>
                  <w:r>
                    <w:rPr>
                      <w:rFonts w:ascii="Times New Roman" w:hAnsi="Times New Roman" w:eastAsia="宋体" w:cs="Times New Roman"/>
                      <w:color w:val="auto"/>
                    </w:rPr>
                    <w:t>贮运工程</w:t>
                  </w:r>
                </w:p>
              </w:tc>
              <w:tc>
                <w:tcPr>
                  <w:tcW w:w="949" w:type="pct"/>
                  <w:gridSpan w:val="3"/>
                  <w:tcBorders>
                    <w:top w:val="single" w:color="auto" w:sz="12" w:space="0"/>
                  </w:tcBorders>
                  <w:vAlign w:val="center"/>
                </w:tcPr>
                <w:p w14:paraId="3DCFDA12">
                  <w:pPr>
                    <w:pStyle w:val="130"/>
                    <w:spacing w:line="240" w:lineRule="auto"/>
                    <w:rPr>
                      <w:rFonts w:ascii="Times New Roman" w:hAnsi="Times New Roman" w:eastAsia="宋体" w:cs="Times New Roman"/>
                      <w:color w:val="auto"/>
                    </w:rPr>
                  </w:pPr>
                  <w:r>
                    <w:rPr>
                      <w:rFonts w:hint="eastAsia" w:ascii="Times New Roman" w:hAnsi="Times New Roman" w:eastAsia="宋体" w:cs="Times New Roman"/>
                      <w:color w:val="auto"/>
                    </w:rPr>
                    <w:t>运输</w:t>
                  </w:r>
                </w:p>
              </w:tc>
              <w:tc>
                <w:tcPr>
                  <w:tcW w:w="846" w:type="pct"/>
                  <w:tcBorders>
                    <w:top w:val="single" w:color="auto" w:sz="12" w:space="0"/>
                  </w:tcBorders>
                  <w:vAlign w:val="center"/>
                </w:tcPr>
                <w:p w14:paraId="3CDF9BE5">
                  <w:pPr>
                    <w:pStyle w:val="130"/>
                    <w:spacing w:line="240" w:lineRule="auto"/>
                    <w:rPr>
                      <w:rFonts w:ascii="Times New Roman" w:hAnsi="Times New Roman" w:eastAsia="宋体" w:cs="Times New Roman"/>
                      <w:color w:val="auto"/>
                    </w:rPr>
                  </w:pPr>
                  <w:r>
                    <w:rPr>
                      <w:rFonts w:hint="eastAsia" w:ascii="Times New Roman" w:hAnsi="Times New Roman" w:eastAsia="宋体" w:cs="Times New Roman"/>
                      <w:color w:val="auto"/>
                    </w:rPr>
                    <w:t>1</w:t>
                  </w:r>
                  <w:r>
                    <w:rPr>
                      <w:rFonts w:ascii="Times New Roman" w:hAnsi="Times New Roman" w:eastAsia="宋体" w:cs="Times New Roman"/>
                      <w:color w:val="auto"/>
                    </w:rPr>
                    <w:t>5000t/a</w:t>
                  </w:r>
                </w:p>
              </w:tc>
              <w:tc>
                <w:tcPr>
                  <w:tcW w:w="831" w:type="pct"/>
                  <w:tcBorders>
                    <w:top w:val="single" w:color="auto" w:sz="12" w:space="0"/>
                  </w:tcBorders>
                  <w:vAlign w:val="center"/>
                </w:tcPr>
                <w:p w14:paraId="2766DFE3">
                  <w:pPr>
                    <w:pStyle w:val="130"/>
                    <w:spacing w:line="240" w:lineRule="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22000</w:t>
                  </w:r>
                  <w:r>
                    <w:rPr>
                      <w:rFonts w:ascii="Times New Roman" w:hAnsi="Times New Roman" w:eastAsia="宋体" w:cs="Times New Roman"/>
                      <w:color w:val="auto"/>
                    </w:rPr>
                    <w:t>t/a</w:t>
                  </w:r>
                </w:p>
              </w:tc>
              <w:tc>
                <w:tcPr>
                  <w:tcW w:w="910" w:type="pct"/>
                  <w:tcBorders>
                    <w:top w:val="single" w:color="auto" w:sz="12" w:space="0"/>
                  </w:tcBorders>
                  <w:vAlign w:val="center"/>
                </w:tcPr>
                <w:p w14:paraId="4D73658D">
                  <w:pPr>
                    <w:pStyle w:val="130"/>
                    <w:spacing w:line="240" w:lineRule="auto"/>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+7000t/a</w:t>
                  </w:r>
                </w:p>
              </w:tc>
              <w:tc>
                <w:tcPr>
                  <w:tcW w:w="1026" w:type="pct"/>
                  <w:tcBorders>
                    <w:top w:val="single" w:color="auto" w:sz="12" w:space="0"/>
                  </w:tcBorders>
                  <w:vAlign w:val="center"/>
                </w:tcPr>
                <w:p w14:paraId="0569FE38">
                  <w:pPr>
                    <w:pStyle w:val="130"/>
                    <w:spacing w:line="240" w:lineRule="auto"/>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w:t>
                  </w:r>
                </w:p>
              </w:tc>
            </w:tr>
            <w:tr w14:paraId="66FC0E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436" w:type="pct"/>
                  <w:vMerge w:val="continue"/>
                  <w:vAlign w:val="center"/>
                </w:tcPr>
                <w:p w14:paraId="5DE00988">
                  <w:pPr>
                    <w:pStyle w:val="130"/>
                    <w:spacing w:line="240" w:lineRule="auto"/>
                    <w:rPr>
                      <w:rFonts w:ascii="Times New Roman" w:hAnsi="Times New Roman" w:eastAsia="宋体" w:cs="Times New Roman"/>
                      <w:color w:val="auto"/>
                    </w:rPr>
                  </w:pPr>
                </w:p>
              </w:tc>
              <w:tc>
                <w:tcPr>
                  <w:tcW w:w="949" w:type="pct"/>
                  <w:gridSpan w:val="3"/>
                  <w:vAlign w:val="center"/>
                </w:tcPr>
                <w:p w14:paraId="64B7AF1D">
                  <w:pPr>
                    <w:pStyle w:val="130"/>
                    <w:spacing w:line="240" w:lineRule="auto"/>
                    <w:rPr>
                      <w:rFonts w:ascii="Times New Roman" w:hAnsi="Times New Roman" w:eastAsia="宋体" w:cs="Times New Roman"/>
                      <w:color w:val="auto"/>
                    </w:rPr>
                  </w:pPr>
                  <w:r>
                    <w:rPr>
                      <w:rFonts w:ascii="Times New Roman" w:hAnsi="Times New Roman" w:eastAsia="宋体" w:cs="Times New Roman"/>
                      <w:color w:val="auto"/>
                    </w:rPr>
                    <w:t>仓库</w:t>
                  </w:r>
                </w:p>
              </w:tc>
              <w:tc>
                <w:tcPr>
                  <w:tcW w:w="846" w:type="pct"/>
                  <w:vAlign w:val="center"/>
                </w:tcPr>
                <w:p w14:paraId="3E2573A9">
                  <w:pPr>
                    <w:pStyle w:val="130"/>
                    <w:spacing w:line="240" w:lineRule="auto"/>
                    <w:rPr>
                      <w:rFonts w:ascii="Times New Roman" w:hAnsi="Times New Roman" w:eastAsia="宋体" w:cs="Times New Roman"/>
                      <w:color w:val="auto"/>
                    </w:rPr>
                  </w:pPr>
                  <w:r>
                    <w:rPr>
                      <w:rFonts w:ascii="Times New Roman" w:hAnsi="Times New Roman" w:eastAsia="宋体" w:cs="Times New Roman"/>
                      <w:color w:val="auto"/>
                    </w:rPr>
                    <w:t>3893.6m</w:t>
                  </w:r>
                  <w:r>
                    <w:rPr>
                      <w:rFonts w:ascii="Times New Roman" w:hAnsi="Times New Roman" w:eastAsia="宋体" w:cs="Times New Roman"/>
                      <w:color w:val="auto"/>
                      <w:vertAlign w:val="superscript"/>
                    </w:rPr>
                    <w:t>2</w:t>
                  </w:r>
                </w:p>
              </w:tc>
              <w:tc>
                <w:tcPr>
                  <w:tcW w:w="831" w:type="pct"/>
                  <w:vAlign w:val="center"/>
                </w:tcPr>
                <w:p w14:paraId="72FA1557">
                  <w:pPr>
                    <w:pStyle w:val="130"/>
                    <w:spacing w:line="240" w:lineRule="auto"/>
                    <w:rPr>
                      <w:rFonts w:ascii="Times New Roman" w:hAnsi="Times New Roman" w:eastAsia="宋体" w:cs="Times New Roman"/>
                      <w:color w:val="auto"/>
                    </w:rPr>
                  </w:pPr>
                  <w:r>
                    <w:rPr>
                      <w:rFonts w:hint="eastAsia" w:ascii="Times New Roman" w:hAnsi="Times New Roman" w:cs="Times New Roman"/>
                      <w:color w:val="auto"/>
                      <w:lang w:val="en-US" w:eastAsia="zh-CN"/>
                    </w:rPr>
                    <w:t>8573.38</w:t>
                  </w:r>
                  <w:r>
                    <w:rPr>
                      <w:rFonts w:ascii="Times New Roman" w:hAnsi="Times New Roman" w:eastAsia="宋体" w:cs="Times New Roman"/>
                      <w:color w:val="auto"/>
                    </w:rPr>
                    <w:t>m</w:t>
                  </w:r>
                  <w:r>
                    <w:rPr>
                      <w:rFonts w:ascii="Times New Roman" w:hAnsi="Times New Roman" w:eastAsia="宋体" w:cs="Times New Roman"/>
                      <w:color w:val="auto"/>
                      <w:vertAlign w:val="superscript"/>
                    </w:rPr>
                    <w:t>2</w:t>
                  </w:r>
                </w:p>
              </w:tc>
              <w:tc>
                <w:tcPr>
                  <w:tcW w:w="910" w:type="pct"/>
                  <w:vAlign w:val="center"/>
                </w:tcPr>
                <w:p w14:paraId="29103AF8">
                  <w:pPr>
                    <w:pStyle w:val="130"/>
                    <w:spacing w:line="240" w:lineRule="auto"/>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+4679.78</w:t>
                  </w:r>
                  <w:r>
                    <w:rPr>
                      <w:rFonts w:ascii="Times New Roman" w:hAnsi="Times New Roman" w:eastAsia="宋体" w:cs="Times New Roman"/>
                      <w:color w:val="auto"/>
                    </w:rPr>
                    <w:t>m</w:t>
                  </w:r>
                  <w:r>
                    <w:rPr>
                      <w:rFonts w:ascii="Times New Roman" w:hAnsi="Times New Roman" w:eastAsia="宋体" w:cs="Times New Roman"/>
                      <w:color w:val="auto"/>
                      <w:vertAlign w:val="superscript"/>
                    </w:rPr>
                    <w:t>2</w:t>
                  </w:r>
                </w:p>
              </w:tc>
              <w:tc>
                <w:tcPr>
                  <w:tcW w:w="1026" w:type="pct"/>
                  <w:vAlign w:val="center"/>
                </w:tcPr>
                <w:p w14:paraId="01BCF4EC">
                  <w:pPr>
                    <w:pStyle w:val="130"/>
                    <w:spacing w:line="240" w:lineRule="auto"/>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2</w:t>
                  </w:r>
                  <w:r>
                    <w:rPr>
                      <w:rFonts w:ascii="Times New Roman" w:hAnsi="Times New Roman" w:eastAsia="宋体" w:cs="Times New Roman"/>
                      <w:color w:val="auto"/>
                    </w:rPr>
                    <w:t>间</w:t>
                  </w:r>
                  <w:r>
                    <w:rPr>
                      <w:rFonts w:hint="eastAsia" w:ascii="Times New Roman" w:hAnsi="Times New Roman" w:eastAsia="宋体" w:cs="Times New Roman"/>
                      <w:color w:val="auto"/>
                    </w:rPr>
                    <w:t>冷藏库</w:t>
                  </w:r>
                </w:p>
              </w:tc>
            </w:tr>
            <w:tr w14:paraId="542D62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vMerge w:val="restart"/>
                  <w:vAlign w:val="center"/>
                </w:tcPr>
                <w:p w14:paraId="072A944F">
                  <w:pPr>
                    <w:pStyle w:val="130"/>
                    <w:spacing w:line="240" w:lineRule="auto"/>
                    <w:rPr>
                      <w:rFonts w:ascii="Times New Roman" w:hAnsi="Times New Roman" w:eastAsia="宋体" w:cs="Times New Roman"/>
                      <w:color w:val="auto"/>
                    </w:rPr>
                  </w:pPr>
                  <w:r>
                    <w:rPr>
                      <w:rFonts w:ascii="Times New Roman" w:hAnsi="Times New Roman" w:eastAsia="宋体" w:cs="Times New Roman"/>
                      <w:color w:val="auto"/>
                    </w:rPr>
                    <w:t>辅助生产设置及公用工程</w:t>
                  </w:r>
                </w:p>
              </w:tc>
              <w:tc>
                <w:tcPr>
                  <w:tcW w:w="949" w:type="pct"/>
                  <w:gridSpan w:val="3"/>
                  <w:vAlign w:val="center"/>
                </w:tcPr>
                <w:p w14:paraId="15365C44">
                  <w:pPr>
                    <w:pStyle w:val="130"/>
                    <w:spacing w:line="240" w:lineRule="auto"/>
                    <w:rPr>
                      <w:rFonts w:ascii="Times New Roman" w:hAnsi="Times New Roman" w:eastAsia="宋体" w:cs="Times New Roman"/>
                      <w:color w:val="auto"/>
                    </w:rPr>
                  </w:pPr>
                  <w:r>
                    <w:rPr>
                      <w:rFonts w:ascii="Times New Roman" w:hAnsi="Times New Roman" w:eastAsia="宋体" w:cs="Times New Roman"/>
                      <w:color w:val="auto"/>
                    </w:rPr>
                    <w:t>给水</w:t>
                  </w:r>
                </w:p>
              </w:tc>
              <w:tc>
                <w:tcPr>
                  <w:tcW w:w="846" w:type="pct"/>
                  <w:vAlign w:val="center"/>
                </w:tcPr>
                <w:p w14:paraId="69F70AFC">
                  <w:pPr>
                    <w:pStyle w:val="130"/>
                    <w:spacing w:line="240" w:lineRule="auto"/>
                    <w:rPr>
                      <w:rFonts w:ascii="Times New Roman" w:hAnsi="Times New Roman" w:eastAsia="宋体" w:cs="Times New Roman"/>
                      <w:color w:val="auto"/>
                    </w:rPr>
                  </w:pPr>
                  <w:r>
                    <w:rPr>
                      <w:rFonts w:hint="eastAsia" w:ascii="Times New Roman" w:hAnsi="Times New Roman" w:cs="Times New Roman"/>
                      <w:color w:val="auto"/>
                      <w:lang w:val="en-US" w:eastAsia="zh-CN"/>
                    </w:rPr>
                    <w:t>469295</w:t>
                  </w:r>
                  <w:r>
                    <w:rPr>
                      <w:rFonts w:ascii="Times New Roman" w:hAnsi="Times New Roman" w:eastAsia="宋体" w:cs="Times New Roman"/>
                      <w:color w:val="auto"/>
                      <w:lang w:val="en-US"/>
                    </w:rPr>
                    <w:t>t/a</w:t>
                  </w:r>
                </w:p>
              </w:tc>
              <w:tc>
                <w:tcPr>
                  <w:tcW w:w="831" w:type="pct"/>
                  <w:vAlign w:val="center"/>
                </w:tcPr>
                <w:p w14:paraId="3DD9417D">
                  <w:pPr>
                    <w:pStyle w:val="130"/>
                    <w:spacing w:line="240" w:lineRule="auto"/>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331974</w:t>
                  </w:r>
                  <w:r>
                    <w:rPr>
                      <w:rFonts w:ascii="Times New Roman" w:hAnsi="Times New Roman" w:eastAsia="宋体" w:cs="Times New Roman"/>
                      <w:color w:val="auto"/>
                      <w:lang w:val="en-US"/>
                    </w:rPr>
                    <w:t>t/a</w:t>
                  </w:r>
                </w:p>
              </w:tc>
              <w:tc>
                <w:tcPr>
                  <w:tcW w:w="910" w:type="pct"/>
                  <w:vAlign w:val="center"/>
                </w:tcPr>
                <w:p w14:paraId="14C0A9A3">
                  <w:pPr>
                    <w:pStyle w:val="130"/>
                    <w:spacing w:line="240" w:lineRule="auto"/>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-137321</w:t>
                  </w:r>
                  <w:r>
                    <w:rPr>
                      <w:rFonts w:ascii="Times New Roman" w:hAnsi="Times New Roman" w:eastAsia="宋体" w:cs="Times New Roman"/>
                      <w:color w:val="auto"/>
                      <w:lang w:val="en-US"/>
                    </w:rPr>
                    <w:t>t/a</w:t>
                  </w:r>
                </w:p>
              </w:tc>
              <w:tc>
                <w:tcPr>
                  <w:tcW w:w="1026" w:type="pct"/>
                  <w:vAlign w:val="center"/>
                </w:tcPr>
                <w:p w14:paraId="33C7554D">
                  <w:pPr>
                    <w:pStyle w:val="130"/>
                    <w:spacing w:line="240" w:lineRule="auto"/>
                    <w:rPr>
                      <w:rFonts w:ascii="Times New Roman" w:hAnsi="Times New Roman" w:eastAsia="宋体" w:cs="Times New Roman"/>
                      <w:color w:val="auto"/>
                    </w:rPr>
                  </w:pPr>
                  <w:r>
                    <w:rPr>
                      <w:rFonts w:ascii="Times New Roman" w:hAnsi="Times New Roman" w:eastAsia="宋体" w:cs="Times New Roman"/>
                      <w:color w:val="auto"/>
                    </w:rPr>
                    <w:t>由涟水县涟缘水务有限公司供水</w:t>
                  </w:r>
                </w:p>
              </w:tc>
            </w:tr>
            <w:tr w14:paraId="4119A1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vMerge w:val="continue"/>
                  <w:vAlign w:val="center"/>
                </w:tcPr>
                <w:p w14:paraId="23A227B1">
                  <w:pPr>
                    <w:pStyle w:val="130"/>
                    <w:spacing w:line="240" w:lineRule="auto"/>
                    <w:rPr>
                      <w:rFonts w:ascii="Times New Roman" w:hAnsi="Times New Roman" w:eastAsia="宋体" w:cs="Times New Roman"/>
                      <w:color w:val="auto"/>
                    </w:rPr>
                  </w:pPr>
                </w:p>
              </w:tc>
              <w:tc>
                <w:tcPr>
                  <w:tcW w:w="949" w:type="pct"/>
                  <w:gridSpan w:val="3"/>
                  <w:vAlign w:val="center"/>
                </w:tcPr>
                <w:p w14:paraId="73737DE8">
                  <w:pPr>
                    <w:pStyle w:val="130"/>
                    <w:spacing w:line="240" w:lineRule="auto"/>
                    <w:rPr>
                      <w:rFonts w:ascii="Times New Roman" w:hAnsi="Times New Roman" w:eastAsia="宋体" w:cs="Times New Roman"/>
                      <w:color w:val="auto"/>
                    </w:rPr>
                  </w:pPr>
                  <w:r>
                    <w:rPr>
                      <w:rFonts w:ascii="Times New Roman" w:hAnsi="Times New Roman" w:eastAsia="宋体" w:cs="Times New Roman"/>
                      <w:color w:val="auto"/>
                    </w:rPr>
                    <w:t>排水</w:t>
                  </w:r>
                </w:p>
              </w:tc>
              <w:tc>
                <w:tcPr>
                  <w:tcW w:w="846" w:type="pct"/>
                  <w:vAlign w:val="center"/>
                </w:tcPr>
                <w:p w14:paraId="1512A2E6">
                  <w:pPr>
                    <w:pStyle w:val="130"/>
                    <w:spacing w:line="240" w:lineRule="auto"/>
                    <w:rPr>
                      <w:rFonts w:ascii="Times New Roman" w:hAnsi="Times New Roman" w:eastAsia="宋体" w:cs="Times New Roman"/>
                      <w:color w:val="auto"/>
                    </w:rPr>
                  </w:pPr>
                  <w:r>
                    <w:rPr>
                      <w:rFonts w:ascii="Times New Roman" w:hAnsi="Times New Roman" w:eastAsia="宋体" w:cs="Times New Roman"/>
                      <w:color w:val="auto"/>
                      <w:lang w:val="en-US"/>
                    </w:rPr>
                    <w:t>429074t/a</w:t>
                  </w:r>
                </w:p>
              </w:tc>
              <w:tc>
                <w:tcPr>
                  <w:tcW w:w="831" w:type="pct"/>
                  <w:vAlign w:val="center"/>
                </w:tcPr>
                <w:p w14:paraId="7024FA1F">
                  <w:pPr>
                    <w:pStyle w:val="130"/>
                    <w:spacing w:line="240" w:lineRule="auto"/>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294355</w:t>
                  </w:r>
                  <w:r>
                    <w:rPr>
                      <w:rFonts w:ascii="Times New Roman" w:hAnsi="Times New Roman" w:eastAsia="宋体" w:cs="Times New Roman"/>
                      <w:color w:val="auto"/>
                      <w:lang w:val="en-US"/>
                    </w:rPr>
                    <w:t>t/a</w:t>
                  </w:r>
                </w:p>
              </w:tc>
              <w:tc>
                <w:tcPr>
                  <w:tcW w:w="910" w:type="pct"/>
                  <w:vAlign w:val="center"/>
                </w:tcPr>
                <w:p w14:paraId="718EBA80">
                  <w:pPr>
                    <w:pStyle w:val="130"/>
                    <w:spacing w:line="240" w:lineRule="auto"/>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-134719</w:t>
                  </w:r>
                  <w:r>
                    <w:rPr>
                      <w:rFonts w:ascii="Times New Roman" w:hAnsi="Times New Roman" w:eastAsia="宋体" w:cs="Times New Roman"/>
                      <w:color w:val="auto"/>
                      <w:lang w:val="en-US"/>
                    </w:rPr>
                    <w:t>t/a</w:t>
                  </w:r>
                </w:p>
              </w:tc>
              <w:tc>
                <w:tcPr>
                  <w:tcW w:w="1026" w:type="pct"/>
                  <w:vAlign w:val="center"/>
                </w:tcPr>
                <w:p w14:paraId="27604319">
                  <w:pPr>
                    <w:pStyle w:val="130"/>
                    <w:spacing w:line="240" w:lineRule="auto"/>
                    <w:rPr>
                      <w:rFonts w:ascii="Times New Roman" w:hAnsi="Times New Roman" w:eastAsia="宋体" w:cs="Times New Roman"/>
                      <w:color w:val="auto"/>
                    </w:rPr>
                  </w:pPr>
                  <w:r>
                    <w:rPr>
                      <w:rFonts w:ascii="Times New Roman" w:hAnsi="Times New Roman" w:eastAsia="宋体" w:cs="Times New Roman"/>
                      <w:color w:val="auto"/>
                    </w:rPr>
                    <w:t>排入园区污水管网，接管至涟水经济开发区西区污水处理厂</w:t>
                  </w:r>
                </w:p>
              </w:tc>
            </w:tr>
            <w:tr w14:paraId="6C8E21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vMerge w:val="continue"/>
                  <w:vAlign w:val="center"/>
                </w:tcPr>
                <w:p w14:paraId="0E03704D">
                  <w:pPr>
                    <w:pStyle w:val="130"/>
                    <w:spacing w:line="240" w:lineRule="auto"/>
                    <w:rPr>
                      <w:rFonts w:ascii="Times New Roman" w:hAnsi="Times New Roman" w:eastAsia="宋体" w:cs="Times New Roman"/>
                      <w:color w:val="auto"/>
                    </w:rPr>
                  </w:pPr>
                </w:p>
              </w:tc>
              <w:tc>
                <w:tcPr>
                  <w:tcW w:w="949" w:type="pct"/>
                  <w:gridSpan w:val="3"/>
                  <w:vAlign w:val="center"/>
                </w:tcPr>
                <w:p w14:paraId="0D017B8D">
                  <w:pPr>
                    <w:pStyle w:val="130"/>
                    <w:spacing w:line="240" w:lineRule="auto"/>
                    <w:rPr>
                      <w:rFonts w:ascii="Times New Roman" w:hAnsi="Times New Roman" w:eastAsia="宋体" w:cs="Times New Roman"/>
                      <w:color w:val="auto"/>
                    </w:rPr>
                  </w:pPr>
                  <w:r>
                    <w:rPr>
                      <w:rFonts w:ascii="Times New Roman" w:hAnsi="Times New Roman" w:eastAsia="宋体" w:cs="Times New Roman"/>
                      <w:color w:val="auto"/>
                    </w:rPr>
                    <w:t>供电</w:t>
                  </w:r>
                </w:p>
              </w:tc>
              <w:tc>
                <w:tcPr>
                  <w:tcW w:w="846" w:type="pct"/>
                  <w:vAlign w:val="center"/>
                </w:tcPr>
                <w:p w14:paraId="31E669AE">
                  <w:pPr>
                    <w:pStyle w:val="130"/>
                    <w:spacing w:line="240" w:lineRule="auto"/>
                    <w:rPr>
                      <w:rFonts w:ascii="Times New Roman" w:hAnsi="Times New Roman" w:eastAsia="宋体" w:cs="Times New Roman"/>
                      <w:color w:val="auto"/>
                    </w:rPr>
                  </w:pPr>
                  <w:r>
                    <w:rPr>
                      <w:rFonts w:ascii="Times New Roman" w:hAnsi="Times New Roman" w:eastAsia="宋体" w:cs="Times New Roman"/>
                      <w:color w:val="auto"/>
                      <w:lang w:val="en-US"/>
                    </w:rPr>
                    <w:t>200万</w:t>
                  </w:r>
                  <w:r>
                    <w:rPr>
                      <w:rFonts w:ascii="Times New Roman" w:hAnsi="Times New Roman" w:eastAsia="宋体" w:cs="Times New Roman"/>
                      <w:color w:val="auto"/>
                    </w:rPr>
                    <w:t>kwh/a</w:t>
                  </w:r>
                </w:p>
              </w:tc>
              <w:tc>
                <w:tcPr>
                  <w:tcW w:w="831" w:type="pct"/>
                  <w:vAlign w:val="center"/>
                </w:tcPr>
                <w:p w14:paraId="189E0C92">
                  <w:pPr>
                    <w:pStyle w:val="130"/>
                    <w:spacing w:line="240" w:lineRule="auto"/>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350</w:t>
                  </w:r>
                  <w:r>
                    <w:rPr>
                      <w:rFonts w:ascii="Times New Roman" w:hAnsi="Times New Roman" w:eastAsia="宋体" w:cs="Times New Roman"/>
                      <w:color w:val="auto"/>
                      <w:lang w:val="en-US"/>
                    </w:rPr>
                    <w:t>万</w:t>
                  </w:r>
                  <w:r>
                    <w:rPr>
                      <w:rFonts w:ascii="Times New Roman" w:hAnsi="Times New Roman" w:eastAsia="宋体" w:cs="Times New Roman"/>
                      <w:color w:val="auto"/>
                    </w:rPr>
                    <w:t>kwh/a</w:t>
                  </w:r>
                </w:p>
              </w:tc>
              <w:tc>
                <w:tcPr>
                  <w:tcW w:w="910" w:type="pct"/>
                  <w:vAlign w:val="center"/>
                </w:tcPr>
                <w:p w14:paraId="6544ECD6">
                  <w:pPr>
                    <w:pStyle w:val="130"/>
                    <w:spacing w:line="240" w:lineRule="auto"/>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+150</w:t>
                  </w:r>
                  <w:r>
                    <w:rPr>
                      <w:rFonts w:ascii="Times New Roman" w:hAnsi="Times New Roman" w:eastAsia="宋体" w:cs="Times New Roman"/>
                      <w:color w:val="auto"/>
                      <w:lang w:val="en-US"/>
                    </w:rPr>
                    <w:t>万</w:t>
                  </w:r>
                  <w:r>
                    <w:rPr>
                      <w:rFonts w:ascii="Times New Roman" w:hAnsi="Times New Roman" w:eastAsia="宋体" w:cs="Times New Roman"/>
                      <w:color w:val="auto"/>
                    </w:rPr>
                    <w:t>kwh/a</w:t>
                  </w:r>
                </w:p>
              </w:tc>
              <w:tc>
                <w:tcPr>
                  <w:tcW w:w="1026" w:type="pct"/>
                  <w:vAlign w:val="center"/>
                </w:tcPr>
                <w:p w14:paraId="0CB2B53B">
                  <w:pPr>
                    <w:pStyle w:val="130"/>
                    <w:spacing w:line="240" w:lineRule="auto"/>
                    <w:rPr>
                      <w:rFonts w:ascii="Times New Roman" w:hAnsi="Times New Roman" w:eastAsia="宋体" w:cs="Times New Roman"/>
                      <w:color w:val="auto"/>
                    </w:rPr>
                  </w:pPr>
                  <w:r>
                    <w:rPr>
                      <w:rFonts w:ascii="Times New Roman" w:hAnsi="Times New Roman" w:eastAsia="宋体" w:cs="Times New Roman"/>
                      <w:color w:val="auto"/>
                    </w:rPr>
                    <w:t>涟水县电网供电</w:t>
                  </w:r>
                </w:p>
              </w:tc>
            </w:tr>
            <w:tr w14:paraId="5D08D1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vMerge w:val="continue"/>
                  <w:vAlign w:val="center"/>
                </w:tcPr>
                <w:p w14:paraId="76C7C543">
                  <w:pPr>
                    <w:pStyle w:val="130"/>
                    <w:spacing w:line="240" w:lineRule="auto"/>
                    <w:rPr>
                      <w:rFonts w:ascii="Times New Roman" w:hAnsi="Times New Roman" w:eastAsia="宋体" w:cs="Times New Roman"/>
                      <w:color w:val="auto"/>
                    </w:rPr>
                  </w:pPr>
                </w:p>
              </w:tc>
              <w:tc>
                <w:tcPr>
                  <w:tcW w:w="949" w:type="pct"/>
                  <w:gridSpan w:val="3"/>
                  <w:vAlign w:val="center"/>
                </w:tcPr>
                <w:p w14:paraId="015107FF">
                  <w:pPr>
                    <w:pStyle w:val="130"/>
                    <w:spacing w:line="240" w:lineRule="auto"/>
                    <w:rPr>
                      <w:rFonts w:ascii="Times New Roman" w:hAnsi="Times New Roman" w:eastAsia="宋体" w:cs="Times New Roman"/>
                      <w:color w:val="auto"/>
                    </w:rPr>
                  </w:pPr>
                  <w:r>
                    <w:rPr>
                      <w:rFonts w:hint="eastAsia" w:ascii="Times New Roman" w:hAnsi="Times New Roman" w:eastAsia="宋体" w:cs="Times New Roman"/>
                      <w:color w:val="auto"/>
                    </w:rPr>
                    <w:t>管道蒸汽</w:t>
                  </w:r>
                </w:p>
              </w:tc>
              <w:tc>
                <w:tcPr>
                  <w:tcW w:w="846" w:type="pct"/>
                  <w:vAlign w:val="center"/>
                </w:tcPr>
                <w:p w14:paraId="4F4E0B77">
                  <w:pPr>
                    <w:pStyle w:val="130"/>
                    <w:spacing w:line="240" w:lineRule="auto"/>
                    <w:rPr>
                      <w:rFonts w:ascii="Times New Roman" w:hAnsi="Times New Roman" w:eastAsia="宋体" w:cs="Times New Roman"/>
                      <w:color w:val="auto"/>
                      <w:lang w:val="en-US"/>
                    </w:rPr>
                  </w:pPr>
                  <w:r>
                    <w:rPr>
                      <w:rFonts w:ascii="Times New Roman" w:hAnsi="Times New Roman" w:eastAsia="宋体" w:cs="Times New Roman"/>
                      <w:color w:val="auto"/>
                      <w:lang w:val="en-US"/>
                    </w:rPr>
                    <w:t>12000t/a</w:t>
                  </w:r>
                </w:p>
              </w:tc>
              <w:tc>
                <w:tcPr>
                  <w:tcW w:w="831" w:type="pct"/>
                  <w:vAlign w:val="center"/>
                </w:tcPr>
                <w:p w14:paraId="4BFFF689">
                  <w:pPr>
                    <w:pStyle w:val="130"/>
                    <w:spacing w:line="240" w:lineRule="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21000</w:t>
                  </w:r>
                  <w:r>
                    <w:rPr>
                      <w:rFonts w:ascii="Times New Roman" w:hAnsi="Times New Roman" w:eastAsia="宋体" w:cs="Times New Roman"/>
                      <w:color w:val="auto"/>
                      <w:lang w:val="en-US"/>
                    </w:rPr>
                    <w:t>t/a</w:t>
                  </w:r>
                </w:p>
              </w:tc>
              <w:tc>
                <w:tcPr>
                  <w:tcW w:w="910" w:type="pct"/>
                  <w:vAlign w:val="center"/>
                </w:tcPr>
                <w:p w14:paraId="7ED9F4E8">
                  <w:pPr>
                    <w:pStyle w:val="130"/>
                    <w:spacing w:line="240" w:lineRule="auto"/>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+9000</w:t>
                  </w:r>
                  <w:r>
                    <w:rPr>
                      <w:rFonts w:ascii="Times New Roman" w:hAnsi="Times New Roman" w:eastAsia="宋体" w:cs="Times New Roman"/>
                      <w:color w:val="auto"/>
                      <w:lang w:val="en-US"/>
                    </w:rPr>
                    <w:t>t/a</w:t>
                  </w:r>
                </w:p>
              </w:tc>
              <w:tc>
                <w:tcPr>
                  <w:tcW w:w="1026" w:type="pct"/>
                  <w:vAlign w:val="center"/>
                </w:tcPr>
                <w:p w14:paraId="496BBC3C">
                  <w:pPr>
                    <w:pStyle w:val="130"/>
                    <w:spacing w:line="240" w:lineRule="auto"/>
                    <w:rPr>
                      <w:rFonts w:ascii="Times New Roman" w:hAnsi="Times New Roman" w:eastAsia="宋体" w:cs="Times New Roman"/>
                      <w:color w:val="auto"/>
                    </w:rPr>
                  </w:pPr>
                  <w:r>
                    <w:rPr>
                      <w:rFonts w:hint="eastAsia" w:ascii="Times New Roman" w:hAnsi="Times New Roman" w:eastAsia="宋体" w:cs="Times New Roman"/>
                      <w:color w:val="auto"/>
                    </w:rPr>
                    <w:t>园区蒸汽管网提供</w:t>
                  </w:r>
                </w:p>
              </w:tc>
            </w:tr>
            <w:tr w14:paraId="222422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vMerge w:val="continue"/>
                  <w:vAlign w:val="center"/>
                </w:tcPr>
                <w:p w14:paraId="0DF8EB28">
                  <w:pPr>
                    <w:pStyle w:val="130"/>
                    <w:spacing w:line="240" w:lineRule="auto"/>
                    <w:rPr>
                      <w:rFonts w:ascii="Times New Roman" w:hAnsi="Times New Roman" w:eastAsia="宋体" w:cs="Times New Roman"/>
                      <w:color w:val="auto"/>
                    </w:rPr>
                  </w:pPr>
                </w:p>
              </w:tc>
              <w:tc>
                <w:tcPr>
                  <w:tcW w:w="949" w:type="pct"/>
                  <w:gridSpan w:val="3"/>
                  <w:vAlign w:val="center"/>
                </w:tcPr>
                <w:p w14:paraId="0D0FCFB8">
                  <w:pPr>
                    <w:pStyle w:val="130"/>
                    <w:spacing w:line="240" w:lineRule="auto"/>
                    <w:rPr>
                      <w:rFonts w:hint="eastAsia" w:ascii="Times New Roman" w:hAnsi="Times New Roman" w:eastAsia="宋体" w:cs="Times New Roman"/>
                      <w:color w:val="auto"/>
                      <w:lang w:val="en-US" w:eastAsia="zh-CN"/>
                    </w:rPr>
                  </w:pPr>
                  <w:r>
                    <w:rPr>
                      <w:rFonts w:ascii="Times New Roman" w:hAnsi="Times New Roman" w:eastAsia="宋体" w:cs="Times New Roman"/>
                      <w:color w:val="auto"/>
                    </w:rPr>
                    <w:t>制冷</w:t>
                  </w:r>
                  <w:r>
                    <w:rPr>
                      <w:rFonts w:hint="eastAsia" w:ascii="Times New Roman" w:hAnsi="Times New Roman" w:cs="Times New Roman"/>
                      <w:color w:val="auto"/>
                      <w:lang w:eastAsia="zh-CN"/>
                    </w:rPr>
                    <w:t>系统</w:t>
                  </w:r>
                </w:p>
              </w:tc>
              <w:tc>
                <w:tcPr>
                  <w:tcW w:w="846" w:type="pct"/>
                  <w:vAlign w:val="center"/>
                </w:tcPr>
                <w:p w14:paraId="018D5AD2">
                  <w:pPr>
                    <w:pStyle w:val="130"/>
                    <w:spacing w:line="240" w:lineRule="auto"/>
                    <w:rPr>
                      <w:rFonts w:ascii="Times New Roman" w:hAnsi="Times New Roman" w:eastAsia="宋体" w:cs="Times New Roman"/>
                      <w:color w:val="auto"/>
                      <w:lang w:val="en-US"/>
                    </w:rPr>
                  </w:pPr>
                  <w:r>
                    <w:rPr>
                      <w:rFonts w:ascii="Times New Roman" w:hAnsi="Times New Roman" w:eastAsia="宋体" w:cs="Times New Roman"/>
                      <w:color w:val="auto"/>
                      <w:lang w:val="en-US"/>
                    </w:rPr>
                    <w:t>4</w:t>
                  </w:r>
                  <w:r>
                    <w:rPr>
                      <w:rFonts w:hint="eastAsia" w:ascii="Times New Roman" w:hAnsi="Times New Roman" w:eastAsia="宋体" w:cs="Times New Roman"/>
                      <w:color w:val="auto"/>
                      <w:lang w:val="en-US"/>
                    </w:rPr>
                    <w:t>套</w:t>
                  </w:r>
                </w:p>
              </w:tc>
              <w:tc>
                <w:tcPr>
                  <w:tcW w:w="831" w:type="pct"/>
                  <w:vAlign w:val="center"/>
                </w:tcPr>
                <w:p w14:paraId="28551C7D">
                  <w:pPr>
                    <w:pStyle w:val="130"/>
                    <w:spacing w:line="240" w:lineRule="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5套</w:t>
                  </w:r>
                </w:p>
              </w:tc>
              <w:tc>
                <w:tcPr>
                  <w:tcW w:w="910" w:type="pct"/>
                  <w:vAlign w:val="center"/>
                </w:tcPr>
                <w:p w14:paraId="5D9429C4">
                  <w:pPr>
                    <w:pStyle w:val="130"/>
                    <w:spacing w:line="240" w:lineRule="auto"/>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+1套</w:t>
                  </w:r>
                </w:p>
              </w:tc>
              <w:tc>
                <w:tcPr>
                  <w:tcW w:w="1026" w:type="pct"/>
                  <w:vAlign w:val="center"/>
                </w:tcPr>
                <w:p w14:paraId="62021D9C">
                  <w:pPr>
                    <w:pStyle w:val="130"/>
                    <w:spacing w:line="240" w:lineRule="auto"/>
                    <w:rPr>
                      <w:rFonts w:ascii="Times New Roman" w:hAnsi="Times New Roman" w:eastAsia="宋体" w:cs="Times New Roman"/>
                      <w:color w:val="auto"/>
                    </w:rPr>
                  </w:pPr>
                  <w:r>
                    <w:rPr>
                      <w:rFonts w:hint="eastAsia" w:ascii="Times New Roman" w:hAnsi="Times New Roman" w:eastAsia="宋体" w:cs="Times New Roman"/>
                      <w:color w:val="auto"/>
                    </w:rPr>
                    <w:t>制冷剂为R</w:t>
                  </w:r>
                  <w:r>
                    <w:rPr>
                      <w:rFonts w:ascii="Times New Roman" w:hAnsi="Times New Roman" w:eastAsia="宋体" w:cs="Times New Roman"/>
                      <w:color w:val="auto"/>
                    </w:rPr>
                    <w:t>507</w:t>
                  </w:r>
                </w:p>
              </w:tc>
            </w:tr>
            <w:tr w14:paraId="59ABA3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vMerge w:val="continue"/>
                  <w:vAlign w:val="center"/>
                </w:tcPr>
                <w:p w14:paraId="6A8AD20D">
                  <w:pPr>
                    <w:pStyle w:val="130"/>
                    <w:spacing w:line="240" w:lineRule="auto"/>
                    <w:rPr>
                      <w:rFonts w:ascii="Times New Roman" w:hAnsi="Times New Roman" w:eastAsia="宋体" w:cs="Times New Roman"/>
                      <w:color w:val="auto"/>
                    </w:rPr>
                  </w:pPr>
                </w:p>
              </w:tc>
              <w:tc>
                <w:tcPr>
                  <w:tcW w:w="949" w:type="pct"/>
                  <w:gridSpan w:val="3"/>
                  <w:vAlign w:val="center"/>
                </w:tcPr>
                <w:p w14:paraId="411022B0">
                  <w:pPr>
                    <w:pStyle w:val="130"/>
                    <w:spacing w:line="240" w:lineRule="auto"/>
                    <w:rPr>
                      <w:rFonts w:ascii="Times New Roman" w:hAnsi="Times New Roman" w:eastAsia="宋体" w:cs="Times New Roman"/>
                      <w:color w:val="auto"/>
                    </w:rPr>
                  </w:pPr>
                  <w:r>
                    <w:rPr>
                      <w:rFonts w:ascii="Times New Roman" w:hAnsi="Times New Roman" w:eastAsia="宋体" w:cs="Times New Roman"/>
                      <w:color w:val="auto"/>
                    </w:rPr>
                    <w:t>空压机</w:t>
                  </w:r>
                </w:p>
              </w:tc>
              <w:tc>
                <w:tcPr>
                  <w:tcW w:w="846" w:type="pct"/>
                  <w:vAlign w:val="center"/>
                </w:tcPr>
                <w:p w14:paraId="1D2177DD">
                  <w:pPr>
                    <w:pStyle w:val="130"/>
                    <w:spacing w:line="240" w:lineRule="auto"/>
                    <w:rPr>
                      <w:rFonts w:ascii="Times New Roman" w:hAnsi="Times New Roman" w:eastAsia="宋体" w:cs="Times New Roman"/>
                      <w:color w:val="auto"/>
                      <w:lang w:val="en-US"/>
                    </w:rPr>
                  </w:pPr>
                  <w:r>
                    <w:rPr>
                      <w:rFonts w:ascii="Times New Roman" w:hAnsi="Times New Roman" w:eastAsia="宋体" w:cs="Times New Roman"/>
                      <w:color w:val="auto"/>
                      <w:lang w:val="en-US"/>
                    </w:rPr>
                    <w:t>4台</w:t>
                  </w:r>
                </w:p>
              </w:tc>
              <w:tc>
                <w:tcPr>
                  <w:tcW w:w="831" w:type="pct"/>
                  <w:vAlign w:val="center"/>
                </w:tcPr>
                <w:p w14:paraId="4A03B114">
                  <w:pPr>
                    <w:pStyle w:val="130"/>
                    <w:spacing w:line="240" w:lineRule="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6台</w:t>
                  </w:r>
                </w:p>
              </w:tc>
              <w:tc>
                <w:tcPr>
                  <w:tcW w:w="910" w:type="pct"/>
                  <w:vAlign w:val="center"/>
                </w:tcPr>
                <w:p w14:paraId="65739818">
                  <w:pPr>
                    <w:pStyle w:val="130"/>
                    <w:spacing w:line="240" w:lineRule="auto"/>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+2台</w:t>
                  </w:r>
                </w:p>
              </w:tc>
              <w:tc>
                <w:tcPr>
                  <w:tcW w:w="1026" w:type="pct"/>
                  <w:vAlign w:val="center"/>
                </w:tcPr>
                <w:p w14:paraId="074DF0AA">
                  <w:pPr>
                    <w:pStyle w:val="130"/>
                    <w:spacing w:line="240" w:lineRule="auto"/>
                    <w:rPr>
                      <w:rFonts w:ascii="Times New Roman" w:hAnsi="Times New Roman" w:eastAsia="宋体" w:cs="Times New Roman"/>
                      <w:color w:val="auto"/>
                    </w:rPr>
                  </w:pPr>
                  <w:r>
                    <w:rPr>
                      <w:rFonts w:hint="eastAsia" w:ascii="Times New Roman" w:hAnsi="Times New Roman" w:eastAsia="宋体" w:cs="Times New Roman"/>
                      <w:color w:val="auto"/>
                    </w:rPr>
                    <w:t>螺杆空压机，功率2</w:t>
                  </w:r>
                  <w:r>
                    <w:rPr>
                      <w:rFonts w:ascii="Times New Roman" w:hAnsi="Times New Roman" w:eastAsia="宋体" w:cs="Times New Roman"/>
                      <w:color w:val="auto"/>
                    </w:rPr>
                    <w:t>2</w:t>
                  </w:r>
                  <w:r>
                    <w:rPr>
                      <w:rFonts w:hint="eastAsia" w:ascii="Times New Roman" w:hAnsi="Times New Roman" w:cs="Times New Roman"/>
                      <w:color w:val="auto"/>
                      <w:lang w:eastAsia="zh-CN"/>
                    </w:rPr>
                    <w:t>kW</w:t>
                  </w:r>
                  <w:r>
                    <w:rPr>
                      <w:rFonts w:hint="eastAsia" w:ascii="Times New Roman" w:hAnsi="Times New Roman" w:eastAsia="宋体" w:cs="Times New Roman"/>
                      <w:color w:val="auto"/>
                    </w:rPr>
                    <w:t>；冷冻式干燥机，处理量3</w:t>
                  </w:r>
                  <w:r>
                    <w:rPr>
                      <w:rFonts w:ascii="Times New Roman" w:hAnsi="Times New Roman" w:eastAsia="宋体" w:cs="Times New Roman"/>
                      <w:color w:val="auto"/>
                    </w:rPr>
                    <w:t>.8m</w:t>
                  </w:r>
                  <w:r>
                    <w:rPr>
                      <w:rFonts w:ascii="Times New Roman" w:hAnsi="Times New Roman" w:eastAsia="宋体" w:cs="Times New Roman"/>
                      <w:color w:val="auto"/>
                      <w:vertAlign w:val="superscript"/>
                    </w:rPr>
                    <w:t>3</w:t>
                  </w:r>
                </w:p>
              </w:tc>
            </w:tr>
            <w:tr w14:paraId="505167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436" w:type="pct"/>
                  <w:vMerge w:val="restart"/>
                  <w:vAlign w:val="center"/>
                </w:tcPr>
                <w:p w14:paraId="1EA7CCD2">
                  <w:pPr>
                    <w:pStyle w:val="130"/>
                    <w:spacing w:line="240" w:lineRule="auto"/>
                    <w:rPr>
                      <w:rFonts w:ascii="Times New Roman" w:hAnsi="Times New Roman" w:eastAsia="宋体" w:cs="Times New Roman"/>
                      <w:color w:val="auto"/>
                    </w:rPr>
                  </w:pPr>
                  <w:r>
                    <w:rPr>
                      <w:rFonts w:ascii="Times New Roman" w:hAnsi="Times New Roman" w:eastAsia="宋体" w:cs="Times New Roman"/>
                      <w:color w:val="auto"/>
                    </w:rPr>
                    <w:t>环保工程</w:t>
                  </w:r>
                </w:p>
              </w:tc>
              <w:tc>
                <w:tcPr>
                  <w:tcW w:w="177" w:type="pct"/>
                  <w:vMerge w:val="restart"/>
                  <w:vAlign w:val="center"/>
                </w:tcPr>
                <w:p w14:paraId="1E22374F">
                  <w:pPr>
                    <w:pStyle w:val="130"/>
                    <w:spacing w:line="240" w:lineRule="auto"/>
                    <w:rPr>
                      <w:rFonts w:ascii="Times New Roman" w:hAnsi="Times New Roman" w:eastAsia="宋体" w:cs="Times New Roman"/>
                      <w:color w:val="auto"/>
                    </w:rPr>
                  </w:pPr>
                  <w:r>
                    <w:rPr>
                      <w:rFonts w:ascii="Times New Roman" w:hAnsi="Times New Roman" w:eastAsia="宋体" w:cs="Times New Roman"/>
                      <w:color w:val="auto"/>
                    </w:rPr>
                    <w:t>废气</w:t>
                  </w:r>
                </w:p>
              </w:tc>
              <w:tc>
                <w:tcPr>
                  <w:tcW w:w="342" w:type="pct"/>
                  <w:vAlign w:val="center"/>
                </w:tcPr>
                <w:p w14:paraId="4FA09E57">
                  <w:pPr>
                    <w:pStyle w:val="130"/>
                    <w:spacing w:line="240" w:lineRule="auto"/>
                    <w:rPr>
                      <w:rFonts w:ascii="Times New Roman" w:hAnsi="Times New Roman" w:eastAsia="宋体" w:cs="Times New Roman"/>
                      <w:color w:val="auto"/>
                    </w:rPr>
                  </w:pPr>
                  <w:r>
                    <w:rPr>
                      <w:rFonts w:ascii="Times New Roman" w:hAnsi="Times New Roman" w:eastAsia="宋体" w:cs="Times New Roman"/>
                      <w:color w:val="auto"/>
                    </w:rPr>
                    <w:t>食堂油烟</w:t>
                  </w:r>
                </w:p>
              </w:tc>
              <w:tc>
                <w:tcPr>
                  <w:tcW w:w="429" w:type="pct"/>
                  <w:vAlign w:val="center"/>
                </w:tcPr>
                <w:p w14:paraId="0A55D69C">
                  <w:pPr>
                    <w:pStyle w:val="130"/>
                    <w:spacing w:line="240" w:lineRule="auto"/>
                    <w:rPr>
                      <w:rFonts w:ascii="Times New Roman" w:hAnsi="Times New Roman" w:eastAsia="宋体" w:cs="Times New Roman"/>
                      <w:color w:val="auto"/>
                      <w:lang w:val="en-US"/>
                    </w:rPr>
                  </w:pPr>
                  <w:r>
                    <w:rPr>
                      <w:rFonts w:ascii="Times New Roman" w:hAnsi="Times New Roman" w:eastAsia="宋体" w:cs="Times New Roman"/>
                      <w:color w:val="auto"/>
                      <w:lang w:val="en-US"/>
                    </w:rPr>
                    <w:t>油烟净化器</w:t>
                  </w:r>
                </w:p>
              </w:tc>
              <w:tc>
                <w:tcPr>
                  <w:tcW w:w="846" w:type="pct"/>
                  <w:vAlign w:val="center"/>
                </w:tcPr>
                <w:p w14:paraId="3D12C321">
                  <w:pPr>
                    <w:pStyle w:val="130"/>
                    <w:spacing w:line="240" w:lineRule="auto"/>
                    <w:rPr>
                      <w:rFonts w:ascii="Times New Roman" w:hAnsi="Times New Roman" w:eastAsia="宋体" w:cs="Times New Roman"/>
                      <w:color w:val="auto"/>
                    </w:rPr>
                  </w:pPr>
                  <w:r>
                    <w:rPr>
                      <w:rFonts w:ascii="Times New Roman" w:hAnsi="Times New Roman" w:eastAsia="宋体" w:cs="Times New Roman"/>
                      <w:color w:val="auto"/>
                    </w:rPr>
                    <w:t>去除效率</w:t>
                  </w:r>
                  <w:r>
                    <w:rPr>
                      <w:rFonts w:hint="eastAsia" w:ascii="Times New Roman" w:hAnsi="Times New Roman" w:eastAsia="宋体" w:cs="Times New Roman"/>
                      <w:color w:val="auto"/>
                    </w:rPr>
                    <w:t>不低于</w:t>
                  </w:r>
                  <w:r>
                    <w:rPr>
                      <w:rFonts w:ascii="Times New Roman" w:hAnsi="Times New Roman" w:eastAsia="宋体" w:cs="Times New Roman"/>
                      <w:color w:val="auto"/>
                    </w:rPr>
                    <w:t>75%</w:t>
                  </w:r>
                </w:p>
              </w:tc>
              <w:tc>
                <w:tcPr>
                  <w:tcW w:w="831" w:type="pct"/>
                  <w:shd w:val="clear" w:color="auto" w:fill="auto"/>
                  <w:vAlign w:val="center"/>
                </w:tcPr>
                <w:p w14:paraId="17436683">
                  <w:pPr>
                    <w:pStyle w:val="130"/>
                    <w:spacing w:line="240" w:lineRule="auto"/>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kern w:val="2"/>
                      <w:sz w:val="21"/>
                      <w:szCs w:val="24"/>
                      <w:lang w:val="en-US" w:eastAsia="zh-CN" w:bidi="ar-SA"/>
                    </w:rPr>
                    <w:t>不涉及，依托现有</w:t>
                  </w:r>
                </w:p>
              </w:tc>
              <w:tc>
                <w:tcPr>
                  <w:tcW w:w="910" w:type="pct"/>
                  <w:vAlign w:val="center"/>
                </w:tcPr>
                <w:p w14:paraId="742CCFD3">
                  <w:pPr>
                    <w:pStyle w:val="130"/>
                    <w:spacing w:line="240" w:lineRule="auto"/>
                    <w:rPr>
                      <w:rFonts w:hint="eastAsia" w:ascii="Times New Roman" w:hAnsi="Times New Roman" w:eastAsia="宋体" w:cs="Times New Roman"/>
                      <w:color w:val="auto"/>
                      <w:lang w:eastAsia="zh-CN"/>
                    </w:rPr>
                  </w:pPr>
                  <w:r>
                    <w:rPr>
                      <w:rFonts w:hint="eastAsia" w:ascii="Times New Roman" w:hAnsi="Times New Roman" w:cs="Times New Roman"/>
                      <w:color w:val="auto"/>
                      <w:lang w:eastAsia="zh-CN"/>
                    </w:rPr>
                    <w:t>不变</w:t>
                  </w:r>
                </w:p>
              </w:tc>
              <w:tc>
                <w:tcPr>
                  <w:tcW w:w="1026" w:type="pct"/>
                  <w:vAlign w:val="center"/>
                </w:tcPr>
                <w:p w14:paraId="576B855A">
                  <w:pPr>
                    <w:pStyle w:val="130"/>
                    <w:spacing w:line="240" w:lineRule="auto"/>
                    <w:rPr>
                      <w:rFonts w:ascii="Times New Roman" w:hAnsi="Times New Roman" w:eastAsia="宋体" w:cs="Times New Roman"/>
                      <w:color w:val="auto"/>
                    </w:rPr>
                  </w:pPr>
                  <w:r>
                    <w:rPr>
                      <w:rFonts w:hint="eastAsia" w:ascii="Times New Roman" w:hAnsi="Times New Roman" w:cs="Times New Roman"/>
                      <w:color w:val="auto"/>
                      <w:lang w:val="en-US" w:eastAsia="zh-CN"/>
                    </w:rPr>
                    <w:t>依托现有</w:t>
                  </w:r>
                </w:p>
              </w:tc>
            </w:tr>
            <w:tr w14:paraId="78C41C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436" w:type="pct"/>
                  <w:vMerge w:val="continue"/>
                  <w:vAlign w:val="center"/>
                </w:tcPr>
                <w:p w14:paraId="3DF4D63C">
                  <w:pPr>
                    <w:pStyle w:val="130"/>
                    <w:spacing w:line="240" w:lineRule="auto"/>
                    <w:rPr>
                      <w:rFonts w:ascii="Times New Roman" w:hAnsi="Times New Roman" w:eastAsia="宋体" w:cs="Times New Roman"/>
                      <w:color w:val="auto"/>
                    </w:rPr>
                  </w:pPr>
                </w:p>
              </w:tc>
              <w:tc>
                <w:tcPr>
                  <w:tcW w:w="177" w:type="pct"/>
                  <w:vMerge w:val="continue"/>
                  <w:vAlign w:val="center"/>
                </w:tcPr>
                <w:p w14:paraId="2930905D">
                  <w:pPr>
                    <w:pStyle w:val="130"/>
                    <w:spacing w:line="240" w:lineRule="auto"/>
                    <w:rPr>
                      <w:rFonts w:ascii="Times New Roman" w:hAnsi="Times New Roman" w:eastAsia="宋体" w:cs="Times New Roman"/>
                      <w:color w:val="auto"/>
                    </w:rPr>
                  </w:pPr>
                </w:p>
              </w:tc>
              <w:tc>
                <w:tcPr>
                  <w:tcW w:w="342" w:type="pct"/>
                  <w:vAlign w:val="center"/>
                </w:tcPr>
                <w:p w14:paraId="0CF1B95F">
                  <w:pPr>
                    <w:pStyle w:val="130"/>
                    <w:spacing w:line="240" w:lineRule="auto"/>
                    <w:rPr>
                      <w:rFonts w:ascii="Times New Roman" w:hAnsi="Times New Roman" w:eastAsia="宋体" w:cs="Times New Roman"/>
                      <w:color w:val="auto"/>
                    </w:rPr>
                  </w:pPr>
                  <w:r>
                    <w:rPr>
                      <w:rFonts w:hint="eastAsia" w:ascii="Times New Roman" w:hAnsi="Times New Roman" w:eastAsia="宋体" w:cs="Times New Roman"/>
                      <w:color w:val="auto"/>
                    </w:rPr>
                    <w:t>炒制油烟</w:t>
                  </w:r>
                </w:p>
              </w:tc>
              <w:tc>
                <w:tcPr>
                  <w:tcW w:w="429" w:type="pct"/>
                  <w:vAlign w:val="center"/>
                </w:tcPr>
                <w:p w14:paraId="4DC06F9F">
                  <w:pPr>
                    <w:pStyle w:val="130"/>
                    <w:spacing w:line="240" w:lineRule="auto"/>
                    <w:rPr>
                      <w:rFonts w:ascii="Times New Roman" w:hAnsi="Times New Roman" w:eastAsia="宋体" w:cs="Times New Roman"/>
                      <w:color w:val="auto"/>
                      <w:lang w:val="en-US"/>
                    </w:rPr>
                  </w:pPr>
                  <w:r>
                    <w:rPr>
                      <w:rFonts w:ascii="Times New Roman" w:hAnsi="Times New Roman" w:eastAsia="宋体" w:cs="Times New Roman"/>
                      <w:color w:val="auto"/>
                      <w:lang w:val="en-US"/>
                    </w:rPr>
                    <w:t>油烟净化器</w:t>
                  </w:r>
                </w:p>
              </w:tc>
              <w:tc>
                <w:tcPr>
                  <w:tcW w:w="846" w:type="pct"/>
                  <w:vAlign w:val="center"/>
                </w:tcPr>
                <w:p w14:paraId="7CE32B05">
                  <w:pPr>
                    <w:pStyle w:val="130"/>
                    <w:spacing w:line="240" w:lineRule="auto"/>
                    <w:rPr>
                      <w:rFonts w:ascii="Times New Roman" w:hAnsi="Times New Roman" w:eastAsia="宋体" w:cs="Times New Roman"/>
                      <w:color w:val="auto"/>
                    </w:rPr>
                  </w:pPr>
                  <w:r>
                    <w:rPr>
                      <w:rFonts w:ascii="Times New Roman" w:hAnsi="Times New Roman" w:eastAsia="宋体" w:cs="Times New Roman"/>
                      <w:color w:val="auto"/>
                    </w:rPr>
                    <w:t>去除效率</w:t>
                  </w:r>
                  <w:r>
                    <w:rPr>
                      <w:rFonts w:hint="eastAsia" w:ascii="Times New Roman" w:hAnsi="Times New Roman" w:eastAsia="宋体" w:cs="Times New Roman"/>
                      <w:color w:val="auto"/>
                    </w:rPr>
                    <w:t>不低于</w:t>
                  </w:r>
                  <w:r>
                    <w:rPr>
                      <w:rFonts w:ascii="Times New Roman" w:hAnsi="Times New Roman" w:eastAsia="宋体" w:cs="Times New Roman"/>
                      <w:color w:val="auto"/>
                    </w:rPr>
                    <w:t>85%</w:t>
                  </w:r>
                </w:p>
              </w:tc>
              <w:tc>
                <w:tcPr>
                  <w:tcW w:w="831" w:type="pct"/>
                  <w:shd w:val="clear" w:color="auto" w:fill="auto"/>
                  <w:vAlign w:val="center"/>
                </w:tcPr>
                <w:p w14:paraId="486D60A1">
                  <w:pPr>
                    <w:pStyle w:val="130"/>
                    <w:spacing w:line="240" w:lineRule="auto"/>
                    <w:jc w:val="center"/>
                    <w:rPr>
                      <w:rFonts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kern w:val="2"/>
                      <w:sz w:val="21"/>
                      <w:szCs w:val="24"/>
                      <w:lang w:val="en-US" w:eastAsia="zh-CN" w:bidi="ar-SA"/>
                    </w:rPr>
                    <w:t>不涉及，依托现有</w:t>
                  </w:r>
                </w:p>
              </w:tc>
              <w:tc>
                <w:tcPr>
                  <w:tcW w:w="910" w:type="pct"/>
                  <w:vAlign w:val="center"/>
                </w:tcPr>
                <w:p w14:paraId="77C12E7E">
                  <w:pPr>
                    <w:pStyle w:val="130"/>
                    <w:spacing w:line="240" w:lineRule="auto"/>
                    <w:rPr>
                      <w:rFonts w:ascii="Times New Roman" w:hAnsi="Times New Roman" w:eastAsia="宋体" w:cs="Times New Roman"/>
                      <w:color w:val="auto"/>
                    </w:rPr>
                  </w:pPr>
                  <w:r>
                    <w:rPr>
                      <w:rFonts w:hint="eastAsia" w:ascii="Times New Roman" w:hAnsi="Times New Roman" w:cs="Times New Roman"/>
                      <w:color w:val="auto"/>
                      <w:lang w:eastAsia="zh-CN"/>
                    </w:rPr>
                    <w:t>不变</w:t>
                  </w:r>
                </w:p>
              </w:tc>
              <w:tc>
                <w:tcPr>
                  <w:tcW w:w="1026" w:type="pct"/>
                  <w:vAlign w:val="center"/>
                </w:tcPr>
                <w:p w14:paraId="177762EA">
                  <w:pPr>
                    <w:pStyle w:val="130"/>
                    <w:spacing w:line="240" w:lineRule="auto"/>
                    <w:rPr>
                      <w:rFonts w:ascii="Times New Roman" w:hAnsi="Times New Roman" w:eastAsia="宋体" w:cs="Times New Roman"/>
                      <w:color w:val="auto"/>
                    </w:rPr>
                  </w:pPr>
                  <w:r>
                    <w:rPr>
                      <w:rFonts w:hint="eastAsia" w:ascii="Times New Roman" w:hAnsi="Times New Roman" w:cs="Times New Roman"/>
                      <w:color w:val="auto"/>
                      <w:lang w:val="en-US" w:eastAsia="zh-CN"/>
                    </w:rPr>
                    <w:t>依托现有</w:t>
                  </w:r>
                </w:p>
              </w:tc>
            </w:tr>
            <w:tr w14:paraId="72E5EA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436" w:type="pct"/>
                  <w:vMerge w:val="continue"/>
                  <w:vAlign w:val="center"/>
                </w:tcPr>
                <w:p w14:paraId="1A525C57">
                  <w:pPr>
                    <w:pStyle w:val="130"/>
                    <w:spacing w:line="240" w:lineRule="auto"/>
                    <w:rPr>
                      <w:rFonts w:ascii="Times New Roman" w:hAnsi="Times New Roman" w:eastAsia="宋体" w:cs="Times New Roman"/>
                      <w:color w:val="auto"/>
                    </w:rPr>
                  </w:pPr>
                </w:p>
              </w:tc>
              <w:tc>
                <w:tcPr>
                  <w:tcW w:w="177" w:type="pct"/>
                  <w:vMerge w:val="continue"/>
                  <w:vAlign w:val="center"/>
                </w:tcPr>
                <w:p w14:paraId="1564AC3B">
                  <w:pPr>
                    <w:pStyle w:val="130"/>
                    <w:spacing w:line="240" w:lineRule="auto"/>
                    <w:rPr>
                      <w:rFonts w:ascii="Times New Roman" w:hAnsi="Times New Roman" w:eastAsia="宋体" w:cs="Times New Roman"/>
                      <w:color w:val="auto"/>
                    </w:rPr>
                  </w:pPr>
                </w:p>
              </w:tc>
              <w:tc>
                <w:tcPr>
                  <w:tcW w:w="771" w:type="pct"/>
                  <w:gridSpan w:val="2"/>
                  <w:vAlign w:val="center"/>
                </w:tcPr>
                <w:p w14:paraId="2307E57C">
                  <w:pPr>
                    <w:pStyle w:val="130"/>
                    <w:spacing w:line="240" w:lineRule="auto"/>
                    <w:rPr>
                      <w:rFonts w:ascii="Times New Roman" w:hAnsi="Times New Roman" w:eastAsia="宋体" w:cs="Times New Roman"/>
                      <w:color w:val="auto"/>
                      <w:lang w:val="en-US"/>
                    </w:rPr>
                  </w:pPr>
                  <w:r>
                    <w:rPr>
                      <w:rFonts w:hint="eastAsia" w:ascii="Times New Roman" w:hAnsi="Times New Roman" w:eastAsia="宋体" w:cs="Times New Roman"/>
                      <w:color w:val="auto"/>
                    </w:rPr>
                    <w:t>污水处理站恶臭气体</w:t>
                  </w:r>
                </w:p>
              </w:tc>
              <w:tc>
                <w:tcPr>
                  <w:tcW w:w="846" w:type="pct"/>
                  <w:vAlign w:val="center"/>
                </w:tcPr>
                <w:p w14:paraId="319E640C">
                  <w:pPr>
                    <w:pStyle w:val="130"/>
                    <w:spacing w:line="240" w:lineRule="auto"/>
                    <w:rPr>
                      <w:rFonts w:ascii="Times New Roman" w:hAnsi="Times New Roman" w:eastAsia="宋体" w:cs="Times New Roman"/>
                      <w:color w:val="auto"/>
                    </w:rPr>
                  </w:pPr>
                  <w:r>
                    <w:rPr>
                      <w:rFonts w:hint="eastAsia" w:ascii="Times New Roman" w:hAnsi="Times New Roman" w:eastAsia="宋体" w:cs="Times New Roman"/>
                      <w:color w:val="auto"/>
                    </w:rPr>
                    <w:t>污水处理设施加盖，无组织排放</w:t>
                  </w:r>
                </w:p>
              </w:tc>
              <w:tc>
                <w:tcPr>
                  <w:tcW w:w="831" w:type="pct"/>
                  <w:vAlign w:val="center"/>
                </w:tcPr>
                <w:p w14:paraId="1AD23D21">
                  <w:pPr>
                    <w:pStyle w:val="130"/>
                    <w:spacing w:line="240" w:lineRule="auto"/>
                    <w:rPr>
                      <w:rFonts w:hint="eastAsia" w:ascii="Times New Roman" w:hAnsi="Times New Roman" w:eastAsia="宋体" w:cs="Times New Roman"/>
                      <w:color w:val="auto"/>
                    </w:rPr>
                  </w:pPr>
                  <w:r>
                    <w:rPr>
                      <w:rFonts w:hint="eastAsia" w:ascii="Times New Roman" w:hAnsi="Times New Roman" w:eastAsia="宋体" w:cs="Times New Roman"/>
                      <w:color w:val="auto"/>
                    </w:rPr>
                    <w:t>污水处理设施加盖，无组织排放</w:t>
                  </w:r>
                </w:p>
              </w:tc>
              <w:tc>
                <w:tcPr>
                  <w:tcW w:w="910" w:type="pct"/>
                  <w:vAlign w:val="center"/>
                </w:tcPr>
                <w:p w14:paraId="7F56BC90">
                  <w:pPr>
                    <w:pStyle w:val="130"/>
                    <w:spacing w:line="240" w:lineRule="auto"/>
                    <w:rPr>
                      <w:rFonts w:hint="eastAsia" w:ascii="Times New Roman" w:hAnsi="Times New Roman" w:eastAsia="宋体" w:cs="Times New Roman"/>
                      <w:color w:val="auto"/>
                      <w:lang w:eastAsia="zh-CN"/>
                    </w:rPr>
                  </w:pPr>
                  <w:r>
                    <w:rPr>
                      <w:rFonts w:hint="eastAsia" w:ascii="Times New Roman" w:hAnsi="Times New Roman" w:cs="Times New Roman"/>
                      <w:color w:val="auto"/>
                      <w:lang w:eastAsia="zh-CN"/>
                    </w:rPr>
                    <w:t>不变</w:t>
                  </w:r>
                </w:p>
              </w:tc>
              <w:tc>
                <w:tcPr>
                  <w:tcW w:w="1026" w:type="pct"/>
                  <w:vAlign w:val="center"/>
                </w:tcPr>
                <w:p w14:paraId="0AC32B0A">
                  <w:pPr>
                    <w:pStyle w:val="130"/>
                    <w:spacing w:line="240" w:lineRule="auto"/>
                    <w:rPr>
                      <w:rFonts w:ascii="Times New Roman" w:hAnsi="Times New Roman" w:eastAsia="宋体" w:cs="Times New Roman"/>
                      <w:color w:val="auto"/>
                    </w:rPr>
                  </w:pPr>
                  <w:r>
                    <w:rPr>
                      <w:rFonts w:ascii="Times New Roman" w:hAnsi="Times New Roman" w:eastAsia="宋体" w:cs="Times New Roman"/>
                      <w:color w:val="auto"/>
                    </w:rPr>
                    <w:t>达标排放</w:t>
                  </w:r>
                </w:p>
              </w:tc>
            </w:tr>
            <w:tr w14:paraId="7AB04A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436" w:type="pct"/>
                  <w:vMerge w:val="continue"/>
                  <w:vAlign w:val="center"/>
                </w:tcPr>
                <w:p w14:paraId="4F743A05">
                  <w:pPr>
                    <w:pStyle w:val="130"/>
                    <w:spacing w:line="240" w:lineRule="auto"/>
                    <w:rPr>
                      <w:rFonts w:ascii="Times New Roman" w:hAnsi="Times New Roman" w:eastAsia="宋体" w:cs="Times New Roman"/>
                      <w:color w:val="auto"/>
                    </w:rPr>
                  </w:pPr>
                </w:p>
              </w:tc>
              <w:tc>
                <w:tcPr>
                  <w:tcW w:w="177" w:type="pct"/>
                  <w:vMerge w:val="restart"/>
                  <w:vAlign w:val="center"/>
                </w:tcPr>
                <w:p w14:paraId="4907B522">
                  <w:pPr>
                    <w:pStyle w:val="130"/>
                    <w:spacing w:line="240" w:lineRule="auto"/>
                    <w:rPr>
                      <w:rFonts w:ascii="Times New Roman" w:hAnsi="Times New Roman" w:eastAsia="宋体" w:cs="Times New Roman"/>
                      <w:color w:val="auto"/>
                    </w:rPr>
                  </w:pPr>
                  <w:r>
                    <w:rPr>
                      <w:rFonts w:hint="eastAsia" w:ascii="Times New Roman" w:hAnsi="Times New Roman" w:eastAsia="宋体" w:cs="Times New Roman"/>
                      <w:color w:val="auto"/>
                    </w:rPr>
                    <w:t>废水</w:t>
                  </w:r>
                </w:p>
              </w:tc>
              <w:tc>
                <w:tcPr>
                  <w:tcW w:w="771" w:type="pct"/>
                  <w:gridSpan w:val="2"/>
                  <w:vAlign w:val="center"/>
                </w:tcPr>
                <w:p w14:paraId="406B5969">
                  <w:pPr>
                    <w:pStyle w:val="144"/>
                    <w:adjustRightInd w:val="0"/>
                    <w:snapToGrid w:val="0"/>
                    <w:ind w:firstLine="0" w:firstLineChars="0"/>
                    <w:jc w:val="center"/>
                    <w:rPr>
                      <w:color w:val="auto"/>
                      <w:sz w:val="21"/>
                      <w:szCs w:val="21"/>
                    </w:rPr>
                  </w:pPr>
                  <w:r>
                    <w:rPr>
                      <w:rFonts w:hint="eastAsia"/>
                      <w:color w:val="auto"/>
                      <w:sz w:val="21"/>
                      <w:szCs w:val="21"/>
                    </w:rPr>
                    <w:t>化粪池</w:t>
                  </w:r>
                </w:p>
              </w:tc>
              <w:tc>
                <w:tcPr>
                  <w:tcW w:w="846" w:type="pct"/>
                  <w:vAlign w:val="center"/>
                </w:tcPr>
                <w:p w14:paraId="068B1E1E">
                  <w:pPr>
                    <w:pStyle w:val="130"/>
                    <w:spacing w:line="240" w:lineRule="auto"/>
                    <w:rPr>
                      <w:rFonts w:ascii="Times New Roman" w:hAnsi="Times New Roman" w:eastAsia="宋体" w:cs="Times New Roman"/>
                      <w:color w:val="auto"/>
                      <w:lang w:val="en-US"/>
                    </w:rPr>
                  </w:pPr>
                  <w:r>
                    <w:rPr>
                      <w:rFonts w:hint="eastAsia" w:ascii="Times New Roman" w:hAnsi="Times New Roman" w:eastAsia="宋体" w:cs="Times New Roman"/>
                      <w:color w:val="auto"/>
                      <w:lang w:val="en-US"/>
                    </w:rPr>
                    <w:t>1</w:t>
                  </w:r>
                  <w:r>
                    <w:rPr>
                      <w:rFonts w:ascii="Times New Roman" w:hAnsi="Times New Roman" w:eastAsia="宋体" w:cs="Times New Roman"/>
                      <w:color w:val="auto"/>
                      <w:lang w:val="en-US"/>
                    </w:rPr>
                    <w:t>0m</w:t>
                  </w:r>
                  <w:r>
                    <w:rPr>
                      <w:rFonts w:ascii="Times New Roman" w:hAnsi="Times New Roman" w:eastAsia="宋体" w:cs="Times New Roman"/>
                      <w:color w:val="auto"/>
                      <w:vertAlign w:val="superscript"/>
                      <w:lang w:val="en-US"/>
                    </w:rPr>
                    <w:t>3</w:t>
                  </w:r>
                </w:p>
              </w:tc>
              <w:tc>
                <w:tcPr>
                  <w:tcW w:w="831" w:type="pct"/>
                  <w:shd w:val="clear" w:color="auto" w:fill="auto"/>
                  <w:vAlign w:val="center"/>
                </w:tcPr>
                <w:p w14:paraId="58722E68">
                  <w:pPr>
                    <w:pStyle w:val="130"/>
                    <w:spacing w:line="240" w:lineRule="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lang w:val="en-US"/>
                    </w:rPr>
                    <w:t>1</w:t>
                  </w:r>
                  <w:r>
                    <w:rPr>
                      <w:rFonts w:ascii="Times New Roman" w:hAnsi="Times New Roman" w:eastAsia="宋体" w:cs="Times New Roman"/>
                      <w:color w:val="auto"/>
                      <w:lang w:val="en-US"/>
                    </w:rPr>
                    <w:t>0m</w:t>
                  </w:r>
                  <w:r>
                    <w:rPr>
                      <w:rFonts w:ascii="Times New Roman" w:hAnsi="Times New Roman" w:eastAsia="宋体" w:cs="Times New Roman"/>
                      <w:color w:val="auto"/>
                      <w:vertAlign w:val="superscript"/>
                      <w:lang w:val="en-US"/>
                    </w:rPr>
                    <w:t>3</w:t>
                  </w:r>
                </w:p>
              </w:tc>
              <w:tc>
                <w:tcPr>
                  <w:tcW w:w="910" w:type="pct"/>
                  <w:vAlign w:val="center"/>
                </w:tcPr>
                <w:p w14:paraId="5013DD24">
                  <w:pPr>
                    <w:pStyle w:val="130"/>
                    <w:spacing w:line="240" w:lineRule="auto"/>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依托现有</w:t>
                  </w:r>
                </w:p>
              </w:tc>
              <w:tc>
                <w:tcPr>
                  <w:tcW w:w="1026" w:type="pct"/>
                  <w:vAlign w:val="center"/>
                </w:tcPr>
                <w:p w14:paraId="0DB20834">
                  <w:pPr>
                    <w:pStyle w:val="130"/>
                    <w:spacing w:line="240" w:lineRule="auto"/>
                    <w:rPr>
                      <w:rFonts w:ascii="Times New Roman" w:hAnsi="Times New Roman" w:eastAsia="宋体" w:cs="Times New Roman"/>
                      <w:color w:val="auto"/>
                    </w:rPr>
                  </w:pPr>
                  <w:r>
                    <w:rPr>
                      <w:rFonts w:hint="eastAsia" w:ascii="Times New Roman" w:hAnsi="Times New Roman" w:eastAsia="宋体" w:cs="Times New Roman"/>
                      <w:color w:val="auto"/>
                    </w:rPr>
                    <w:t>/</w:t>
                  </w:r>
                </w:p>
              </w:tc>
            </w:tr>
            <w:tr w14:paraId="1F377E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vMerge w:val="continue"/>
                  <w:vAlign w:val="center"/>
                </w:tcPr>
                <w:p w14:paraId="0DBFD054">
                  <w:pPr>
                    <w:pStyle w:val="130"/>
                    <w:spacing w:line="240" w:lineRule="auto"/>
                    <w:rPr>
                      <w:rFonts w:ascii="Times New Roman" w:hAnsi="Times New Roman" w:eastAsia="宋体" w:cs="Times New Roman"/>
                      <w:color w:val="auto"/>
                    </w:rPr>
                  </w:pPr>
                </w:p>
              </w:tc>
              <w:tc>
                <w:tcPr>
                  <w:tcW w:w="177" w:type="pct"/>
                  <w:vMerge w:val="continue"/>
                  <w:vAlign w:val="center"/>
                </w:tcPr>
                <w:p w14:paraId="3CFFD6B9">
                  <w:pPr>
                    <w:pStyle w:val="130"/>
                    <w:spacing w:line="240" w:lineRule="auto"/>
                    <w:rPr>
                      <w:rFonts w:ascii="Times New Roman" w:hAnsi="Times New Roman" w:eastAsia="宋体" w:cs="Times New Roman"/>
                      <w:color w:val="auto"/>
                    </w:rPr>
                  </w:pPr>
                </w:p>
              </w:tc>
              <w:tc>
                <w:tcPr>
                  <w:tcW w:w="771" w:type="pct"/>
                  <w:gridSpan w:val="2"/>
                  <w:vAlign w:val="center"/>
                </w:tcPr>
                <w:p w14:paraId="28BCFE81">
                  <w:pPr>
                    <w:pStyle w:val="144"/>
                    <w:adjustRightInd w:val="0"/>
                    <w:snapToGrid w:val="0"/>
                    <w:ind w:firstLine="0" w:firstLineChars="0"/>
                    <w:jc w:val="center"/>
                    <w:rPr>
                      <w:color w:val="auto"/>
                      <w:sz w:val="21"/>
                      <w:szCs w:val="21"/>
                    </w:rPr>
                  </w:pPr>
                  <w:r>
                    <w:rPr>
                      <w:rFonts w:hint="eastAsia"/>
                      <w:color w:val="auto"/>
                      <w:sz w:val="21"/>
                      <w:szCs w:val="21"/>
                    </w:rPr>
                    <w:t>隔油池</w:t>
                  </w:r>
                </w:p>
              </w:tc>
              <w:tc>
                <w:tcPr>
                  <w:tcW w:w="846" w:type="pct"/>
                  <w:vAlign w:val="center"/>
                </w:tcPr>
                <w:p w14:paraId="2C9AEEDD">
                  <w:pPr>
                    <w:pStyle w:val="130"/>
                    <w:spacing w:line="240" w:lineRule="auto"/>
                    <w:rPr>
                      <w:rFonts w:ascii="Times New Roman" w:hAnsi="Times New Roman" w:eastAsia="宋体" w:cs="Times New Roman"/>
                      <w:color w:val="auto"/>
                      <w:lang w:val="en-US"/>
                    </w:rPr>
                  </w:pPr>
                  <w:r>
                    <w:rPr>
                      <w:rFonts w:hint="eastAsia" w:ascii="Times New Roman" w:hAnsi="Times New Roman" w:eastAsia="宋体" w:cs="Times New Roman"/>
                      <w:color w:val="auto"/>
                      <w:lang w:val="en-US"/>
                    </w:rPr>
                    <w:t>5</w:t>
                  </w:r>
                  <w:r>
                    <w:rPr>
                      <w:rFonts w:ascii="Times New Roman" w:hAnsi="Times New Roman" w:eastAsia="宋体" w:cs="Times New Roman"/>
                      <w:color w:val="auto"/>
                      <w:lang w:val="en-US"/>
                    </w:rPr>
                    <w:t>m</w:t>
                  </w:r>
                  <w:r>
                    <w:rPr>
                      <w:rFonts w:ascii="Times New Roman" w:hAnsi="Times New Roman" w:eastAsia="宋体" w:cs="Times New Roman"/>
                      <w:color w:val="auto"/>
                      <w:vertAlign w:val="superscript"/>
                      <w:lang w:val="en-US"/>
                    </w:rPr>
                    <w:t>3</w:t>
                  </w:r>
                </w:p>
              </w:tc>
              <w:tc>
                <w:tcPr>
                  <w:tcW w:w="831" w:type="pct"/>
                  <w:shd w:val="clear" w:color="auto" w:fill="auto"/>
                  <w:vAlign w:val="center"/>
                </w:tcPr>
                <w:p w14:paraId="1F390293">
                  <w:pPr>
                    <w:pStyle w:val="130"/>
                    <w:spacing w:line="240" w:lineRule="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lang w:val="en-US"/>
                    </w:rPr>
                    <w:t>5</w:t>
                  </w:r>
                  <w:r>
                    <w:rPr>
                      <w:rFonts w:ascii="Times New Roman" w:hAnsi="Times New Roman" w:eastAsia="宋体" w:cs="Times New Roman"/>
                      <w:color w:val="auto"/>
                      <w:lang w:val="en-US"/>
                    </w:rPr>
                    <w:t>m</w:t>
                  </w:r>
                  <w:r>
                    <w:rPr>
                      <w:rFonts w:ascii="Times New Roman" w:hAnsi="Times New Roman" w:eastAsia="宋体" w:cs="Times New Roman"/>
                      <w:color w:val="auto"/>
                      <w:vertAlign w:val="superscript"/>
                      <w:lang w:val="en-US"/>
                    </w:rPr>
                    <w:t>3</w:t>
                  </w:r>
                </w:p>
              </w:tc>
              <w:tc>
                <w:tcPr>
                  <w:tcW w:w="910" w:type="pct"/>
                  <w:vAlign w:val="center"/>
                </w:tcPr>
                <w:p w14:paraId="4A5AD37E">
                  <w:pPr>
                    <w:pStyle w:val="130"/>
                    <w:spacing w:line="240" w:lineRule="auto"/>
                    <w:rPr>
                      <w:rFonts w:hint="eastAsia" w:ascii="Times New Roman" w:hAnsi="Times New Roman" w:eastAsia="宋体" w:cs="Times New Roman"/>
                      <w:color w:val="auto"/>
                      <w:lang w:val="en-US"/>
                    </w:rPr>
                  </w:pPr>
                  <w:r>
                    <w:rPr>
                      <w:rFonts w:hint="eastAsia" w:ascii="Times New Roman" w:hAnsi="Times New Roman" w:cs="Times New Roman"/>
                      <w:color w:val="auto"/>
                      <w:lang w:val="en-US" w:eastAsia="zh-CN"/>
                    </w:rPr>
                    <w:t>依托现有</w:t>
                  </w:r>
                </w:p>
              </w:tc>
              <w:tc>
                <w:tcPr>
                  <w:tcW w:w="1026" w:type="pct"/>
                  <w:vAlign w:val="center"/>
                </w:tcPr>
                <w:p w14:paraId="2F52991A">
                  <w:pPr>
                    <w:pStyle w:val="130"/>
                    <w:spacing w:line="240" w:lineRule="auto"/>
                    <w:rPr>
                      <w:rFonts w:ascii="Times New Roman" w:hAnsi="Times New Roman" w:eastAsia="宋体" w:cs="Times New Roman"/>
                      <w:color w:val="auto"/>
                    </w:rPr>
                  </w:pPr>
                  <w:r>
                    <w:rPr>
                      <w:rFonts w:hint="eastAsia" w:ascii="Times New Roman" w:hAnsi="Times New Roman" w:eastAsia="宋体" w:cs="Times New Roman"/>
                      <w:color w:val="auto"/>
                    </w:rPr>
                    <w:t>/</w:t>
                  </w:r>
                </w:p>
              </w:tc>
            </w:tr>
            <w:tr w14:paraId="032400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vMerge w:val="continue"/>
                  <w:vAlign w:val="center"/>
                </w:tcPr>
                <w:p w14:paraId="2B8F5039">
                  <w:pPr>
                    <w:pStyle w:val="130"/>
                    <w:spacing w:line="240" w:lineRule="auto"/>
                    <w:rPr>
                      <w:rFonts w:ascii="Times New Roman" w:hAnsi="Times New Roman" w:eastAsia="宋体" w:cs="Times New Roman"/>
                      <w:color w:val="auto"/>
                    </w:rPr>
                  </w:pPr>
                </w:p>
              </w:tc>
              <w:tc>
                <w:tcPr>
                  <w:tcW w:w="177" w:type="pct"/>
                  <w:vMerge w:val="continue"/>
                  <w:vAlign w:val="center"/>
                </w:tcPr>
                <w:p w14:paraId="7B32865A">
                  <w:pPr>
                    <w:pStyle w:val="130"/>
                    <w:spacing w:line="240" w:lineRule="auto"/>
                    <w:rPr>
                      <w:rFonts w:ascii="Times New Roman" w:hAnsi="Times New Roman" w:eastAsia="宋体" w:cs="Times New Roman"/>
                      <w:color w:val="auto"/>
                    </w:rPr>
                  </w:pPr>
                </w:p>
              </w:tc>
              <w:tc>
                <w:tcPr>
                  <w:tcW w:w="771" w:type="pct"/>
                  <w:gridSpan w:val="2"/>
                  <w:vAlign w:val="center"/>
                </w:tcPr>
                <w:p w14:paraId="0615B46F">
                  <w:pPr>
                    <w:pStyle w:val="144"/>
                    <w:adjustRightInd w:val="0"/>
                    <w:snapToGrid w:val="0"/>
                    <w:ind w:firstLine="0" w:firstLineChars="0"/>
                    <w:jc w:val="center"/>
                    <w:rPr>
                      <w:color w:val="auto"/>
                      <w:sz w:val="21"/>
                      <w:szCs w:val="21"/>
                    </w:rPr>
                  </w:pPr>
                  <w:r>
                    <w:rPr>
                      <w:color w:val="auto"/>
                      <w:sz w:val="21"/>
                      <w:szCs w:val="21"/>
                    </w:rPr>
                    <w:t>污水处理站</w:t>
                  </w:r>
                </w:p>
              </w:tc>
              <w:tc>
                <w:tcPr>
                  <w:tcW w:w="846" w:type="pct"/>
                  <w:vAlign w:val="center"/>
                </w:tcPr>
                <w:p w14:paraId="267A3AD7">
                  <w:pPr>
                    <w:pStyle w:val="130"/>
                    <w:spacing w:line="240" w:lineRule="auto"/>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处理能力</w:t>
                  </w:r>
                  <w:bookmarkStart w:id="10" w:name="OLE_LINK1"/>
                  <w:r>
                    <w:rPr>
                      <w:rFonts w:hint="eastAsia" w:ascii="Times New Roman" w:hAnsi="Times New Roman" w:cs="Times New Roman"/>
                      <w:color w:val="auto"/>
                      <w:lang w:val="en-US" w:eastAsia="zh-CN"/>
                    </w:rPr>
                    <w:t>1600m</w:t>
                  </w:r>
                  <w:r>
                    <w:rPr>
                      <w:rFonts w:hint="eastAsia" w:ascii="Times New Roman" w:hAnsi="Times New Roman" w:cs="Times New Roman"/>
                      <w:color w:val="auto"/>
                      <w:vertAlign w:val="superscript"/>
                      <w:lang w:val="en-US" w:eastAsia="zh-CN"/>
                    </w:rPr>
                    <w:t>3</w:t>
                  </w:r>
                  <w:r>
                    <w:rPr>
                      <w:rFonts w:hint="eastAsia" w:ascii="Times New Roman" w:hAnsi="Times New Roman" w:cs="Times New Roman"/>
                      <w:color w:val="auto"/>
                      <w:lang w:val="en-US" w:eastAsia="zh-CN"/>
                    </w:rPr>
                    <w:t>/d</w:t>
                  </w:r>
                  <w:bookmarkEnd w:id="10"/>
                  <w:r>
                    <w:rPr>
                      <w:rFonts w:hint="eastAsia"/>
                      <w:color w:val="auto"/>
                      <w:lang w:val="en-US" w:eastAsia="zh-CN"/>
                    </w:rPr>
                    <w:t>,现有</w:t>
                  </w:r>
                  <w:r>
                    <w:rPr>
                      <w:rFonts w:hint="default" w:ascii="Times New Roman" w:hAnsi="Times New Roman" w:cs="Times New Roman"/>
                      <w:color w:val="auto"/>
                      <w:lang w:val="en-US" w:eastAsia="zh-CN"/>
                    </w:rPr>
                    <w:t>项目占用</w:t>
                  </w:r>
                  <w:r>
                    <w:rPr>
                      <w:rFonts w:hint="eastAsia" w:ascii="Times New Roman" w:hAnsi="Times New Roman" w:cs="Times New Roman"/>
                      <w:color w:val="auto"/>
                      <w:lang w:val="en-US" w:eastAsia="zh-CN"/>
                    </w:rPr>
                    <w:t>1176</w:t>
                  </w:r>
                  <w:r>
                    <w:rPr>
                      <w:rFonts w:hint="default" w:ascii="Times New Roman" w:hAnsi="Times New Roman" w:cs="Times New Roman"/>
                      <w:color w:val="auto"/>
                      <w:lang w:val="en-US" w:eastAsia="zh-CN"/>
                    </w:rPr>
                    <w:t>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/d</w:t>
                  </w:r>
                  <w:r>
                    <w:rPr>
                      <w:rFonts w:hint="eastAsia" w:ascii="Times New Roman" w:hAnsi="Times New Roman" w:cs="Times New Roman"/>
                      <w:color w:val="auto"/>
                      <w:lang w:val="en-US" w:eastAsia="zh-CN"/>
                    </w:rPr>
                    <w:t>，剩余424</w:t>
                  </w:r>
                  <w:r>
                    <w:rPr>
                      <w:rFonts w:hint="default" w:ascii="Times New Roman" w:hAnsi="Times New Roman" w:cs="Times New Roman"/>
                      <w:color w:val="auto"/>
                      <w:lang w:val="en-US" w:eastAsia="zh-CN"/>
                    </w:rPr>
                    <w:t>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/d</w:t>
                  </w:r>
                  <w:r>
                    <w:rPr>
                      <w:rFonts w:hint="eastAsia" w:ascii="Times New Roman" w:hAnsi="Times New Roman" w:cs="Times New Roman"/>
                      <w:color w:val="auto"/>
                      <w:lang w:val="en-US" w:eastAsia="zh-CN"/>
                    </w:rPr>
                    <w:t>处理能力</w:t>
                  </w:r>
                </w:p>
              </w:tc>
              <w:tc>
                <w:tcPr>
                  <w:tcW w:w="831" w:type="pct"/>
                  <w:vAlign w:val="center"/>
                </w:tcPr>
                <w:p w14:paraId="6CD8BB0C">
                  <w:pPr>
                    <w:pStyle w:val="130"/>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处理能力1600m</w:t>
                  </w:r>
                  <w:r>
                    <w:rPr>
                      <w:rFonts w:hint="eastAsia" w:ascii="Times New Roman" w:hAnsi="Times New Roman" w:cs="Times New Roman"/>
                      <w:color w:val="auto"/>
                      <w:vertAlign w:val="superscript"/>
                      <w:lang w:val="en-US" w:eastAsia="zh-CN"/>
                    </w:rPr>
                    <w:t>3</w:t>
                  </w:r>
                  <w:r>
                    <w:rPr>
                      <w:rFonts w:hint="eastAsia" w:ascii="Times New Roman" w:hAnsi="Times New Roman" w:cs="Times New Roman"/>
                      <w:color w:val="auto"/>
                      <w:lang w:val="en-US" w:eastAsia="zh-CN"/>
                    </w:rPr>
                    <w:t>/d；</w:t>
                  </w:r>
                </w:p>
              </w:tc>
              <w:tc>
                <w:tcPr>
                  <w:tcW w:w="910" w:type="pct"/>
                  <w:vAlign w:val="center"/>
                </w:tcPr>
                <w:p w14:paraId="1170418A">
                  <w:pPr>
                    <w:pStyle w:val="130"/>
                    <w:spacing w:line="240" w:lineRule="auto"/>
                    <w:rPr>
                      <w:rFonts w:hint="default" w:ascii="Times New Roman" w:hAnsi="Times New Roman" w:eastAsia="宋体" w:cs="Times New Roman"/>
                      <w:color w:val="auto"/>
                      <w:lang w:val="en-US"/>
                    </w:rPr>
                  </w:pPr>
                  <w:r>
                    <w:rPr>
                      <w:rFonts w:hint="eastAsia" w:ascii="Times New Roman" w:hAnsi="Times New Roman" w:cs="Times New Roman"/>
                      <w:color w:val="auto"/>
                      <w:lang w:val="en-US" w:eastAsia="zh-CN"/>
                    </w:rPr>
                    <w:t>依托现有，扩建项目占用406.9m</w:t>
                  </w:r>
                  <w:r>
                    <w:rPr>
                      <w:rFonts w:hint="eastAsia" w:ascii="Times New Roman" w:hAnsi="Times New Roman" w:cs="Times New Roman"/>
                      <w:color w:val="auto"/>
                      <w:vertAlign w:val="superscript"/>
                      <w:lang w:val="en-US" w:eastAsia="zh-CN"/>
                    </w:rPr>
                    <w:t>3</w:t>
                  </w:r>
                  <w:r>
                    <w:rPr>
                      <w:rFonts w:hint="eastAsia" w:ascii="Times New Roman" w:hAnsi="Times New Roman" w:cs="Times New Roman"/>
                      <w:color w:val="auto"/>
                      <w:lang w:val="en-US" w:eastAsia="zh-CN"/>
                    </w:rPr>
                    <w:t>/d</w:t>
                  </w:r>
                </w:p>
              </w:tc>
              <w:tc>
                <w:tcPr>
                  <w:tcW w:w="1026" w:type="pct"/>
                  <w:vAlign w:val="center"/>
                </w:tcPr>
                <w:p w14:paraId="297E96A5">
                  <w:pPr>
                    <w:pStyle w:val="130"/>
                    <w:spacing w:line="240" w:lineRule="auto"/>
                    <w:rPr>
                      <w:rFonts w:ascii="Times New Roman" w:hAnsi="Times New Roman" w:eastAsia="宋体" w:cs="Times New Roman"/>
                      <w:color w:val="auto"/>
                    </w:rPr>
                  </w:pPr>
                  <w:r>
                    <w:rPr>
                      <w:rFonts w:ascii="Times New Roman" w:hAnsi="Times New Roman" w:eastAsia="宋体" w:cs="Times New Roman"/>
                      <w:color w:val="auto"/>
                    </w:rPr>
                    <w:t>达标排放</w:t>
                  </w:r>
                </w:p>
              </w:tc>
            </w:tr>
            <w:tr w14:paraId="61FED1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vMerge w:val="continue"/>
                  <w:vAlign w:val="center"/>
                </w:tcPr>
                <w:p w14:paraId="1A110931">
                  <w:pPr>
                    <w:pStyle w:val="130"/>
                    <w:spacing w:line="240" w:lineRule="auto"/>
                    <w:rPr>
                      <w:rFonts w:ascii="Times New Roman" w:hAnsi="Times New Roman" w:eastAsia="宋体" w:cs="Times New Roman"/>
                      <w:color w:val="auto"/>
                    </w:rPr>
                  </w:pPr>
                </w:p>
              </w:tc>
              <w:tc>
                <w:tcPr>
                  <w:tcW w:w="177" w:type="pct"/>
                  <w:vMerge w:val="restart"/>
                  <w:vAlign w:val="center"/>
                </w:tcPr>
                <w:p w14:paraId="11CB0135">
                  <w:pPr>
                    <w:pStyle w:val="130"/>
                    <w:spacing w:line="240" w:lineRule="auto"/>
                    <w:rPr>
                      <w:rFonts w:ascii="Times New Roman" w:hAnsi="Times New Roman" w:eastAsia="宋体" w:cs="Times New Roman"/>
                      <w:color w:val="auto"/>
                    </w:rPr>
                  </w:pPr>
                  <w:r>
                    <w:rPr>
                      <w:rFonts w:ascii="Times New Roman" w:hAnsi="Times New Roman" w:eastAsia="宋体" w:cs="Times New Roman"/>
                      <w:color w:val="auto"/>
                    </w:rPr>
                    <w:t>固废</w:t>
                  </w:r>
                </w:p>
              </w:tc>
              <w:tc>
                <w:tcPr>
                  <w:tcW w:w="771" w:type="pct"/>
                  <w:gridSpan w:val="2"/>
                  <w:vAlign w:val="center"/>
                </w:tcPr>
                <w:p w14:paraId="337567CA">
                  <w:pPr>
                    <w:pStyle w:val="144"/>
                    <w:adjustRightInd w:val="0"/>
                    <w:snapToGrid w:val="0"/>
                    <w:ind w:firstLine="0" w:firstLineChars="0"/>
                    <w:jc w:val="center"/>
                    <w:rPr>
                      <w:color w:val="auto"/>
                      <w:sz w:val="21"/>
                      <w:szCs w:val="21"/>
                    </w:rPr>
                  </w:pPr>
                  <w:r>
                    <w:rPr>
                      <w:color w:val="auto"/>
                      <w:sz w:val="21"/>
                      <w:szCs w:val="21"/>
                    </w:rPr>
                    <w:t>一般固废仓库</w:t>
                  </w:r>
                </w:p>
              </w:tc>
              <w:tc>
                <w:tcPr>
                  <w:tcW w:w="846" w:type="pct"/>
                  <w:vAlign w:val="center"/>
                </w:tcPr>
                <w:p w14:paraId="4391318B">
                  <w:pPr>
                    <w:pStyle w:val="130"/>
                    <w:spacing w:line="240" w:lineRule="auto"/>
                    <w:rPr>
                      <w:rFonts w:ascii="Times New Roman" w:hAnsi="Times New Roman" w:eastAsia="宋体" w:cs="Times New Roman"/>
                      <w:color w:val="auto"/>
                      <w:lang w:val="en-US"/>
                    </w:rPr>
                  </w:pPr>
                  <w:r>
                    <w:rPr>
                      <w:rFonts w:ascii="Times New Roman" w:hAnsi="Times New Roman" w:eastAsia="宋体" w:cs="Times New Roman"/>
                      <w:color w:val="auto"/>
                      <w:lang w:val="en-US"/>
                    </w:rPr>
                    <w:t>144</w:t>
                  </w:r>
                  <w:r>
                    <w:rPr>
                      <w:rFonts w:ascii="Times New Roman" w:hAnsi="Times New Roman" w:eastAsia="宋体" w:cs="Times New Roman"/>
                      <w:color w:val="auto"/>
                    </w:rPr>
                    <w:t>m</w:t>
                  </w:r>
                  <w:r>
                    <w:rPr>
                      <w:rFonts w:ascii="Times New Roman" w:hAnsi="Times New Roman" w:eastAsia="宋体" w:cs="Times New Roman"/>
                      <w:color w:val="auto"/>
                      <w:vertAlign w:val="superscript"/>
                    </w:rPr>
                    <w:t>2</w:t>
                  </w:r>
                </w:p>
              </w:tc>
              <w:tc>
                <w:tcPr>
                  <w:tcW w:w="831" w:type="pct"/>
                  <w:shd w:val="clear" w:color="auto" w:fill="auto"/>
                  <w:vAlign w:val="center"/>
                </w:tcPr>
                <w:p w14:paraId="61793A29">
                  <w:pPr>
                    <w:pStyle w:val="130"/>
                    <w:spacing w:line="240" w:lineRule="auto"/>
                    <w:rPr>
                      <w:rFonts w:ascii="Times New Roman" w:hAnsi="Times New Roman" w:eastAsia="宋体" w:cs="Times New Roman"/>
                      <w:color w:val="auto"/>
                      <w:kern w:val="2"/>
                      <w:sz w:val="21"/>
                      <w:szCs w:val="24"/>
                      <w:lang w:val="en-US" w:eastAsia="zh-CN" w:bidi="ar-SA"/>
                    </w:rPr>
                  </w:pPr>
                  <w:r>
                    <w:rPr>
                      <w:rFonts w:ascii="Times New Roman" w:hAnsi="Times New Roman" w:eastAsia="宋体" w:cs="Times New Roman"/>
                      <w:color w:val="auto"/>
                      <w:lang w:val="en-US"/>
                    </w:rPr>
                    <w:t>144</w:t>
                  </w:r>
                  <w:r>
                    <w:rPr>
                      <w:rFonts w:ascii="Times New Roman" w:hAnsi="Times New Roman" w:eastAsia="宋体" w:cs="Times New Roman"/>
                      <w:color w:val="auto"/>
                    </w:rPr>
                    <w:t>m</w:t>
                  </w:r>
                  <w:r>
                    <w:rPr>
                      <w:rFonts w:ascii="Times New Roman" w:hAnsi="Times New Roman" w:eastAsia="宋体" w:cs="Times New Roman"/>
                      <w:color w:val="auto"/>
                      <w:vertAlign w:val="superscript"/>
                    </w:rPr>
                    <w:t>2</w:t>
                  </w:r>
                </w:p>
              </w:tc>
              <w:tc>
                <w:tcPr>
                  <w:tcW w:w="910" w:type="pct"/>
                  <w:vAlign w:val="center"/>
                </w:tcPr>
                <w:p w14:paraId="19974814">
                  <w:pPr>
                    <w:pStyle w:val="130"/>
                    <w:spacing w:line="240" w:lineRule="auto"/>
                    <w:rPr>
                      <w:rFonts w:ascii="Times New Roman" w:hAnsi="Times New Roman" w:eastAsia="宋体" w:cs="Times New Roman"/>
                      <w:color w:val="auto"/>
                      <w:lang w:val="en-US"/>
                    </w:rPr>
                  </w:pPr>
                  <w:r>
                    <w:rPr>
                      <w:rFonts w:hint="eastAsia" w:ascii="Times New Roman" w:hAnsi="Times New Roman" w:cs="Times New Roman"/>
                      <w:color w:val="auto"/>
                      <w:lang w:val="en-US" w:eastAsia="zh-CN"/>
                    </w:rPr>
                    <w:t>依托现有</w:t>
                  </w:r>
                </w:p>
              </w:tc>
              <w:tc>
                <w:tcPr>
                  <w:tcW w:w="1026" w:type="pct"/>
                  <w:vAlign w:val="center"/>
                </w:tcPr>
                <w:p w14:paraId="3465C6EB">
                  <w:pPr>
                    <w:pStyle w:val="130"/>
                    <w:spacing w:line="240" w:lineRule="auto"/>
                    <w:rPr>
                      <w:rFonts w:ascii="Times New Roman" w:hAnsi="Times New Roman" w:eastAsia="宋体" w:cs="Times New Roman"/>
                      <w:color w:val="auto"/>
                    </w:rPr>
                  </w:pPr>
                  <w:r>
                    <w:rPr>
                      <w:rFonts w:ascii="Times New Roman" w:hAnsi="Times New Roman" w:eastAsia="宋体" w:cs="Times New Roman"/>
                      <w:color w:val="auto"/>
                    </w:rPr>
                    <w:t>暂存</w:t>
                  </w:r>
                  <w:r>
                    <w:rPr>
                      <w:rFonts w:hint="eastAsia" w:ascii="Times New Roman" w:hAnsi="Times New Roman" w:eastAsia="宋体" w:cs="Times New Roman"/>
                      <w:color w:val="auto"/>
                    </w:rPr>
                    <w:t>一般固废</w:t>
                  </w:r>
                </w:p>
              </w:tc>
            </w:tr>
            <w:tr w14:paraId="4276BB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36" w:type="pct"/>
                  <w:vMerge w:val="continue"/>
                  <w:vAlign w:val="center"/>
                </w:tcPr>
                <w:p w14:paraId="4EF54532">
                  <w:pPr>
                    <w:pStyle w:val="130"/>
                    <w:spacing w:line="240" w:lineRule="auto"/>
                    <w:rPr>
                      <w:rFonts w:ascii="Times New Roman" w:hAnsi="Times New Roman" w:eastAsia="宋体" w:cs="Times New Roman"/>
                      <w:color w:val="auto"/>
                    </w:rPr>
                  </w:pPr>
                </w:p>
              </w:tc>
              <w:tc>
                <w:tcPr>
                  <w:tcW w:w="177" w:type="pct"/>
                  <w:vMerge w:val="continue"/>
                  <w:vAlign w:val="center"/>
                </w:tcPr>
                <w:p w14:paraId="275E79CD">
                  <w:pPr>
                    <w:pStyle w:val="130"/>
                    <w:spacing w:line="240" w:lineRule="auto"/>
                    <w:rPr>
                      <w:rFonts w:ascii="Times New Roman" w:hAnsi="Times New Roman" w:eastAsia="宋体" w:cs="Times New Roman"/>
                      <w:color w:val="auto"/>
                    </w:rPr>
                  </w:pPr>
                </w:p>
              </w:tc>
              <w:tc>
                <w:tcPr>
                  <w:tcW w:w="771" w:type="pct"/>
                  <w:gridSpan w:val="2"/>
                  <w:vAlign w:val="center"/>
                </w:tcPr>
                <w:p w14:paraId="0C7033CA">
                  <w:pPr>
                    <w:pStyle w:val="144"/>
                    <w:adjustRightInd w:val="0"/>
                    <w:snapToGrid w:val="0"/>
                    <w:ind w:firstLine="0" w:firstLineChars="0"/>
                    <w:jc w:val="center"/>
                    <w:rPr>
                      <w:color w:val="auto"/>
                      <w:sz w:val="21"/>
                      <w:szCs w:val="21"/>
                    </w:rPr>
                  </w:pPr>
                  <w:r>
                    <w:rPr>
                      <w:rFonts w:hint="eastAsia"/>
                      <w:color w:val="auto"/>
                      <w:sz w:val="21"/>
                      <w:szCs w:val="21"/>
                    </w:rPr>
                    <w:t>生活垃圾桶</w:t>
                  </w:r>
                </w:p>
              </w:tc>
              <w:tc>
                <w:tcPr>
                  <w:tcW w:w="846" w:type="pct"/>
                  <w:vAlign w:val="center"/>
                </w:tcPr>
                <w:p w14:paraId="1C2CF070">
                  <w:pPr>
                    <w:pStyle w:val="130"/>
                    <w:spacing w:line="240" w:lineRule="auto"/>
                    <w:rPr>
                      <w:rFonts w:ascii="Times New Roman" w:hAnsi="Times New Roman" w:eastAsia="宋体" w:cs="Times New Roman"/>
                      <w:color w:val="auto"/>
                      <w:lang w:val="en-US"/>
                    </w:rPr>
                  </w:pPr>
                  <w:r>
                    <w:rPr>
                      <w:rFonts w:hint="eastAsia" w:ascii="Times New Roman" w:hAnsi="Times New Roman" w:eastAsia="宋体" w:cs="Times New Roman"/>
                      <w:color w:val="auto"/>
                      <w:lang w:val="en-US"/>
                    </w:rPr>
                    <w:t>5</w:t>
                  </w:r>
                  <w:r>
                    <w:rPr>
                      <w:rFonts w:ascii="Times New Roman" w:hAnsi="Times New Roman" w:eastAsia="宋体" w:cs="Times New Roman"/>
                      <w:color w:val="auto"/>
                      <w:lang w:val="en-US"/>
                    </w:rPr>
                    <w:t>kg</w:t>
                  </w:r>
                  <w:r>
                    <w:rPr>
                      <w:rFonts w:hint="eastAsia" w:ascii="Times New Roman" w:hAnsi="Times New Roman" w:eastAsia="宋体" w:cs="Times New Roman"/>
                      <w:color w:val="auto"/>
                      <w:lang w:val="en-US"/>
                    </w:rPr>
                    <w:t>/个，1</w:t>
                  </w:r>
                  <w:r>
                    <w:rPr>
                      <w:rFonts w:ascii="Times New Roman" w:hAnsi="Times New Roman" w:eastAsia="宋体" w:cs="Times New Roman"/>
                      <w:color w:val="auto"/>
                      <w:lang w:val="en-US"/>
                    </w:rPr>
                    <w:t>0</w:t>
                  </w:r>
                  <w:r>
                    <w:rPr>
                      <w:rFonts w:hint="eastAsia" w:ascii="Times New Roman" w:hAnsi="Times New Roman" w:eastAsia="宋体" w:cs="Times New Roman"/>
                      <w:color w:val="auto"/>
                      <w:lang w:val="en-US"/>
                    </w:rPr>
                    <w:t>个</w:t>
                  </w:r>
                </w:p>
              </w:tc>
              <w:tc>
                <w:tcPr>
                  <w:tcW w:w="831" w:type="pct"/>
                  <w:shd w:val="clear" w:color="auto" w:fill="auto"/>
                  <w:vAlign w:val="center"/>
                </w:tcPr>
                <w:p w14:paraId="71AF6660">
                  <w:pPr>
                    <w:pStyle w:val="130"/>
                    <w:spacing w:line="240" w:lineRule="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lang w:val="en-US"/>
                    </w:rPr>
                    <w:t>5</w:t>
                  </w:r>
                  <w:r>
                    <w:rPr>
                      <w:rFonts w:ascii="Times New Roman" w:hAnsi="Times New Roman" w:eastAsia="宋体" w:cs="Times New Roman"/>
                      <w:color w:val="auto"/>
                      <w:lang w:val="en-US"/>
                    </w:rPr>
                    <w:t>kg</w:t>
                  </w:r>
                  <w:r>
                    <w:rPr>
                      <w:rFonts w:hint="eastAsia" w:ascii="Times New Roman" w:hAnsi="Times New Roman" w:eastAsia="宋体" w:cs="Times New Roman"/>
                      <w:color w:val="auto"/>
                      <w:lang w:val="en-US"/>
                    </w:rPr>
                    <w:t>/个，1</w:t>
                  </w:r>
                  <w:r>
                    <w:rPr>
                      <w:rFonts w:ascii="Times New Roman" w:hAnsi="Times New Roman" w:eastAsia="宋体" w:cs="Times New Roman"/>
                      <w:color w:val="auto"/>
                      <w:lang w:val="en-US"/>
                    </w:rPr>
                    <w:t>0</w:t>
                  </w:r>
                  <w:r>
                    <w:rPr>
                      <w:rFonts w:hint="eastAsia" w:ascii="Times New Roman" w:hAnsi="Times New Roman" w:eastAsia="宋体" w:cs="Times New Roman"/>
                      <w:color w:val="auto"/>
                      <w:lang w:val="en-US"/>
                    </w:rPr>
                    <w:t>个</w:t>
                  </w:r>
                </w:p>
              </w:tc>
              <w:tc>
                <w:tcPr>
                  <w:tcW w:w="910" w:type="pct"/>
                  <w:vAlign w:val="center"/>
                </w:tcPr>
                <w:p w14:paraId="5544312F">
                  <w:pPr>
                    <w:pStyle w:val="130"/>
                    <w:spacing w:line="240" w:lineRule="auto"/>
                    <w:rPr>
                      <w:rFonts w:hint="eastAsia" w:ascii="Times New Roman" w:hAnsi="Times New Roman" w:eastAsia="宋体" w:cs="Times New Roman"/>
                      <w:color w:val="auto"/>
                      <w:lang w:val="en-US"/>
                    </w:rPr>
                  </w:pPr>
                  <w:r>
                    <w:rPr>
                      <w:rFonts w:hint="eastAsia" w:ascii="Times New Roman" w:hAnsi="Times New Roman" w:cs="Times New Roman"/>
                      <w:color w:val="auto"/>
                      <w:lang w:val="en-US" w:eastAsia="zh-CN"/>
                    </w:rPr>
                    <w:t>依托现有</w:t>
                  </w:r>
                </w:p>
              </w:tc>
              <w:tc>
                <w:tcPr>
                  <w:tcW w:w="1026" w:type="pct"/>
                  <w:vAlign w:val="center"/>
                </w:tcPr>
                <w:p w14:paraId="75395677">
                  <w:pPr>
                    <w:pStyle w:val="130"/>
                    <w:spacing w:line="240" w:lineRule="auto"/>
                    <w:rPr>
                      <w:rFonts w:ascii="Times New Roman" w:hAnsi="Times New Roman" w:eastAsia="宋体" w:cs="Times New Roman"/>
                      <w:color w:val="auto"/>
                    </w:rPr>
                  </w:pPr>
                  <w:r>
                    <w:rPr>
                      <w:rFonts w:hint="eastAsia" w:ascii="Times New Roman" w:hAnsi="Times New Roman" w:eastAsia="宋体" w:cs="Times New Roman"/>
                      <w:color w:val="auto"/>
                    </w:rPr>
                    <w:t>环卫清运</w:t>
                  </w:r>
                </w:p>
              </w:tc>
            </w:tr>
            <w:tr w14:paraId="6C7A9B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vMerge w:val="continue"/>
                  <w:vAlign w:val="center"/>
                </w:tcPr>
                <w:p w14:paraId="54166DE8">
                  <w:pPr>
                    <w:pStyle w:val="130"/>
                    <w:spacing w:line="240" w:lineRule="auto"/>
                    <w:rPr>
                      <w:rFonts w:ascii="Times New Roman" w:hAnsi="Times New Roman" w:eastAsia="宋体" w:cs="Times New Roman"/>
                      <w:color w:val="auto"/>
                    </w:rPr>
                  </w:pPr>
                </w:p>
              </w:tc>
              <w:tc>
                <w:tcPr>
                  <w:tcW w:w="177" w:type="pct"/>
                  <w:vAlign w:val="center"/>
                </w:tcPr>
                <w:p w14:paraId="4F5B9077">
                  <w:pPr>
                    <w:pStyle w:val="130"/>
                    <w:spacing w:line="240" w:lineRule="auto"/>
                    <w:rPr>
                      <w:rFonts w:ascii="Times New Roman" w:hAnsi="Times New Roman" w:eastAsia="宋体" w:cs="Times New Roman"/>
                      <w:color w:val="auto"/>
                    </w:rPr>
                  </w:pPr>
                  <w:r>
                    <w:rPr>
                      <w:rFonts w:ascii="Times New Roman" w:hAnsi="Times New Roman" w:eastAsia="宋体" w:cs="Times New Roman"/>
                      <w:color w:val="auto"/>
                    </w:rPr>
                    <w:t>噪声</w:t>
                  </w:r>
                </w:p>
              </w:tc>
              <w:tc>
                <w:tcPr>
                  <w:tcW w:w="771" w:type="pct"/>
                  <w:gridSpan w:val="2"/>
                  <w:vAlign w:val="center"/>
                </w:tcPr>
                <w:p w14:paraId="54379BCE">
                  <w:pPr>
                    <w:pStyle w:val="144"/>
                    <w:adjustRightInd w:val="0"/>
                    <w:snapToGrid w:val="0"/>
                    <w:ind w:firstLine="0" w:firstLineChars="0"/>
                    <w:jc w:val="center"/>
                    <w:rPr>
                      <w:color w:val="auto"/>
                      <w:sz w:val="21"/>
                      <w:szCs w:val="21"/>
                    </w:rPr>
                  </w:pPr>
                  <w:r>
                    <w:rPr>
                      <w:color w:val="auto"/>
                      <w:sz w:val="21"/>
                      <w:szCs w:val="21"/>
                    </w:rPr>
                    <w:t>隔声等防治措施</w:t>
                  </w:r>
                </w:p>
              </w:tc>
              <w:tc>
                <w:tcPr>
                  <w:tcW w:w="846" w:type="pct"/>
                  <w:vAlign w:val="center"/>
                </w:tcPr>
                <w:p w14:paraId="1EC46CDE">
                  <w:pPr>
                    <w:pStyle w:val="130"/>
                    <w:spacing w:line="240" w:lineRule="auto"/>
                    <w:rPr>
                      <w:rFonts w:ascii="Times New Roman" w:hAnsi="Times New Roman" w:eastAsia="宋体" w:cs="Times New Roman"/>
                      <w:color w:val="auto"/>
                    </w:rPr>
                  </w:pPr>
                  <w:r>
                    <w:rPr>
                      <w:rFonts w:ascii="Times New Roman" w:hAnsi="Times New Roman" w:eastAsia="宋体" w:cs="Times New Roman"/>
                      <w:color w:val="auto"/>
                    </w:rPr>
                    <w:t>≥</w:t>
                  </w:r>
                  <w:r>
                    <w:rPr>
                      <w:rFonts w:ascii="Times New Roman" w:hAnsi="Times New Roman" w:eastAsia="宋体" w:cs="Times New Roman"/>
                      <w:color w:val="auto"/>
                      <w:lang w:val="en-US"/>
                    </w:rPr>
                    <w:t>25</w:t>
                  </w:r>
                  <w:r>
                    <w:rPr>
                      <w:rFonts w:ascii="Times New Roman" w:hAnsi="Times New Roman" w:eastAsia="宋体" w:cs="Times New Roman"/>
                      <w:color w:val="auto"/>
                    </w:rPr>
                    <w:t>dB(A)</w:t>
                  </w:r>
                </w:p>
              </w:tc>
              <w:tc>
                <w:tcPr>
                  <w:tcW w:w="831" w:type="pct"/>
                  <w:shd w:val="clear" w:color="auto" w:fill="auto"/>
                  <w:vAlign w:val="center"/>
                </w:tcPr>
                <w:p w14:paraId="0AA4EAF6">
                  <w:pPr>
                    <w:pStyle w:val="130"/>
                    <w:spacing w:line="240" w:lineRule="auto"/>
                    <w:rPr>
                      <w:rFonts w:ascii="Times New Roman" w:hAnsi="Times New Roman" w:eastAsia="宋体" w:cs="Times New Roman"/>
                      <w:color w:val="auto"/>
                      <w:kern w:val="2"/>
                      <w:sz w:val="21"/>
                      <w:szCs w:val="24"/>
                      <w:lang w:val="en-US" w:eastAsia="zh-CN" w:bidi="ar-SA"/>
                    </w:rPr>
                  </w:pPr>
                  <w:r>
                    <w:rPr>
                      <w:rFonts w:ascii="Times New Roman" w:hAnsi="Times New Roman" w:eastAsia="宋体" w:cs="Times New Roman"/>
                      <w:color w:val="auto"/>
                    </w:rPr>
                    <w:t>≥</w:t>
                  </w:r>
                  <w:r>
                    <w:rPr>
                      <w:rFonts w:ascii="Times New Roman" w:hAnsi="Times New Roman" w:eastAsia="宋体" w:cs="Times New Roman"/>
                      <w:color w:val="auto"/>
                      <w:lang w:val="en-US"/>
                    </w:rPr>
                    <w:t>25</w:t>
                  </w:r>
                  <w:r>
                    <w:rPr>
                      <w:rFonts w:ascii="Times New Roman" w:hAnsi="Times New Roman" w:eastAsia="宋体" w:cs="Times New Roman"/>
                      <w:color w:val="auto"/>
                    </w:rPr>
                    <w:t>dB(A)</w:t>
                  </w:r>
                </w:p>
              </w:tc>
              <w:tc>
                <w:tcPr>
                  <w:tcW w:w="910" w:type="pct"/>
                  <w:vAlign w:val="center"/>
                </w:tcPr>
                <w:p w14:paraId="516ED9CD">
                  <w:pPr>
                    <w:pStyle w:val="130"/>
                    <w:spacing w:line="240" w:lineRule="auto"/>
                    <w:rPr>
                      <w:rFonts w:ascii="Times New Roman" w:hAnsi="Times New Roman" w:eastAsia="宋体" w:cs="Times New Roman"/>
                      <w:color w:val="auto"/>
                    </w:rPr>
                  </w:pPr>
                  <w:r>
                    <w:rPr>
                      <w:rFonts w:hint="eastAsia" w:ascii="Times New Roman" w:hAnsi="Times New Roman" w:cs="Times New Roman"/>
                      <w:color w:val="auto"/>
                      <w:lang w:val="en-US" w:eastAsia="zh-CN"/>
                    </w:rPr>
                    <w:t>依托现有</w:t>
                  </w:r>
                </w:p>
              </w:tc>
              <w:tc>
                <w:tcPr>
                  <w:tcW w:w="1026" w:type="pct"/>
                  <w:vAlign w:val="center"/>
                </w:tcPr>
                <w:p w14:paraId="1784E2A8">
                  <w:pPr>
                    <w:pStyle w:val="130"/>
                    <w:spacing w:line="240" w:lineRule="auto"/>
                    <w:rPr>
                      <w:rFonts w:ascii="Times New Roman" w:hAnsi="Times New Roman" w:eastAsia="宋体" w:cs="Times New Roman"/>
                      <w:color w:val="auto"/>
                    </w:rPr>
                  </w:pPr>
                  <w:r>
                    <w:rPr>
                      <w:rFonts w:ascii="Times New Roman" w:hAnsi="Times New Roman" w:eastAsia="宋体" w:cs="Times New Roman"/>
                      <w:color w:val="auto"/>
                    </w:rPr>
                    <w:t>厂界达标</w:t>
                  </w:r>
                </w:p>
              </w:tc>
            </w:tr>
          </w:tbl>
          <w:p w14:paraId="31C6187F">
            <w:pPr>
              <w:autoSpaceDE w:val="0"/>
              <w:autoSpaceDN w:val="0"/>
              <w:adjustRightInd w:val="0"/>
              <w:snapToGrid w:val="0"/>
              <w:spacing w:line="360" w:lineRule="auto"/>
              <w:ind w:firstLine="482" w:firstLineChars="200"/>
              <w:jc w:val="left"/>
              <w:rPr>
                <w:color w:val="auto"/>
                <w:sz w:val="24"/>
              </w:rPr>
            </w:pPr>
            <w:r>
              <w:rPr>
                <w:b/>
                <w:color w:val="auto"/>
                <w:kern w:val="0"/>
                <w:sz w:val="24"/>
              </w:rPr>
              <w:t>6.</w:t>
            </w:r>
            <w:r>
              <w:rPr>
                <w:rFonts w:hAnsi="宋体"/>
                <w:b/>
                <w:color w:val="auto"/>
                <w:kern w:val="0"/>
                <w:sz w:val="24"/>
              </w:rPr>
              <w:t>厂区平面布置</w:t>
            </w:r>
            <w:r>
              <w:rPr>
                <w:rFonts w:hint="eastAsia" w:hAnsi="宋体"/>
                <w:b/>
                <w:color w:val="auto"/>
                <w:kern w:val="0"/>
                <w:sz w:val="24"/>
              </w:rPr>
              <w:t>及周边环境概况</w:t>
            </w:r>
          </w:p>
          <w:p w14:paraId="27729315">
            <w:pPr>
              <w:autoSpaceDE w:val="0"/>
              <w:autoSpaceDN w:val="0"/>
              <w:adjustRightInd w:val="0"/>
              <w:snapToGrid w:val="0"/>
              <w:spacing w:line="360" w:lineRule="auto"/>
              <w:ind w:firstLine="480" w:firstLineChars="200"/>
              <w:jc w:val="left"/>
              <w:rPr>
                <w:rFonts w:hAnsi="宋体"/>
                <w:color w:val="auto"/>
                <w:kern w:val="0"/>
                <w:sz w:val="24"/>
                <w:szCs w:val="20"/>
              </w:rPr>
            </w:pPr>
            <w:r>
              <w:rPr>
                <w:rFonts w:hint="eastAsia" w:hAnsi="宋体" w:cs="Times New Roman"/>
                <w:b w:val="0"/>
                <w:bCs/>
                <w:color w:val="auto"/>
                <w:kern w:val="2"/>
                <w:sz w:val="24"/>
                <w:szCs w:val="24"/>
                <w:lang w:val="en-US" w:eastAsia="zh-CN" w:bidi="ar-SA"/>
              </w:rPr>
              <w:t>本次扩建项目位于厂区东北位置</w:t>
            </w:r>
            <w:r>
              <w:rPr>
                <w:rFonts w:hint="eastAsia" w:ascii="Times New Roman" w:hAnsi="宋体" w:eastAsia="宋体" w:cs="Times New Roman"/>
                <w:b w:val="0"/>
                <w:bCs/>
                <w:color w:val="auto"/>
                <w:kern w:val="2"/>
                <w:sz w:val="24"/>
                <w:szCs w:val="24"/>
                <w:lang w:val="en-US" w:eastAsia="zh-CN" w:bidi="ar-SA"/>
              </w:rPr>
              <w:t>，</w:t>
            </w:r>
            <w:r>
              <w:rPr>
                <w:color w:val="auto"/>
                <w:sz w:val="24"/>
              </w:rPr>
              <w:t>平面布置根据不同生产工序布置不同车间，</w:t>
            </w:r>
            <w:r>
              <w:rPr>
                <w:rFonts w:hint="eastAsia"/>
                <w:color w:val="auto"/>
                <w:sz w:val="24"/>
                <w:lang w:eastAsia="zh-CN"/>
              </w:rPr>
              <w:t>由北至南</w:t>
            </w:r>
            <w:r>
              <w:rPr>
                <w:color w:val="auto"/>
                <w:sz w:val="24"/>
              </w:rPr>
              <w:t>按照功能划分为</w:t>
            </w:r>
            <w:r>
              <w:rPr>
                <w:rFonts w:hint="eastAsia"/>
                <w:color w:val="auto"/>
                <w:sz w:val="24"/>
                <w:lang w:eastAsia="zh-CN"/>
              </w:rPr>
              <w:t>一间冷库（</w:t>
            </w:r>
            <w:r>
              <w:rPr>
                <w:rFonts w:hint="eastAsia"/>
                <w:color w:val="auto"/>
                <w:sz w:val="24"/>
                <w:lang w:val="en-US" w:eastAsia="zh-CN"/>
              </w:rPr>
              <w:t>-25</w:t>
            </w:r>
            <w:r>
              <w:rPr>
                <w:color w:val="auto"/>
                <w:sz w:val="24"/>
              </w:rPr>
              <w:t>℃</w:t>
            </w:r>
            <w:r>
              <w:rPr>
                <w:rFonts w:hint="eastAsia"/>
                <w:color w:val="auto"/>
                <w:sz w:val="24"/>
                <w:lang w:eastAsia="zh-CN"/>
              </w:rPr>
              <w:t>）</w:t>
            </w:r>
            <w:r>
              <w:rPr>
                <w:color w:val="auto"/>
                <w:sz w:val="24"/>
              </w:rPr>
              <w:t>、</w:t>
            </w:r>
            <w:r>
              <w:rPr>
                <w:rFonts w:hint="eastAsia"/>
                <w:color w:val="auto"/>
                <w:sz w:val="24"/>
                <w:lang w:eastAsia="zh-CN"/>
              </w:rPr>
              <w:t>一间冷库（</w:t>
            </w:r>
            <w:r>
              <w:rPr>
                <w:rFonts w:hint="eastAsia"/>
                <w:color w:val="auto"/>
                <w:sz w:val="24"/>
                <w:lang w:val="en-US" w:eastAsia="zh-CN"/>
              </w:rPr>
              <w:t>-18</w:t>
            </w:r>
            <w:r>
              <w:rPr>
                <w:color w:val="auto"/>
                <w:sz w:val="24"/>
              </w:rPr>
              <w:t>℃</w:t>
            </w:r>
            <w:r>
              <w:rPr>
                <w:rFonts w:hint="eastAsia"/>
                <w:color w:val="auto"/>
                <w:sz w:val="24"/>
                <w:lang w:eastAsia="zh-CN"/>
              </w:rPr>
              <w:t>）</w:t>
            </w:r>
            <w:r>
              <w:rPr>
                <w:rFonts w:hint="eastAsia"/>
                <w:color w:val="auto"/>
                <w:sz w:val="24"/>
              </w:rPr>
              <w:t>冷藏间用于原辅料和成品的存放</w:t>
            </w:r>
            <w:r>
              <w:rPr>
                <w:rFonts w:hint="eastAsia"/>
                <w:color w:val="auto"/>
                <w:sz w:val="24"/>
                <w:lang w:eastAsia="zh-CN"/>
              </w:rPr>
              <w:t>、生产一车间肉类加工生产线、生产二车间海珍味生产线、生产三车间四车间干燥藻类生产线、洁净车间更衣室，盥洗室。洁具消毒等房间。</w:t>
            </w:r>
            <w:r>
              <w:rPr>
                <w:rFonts w:hint="eastAsia" w:ascii="Times New Roman" w:hAnsi="宋体" w:eastAsia="宋体" w:cs="Times New Roman"/>
                <w:b w:val="0"/>
                <w:bCs/>
                <w:color w:val="auto"/>
                <w:kern w:val="2"/>
                <w:sz w:val="24"/>
                <w:szCs w:val="24"/>
                <w:lang w:val="en-US" w:eastAsia="zh-CN" w:bidi="ar-SA"/>
              </w:rPr>
              <w:t>具</w:t>
            </w:r>
            <w:r>
              <w:rPr>
                <w:rFonts w:hAnsi="宋体"/>
                <w:color w:val="auto"/>
                <w:kern w:val="0"/>
                <w:sz w:val="24"/>
                <w:szCs w:val="20"/>
              </w:rPr>
              <w:t>体平面布置图见</w:t>
            </w:r>
            <w:r>
              <w:rPr>
                <w:rFonts w:hAnsi="宋体"/>
                <w:b/>
                <w:color w:val="auto"/>
                <w:kern w:val="0"/>
                <w:sz w:val="24"/>
                <w:szCs w:val="20"/>
              </w:rPr>
              <w:t>附图</w:t>
            </w:r>
            <w:r>
              <w:rPr>
                <w:rFonts w:hint="eastAsia" w:hAnsi="宋体" w:cs="Times New Roman"/>
                <w:b/>
                <w:color w:val="auto"/>
                <w:kern w:val="0"/>
                <w:sz w:val="24"/>
                <w:szCs w:val="20"/>
                <w:lang w:val="en-US" w:eastAsia="zh-CN"/>
              </w:rPr>
              <w:t>5</w:t>
            </w:r>
            <w:r>
              <w:rPr>
                <w:rFonts w:ascii="Times New Roman" w:hAnsi="宋体" w:eastAsia="宋体" w:cs="Times New Roman"/>
                <w:b/>
                <w:color w:val="auto"/>
                <w:kern w:val="0"/>
                <w:sz w:val="24"/>
                <w:szCs w:val="20"/>
              </w:rPr>
              <w:t>。</w:t>
            </w:r>
          </w:p>
          <w:p w14:paraId="54A05136">
            <w:pPr>
              <w:pStyle w:val="40"/>
              <w:spacing w:line="360" w:lineRule="auto"/>
              <w:ind w:firstLine="480"/>
              <w:rPr>
                <w:rFonts w:hint="eastAsia" w:ascii="Times New Roman" w:hAnsi="宋体" w:eastAsia="宋体" w:cs="Times New Roman"/>
                <w:b w:val="0"/>
                <w:bCs/>
                <w:color w:val="auto"/>
                <w:kern w:val="2"/>
                <w:sz w:val="24"/>
                <w:szCs w:val="24"/>
                <w:lang w:val="en-US" w:eastAsia="zh-CN" w:bidi="ar-SA"/>
              </w:rPr>
            </w:pPr>
            <w:r>
              <w:rPr>
                <w:rFonts w:hint="eastAsia" w:ascii="Times New Roman" w:hAnsi="宋体" w:eastAsia="宋体" w:cs="Times New Roman"/>
                <w:b w:val="0"/>
                <w:bCs/>
                <w:color w:val="auto"/>
                <w:kern w:val="2"/>
                <w:sz w:val="24"/>
                <w:szCs w:val="24"/>
                <w:lang w:val="en-US" w:eastAsia="zh-CN" w:bidi="ar-SA"/>
              </w:rPr>
              <w:t>本项目位于江苏涟水经济开发区涟水路3号，厂区北侧为双拥路，南侧为祥和路，东侧为涟水路；西侧为创业路。周边环境概况图见附图</w:t>
            </w:r>
            <w:r>
              <w:rPr>
                <w:rFonts w:hint="eastAsia" w:ascii="Times New Roman" w:cs="Times New Roman"/>
                <w:b w:val="0"/>
                <w:bCs/>
                <w:color w:val="auto"/>
                <w:kern w:val="2"/>
                <w:sz w:val="24"/>
                <w:szCs w:val="24"/>
                <w:lang w:val="en-US" w:eastAsia="zh-CN" w:bidi="ar-SA"/>
              </w:rPr>
              <w:t>6</w:t>
            </w:r>
            <w:r>
              <w:rPr>
                <w:rFonts w:hint="eastAsia" w:ascii="Times New Roman" w:hAnsi="宋体" w:eastAsia="宋体" w:cs="Times New Roman"/>
                <w:b w:val="0"/>
                <w:bCs/>
                <w:color w:val="auto"/>
                <w:kern w:val="2"/>
                <w:sz w:val="24"/>
                <w:szCs w:val="24"/>
                <w:lang w:val="en-US" w:eastAsia="zh-CN" w:bidi="ar-SA"/>
              </w:rPr>
              <w:t>。</w:t>
            </w:r>
          </w:p>
          <w:p w14:paraId="6427067E">
            <w:pPr>
              <w:numPr>
                <w:ilvl w:val="0"/>
                <w:numId w:val="2"/>
              </w:numPr>
              <w:autoSpaceDE w:val="0"/>
              <w:autoSpaceDN w:val="0"/>
              <w:adjustRightInd w:val="0"/>
              <w:snapToGrid w:val="0"/>
              <w:spacing w:line="360" w:lineRule="auto"/>
              <w:ind w:firstLine="482" w:firstLineChars="200"/>
              <w:jc w:val="left"/>
              <w:rPr>
                <w:rFonts w:hAnsi="宋体"/>
                <w:b/>
                <w:color w:val="auto"/>
                <w:sz w:val="24"/>
              </w:rPr>
            </w:pPr>
            <w:r>
              <w:rPr>
                <w:rFonts w:hAnsi="宋体"/>
                <w:b/>
                <w:color w:val="auto"/>
                <w:sz w:val="24"/>
              </w:rPr>
              <w:t>水平衡分析</w:t>
            </w:r>
          </w:p>
          <w:p w14:paraId="7BB7055B">
            <w:pPr>
              <w:keepNext/>
              <w:spacing w:line="360" w:lineRule="auto"/>
              <w:ind w:firstLine="480" w:firstLineChars="200"/>
              <w:rPr>
                <w:color w:val="auto"/>
                <w:sz w:val="24"/>
              </w:rPr>
            </w:pPr>
            <w:r>
              <w:rPr>
                <w:color w:val="auto"/>
                <w:sz w:val="24"/>
              </w:rPr>
              <w:t>（1）给排水</w:t>
            </w:r>
          </w:p>
          <w:p w14:paraId="5C585FEF">
            <w:pPr>
              <w:keepNext/>
              <w:spacing w:line="360" w:lineRule="auto"/>
              <w:ind w:firstLine="482" w:firstLineChars="200"/>
              <w:rPr>
                <w:rFonts w:hint="default" w:ascii="Times New Roman" w:hAnsi="Times New Roman" w:cs="Times New Roman"/>
                <w:color w:val="auto"/>
                <w:sz w:val="24"/>
                <w:szCs w:val="24"/>
              </w:rPr>
            </w:pPr>
            <w:r>
              <w:rPr>
                <w:b/>
                <w:color w:val="auto"/>
                <w:sz w:val="24"/>
              </w:rPr>
              <w:t>给水</w:t>
            </w:r>
            <w:r>
              <w:rPr>
                <w:color w:val="auto"/>
                <w:sz w:val="24"/>
              </w:rPr>
              <w:t>：</w:t>
            </w:r>
            <w:r>
              <w:rPr>
                <w:rFonts w:hint="default" w:ascii="Times New Roman" w:hAnsi="Times New Roman" w:cs="Times New Roman"/>
                <w:color w:val="auto"/>
                <w:sz w:val="24"/>
                <w:szCs w:val="24"/>
                <w:lang w:eastAsia="zh-CN"/>
              </w:rPr>
              <w:t>扩建</w:t>
            </w:r>
            <w:r>
              <w:rPr>
                <w:rFonts w:hint="default" w:ascii="Times New Roman" w:hAnsi="Times New Roman" w:cs="Times New Roman"/>
                <w:color w:val="auto"/>
                <w:sz w:val="24"/>
                <w:szCs w:val="24"/>
              </w:rPr>
              <w:t>项目主要用水为职工生活用水、食堂用水、生产用水、设备冲洗用水、生产车间地面清洁用水，年用量为</w:t>
            </w:r>
            <w:r>
              <w:rPr>
                <w:rFonts w:hint="eastAsia" w:cs="Times New Roman"/>
                <w:color w:val="auto"/>
                <w:sz w:val="24"/>
                <w:szCs w:val="24"/>
                <w:lang w:val="en-US" w:eastAsia="zh-CN"/>
              </w:rPr>
              <w:t>177400</w:t>
            </w:r>
            <w:r>
              <w:rPr>
                <w:rFonts w:hint="default" w:ascii="Times New Roman" w:hAnsi="Times New Roman" w:cs="Times New Roman"/>
                <w:color w:val="auto"/>
                <w:sz w:val="24"/>
                <w:szCs w:val="24"/>
              </w:rPr>
              <w:t>t，均来自市政自来水管网。</w:t>
            </w:r>
          </w:p>
          <w:p w14:paraId="0AFE92D5">
            <w:pPr>
              <w:pStyle w:val="76"/>
              <w:keepNext/>
              <w:numPr>
                <w:ilvl w:val="0"/>
                <w:numId w:val="3"/>
              </w:numPr>
              <w:adjustRightInd w:val="0"/>
              <w:snapToGrid w:val="0"/>
              <w:spacing w:line="360" w:lineRule="auto"/>
              <w:ind w:firstLineChars="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职工生活用水</w:t>
            </w:r>
          </w:p>
          <w:p w14:paraId="3213F473">
            <w:pPr>
              <w:keepNext/>
              <w:adjustRightInd w:val="0"/>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职工生活用水主要为职工盥洗、厕所冲洗等。</w:t>
            </w:r>
            <w:r>
              <w:rPr>
                <w:rFonts w:hint="eastAsia" w:ascii="Times New Roman" w:hAnsi="Times New Roman" w:cs="Times New Roman"/>
                <w:color w:val="auto"/>
                <w:sz w:val="24"/>
                <w:szCs w:val="24"/>
                <w:lang w:eastAsia="zh-CN"/>
              </w:rPr>
              <w:t>扩建</w:t>
            </w:r>
            <w:r>
              <w:rPr>
                <w:rFonts w:hint="default" w:ascii="Times New Roman" w:hAnsi="Times New Roman" w:cs="Times New Roman"/>
                <w:color w:val="auto"/>
                <w:sz w:val="24"/>
                <w:szCs w:val="24"/>
              </w:rPr>
              <w:t>项目</w:t>
            </w:r>
            <w:r>
              <w:rPr>
                <w:rFonts w:hint="eastAsia" w:ascii="Times New Roman" w:hAnsi="Times New Roman" w:cs="Times New Roman"/>
                <w:color w:val="auto"/>
                <w:sz w:val="24"/>
                <w:szCs w:val="24"/>
                <w:lang w:eastAsia="zh-CN"/>
              </w:rPr>
              <w:t>新增</w:t>
            </w:r>
            <w:r>
              <w:rPr>
                <w:rFonts w:hint="default" w:ascii="Times New Roman" w:hAnsi="Times New Roman" w:cs="Times New Roman"/>
                <w:color w:val="auto"/>
                <w:sz w:val="24"/>
                <w:szCs w:val="24"/>
              </w:rPr>
              <w:t>职工人数为</w:t>
            </w:r>
            <w:r>
              <w:rPr>
                <w:rFonts w:hint="eastAsia" w:cs="Times New Roman"/>
                <w:color w:val="auto"/>
                <w:sz w:val="24"/>
                <w:szCs w:val="24"/>
                <w:lang w:val="en-US" w:eastAsia="zh-CN"/>
              </w:rPr>
              <w:t>120</w:t>
            </w:r>
            <w:r>
              <w:rPr>
                <w:rFonts w:hint="default" w:ascii="Times New Roman" w:hAnsi="Times New Roman" w:cs="Times New Roman"/>
                <w:color w:val="auto"/>
                <w:sz w:val="24"/>
                <w:szCs w:val="24"/>
              </w:rPr>
              <w:t>人，根据《建筑给水排水设计标准》（GB50015-2019），生活用水定额按60L每人每天，全年按300天计，职工生活用水为</w:t>
            </w:r>
            <w:r>
              <w:rPr>
                <w:rFonts w:hint="eastAsia" w:cs="Times New Roman"/>
                <w:color w:val="auto"/>
                <w:sz w:val="24"/>
                <w:szCs w:val="24"/>
                <w:lang w:val="en-US" w:eastAsia="zh-CN"/>
              </w:rPr>
              <w:t>2160</w:t>
            </w:r>
            <w:r>
              <w:rPr>
                <w:rFonts w:hint="default" w:ascii="Times New Roman" w:hAnsi="Times New Roman" w:cs="Times New Roman"/>
                <w:color w:val="auto"/>
                <w:sz w:val="24"/>
                <w:szCs w:val="24"/>
              </w:rPr>
              <w:t>t/a。</w:t>
            </w:r>
          </w:p>
          <w:p w14:paraId="1D7F4459">
            <w:pPr>
              <w:pStyle w:val="76"/>
              <w:keepNext/>
              <w:numPr>
                <w:ilvl w:val="0"/>
                <w:numId w:val="3"/>
              </w:numPr>
              <w:adjustRightInd w:val="0"/>
              <w:snapToGrid w:val="0"/>
              <w:spacing w:line="360" w:lineRule="auto"/>
              <w:ind w:firstLineChars="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食堂用水</w:t>
            </w:r>
          </w:p>
          <w:p w14:paraId="669F5024">
            <w:pPr>
              <w:keepNext/>
              <w:adjustRightInd w:val="0"/>
              <w:snapToGrid w:val="0"/>
              <w:spacing w:line="360" w:lineRule="auto"/>
              <w:ind w:firstLine="480" w:firstLineChars="200"/>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eastAsia="zh-CN"/>
              </w:rPr>
              <w:t>扩建</w:t>
            </w:r>
            <w:r>
              <w:rPr>
                <w:rFonts w:hint="default" w:ascii="Times New Roman" w:hAnsi="Times New Roman" w:cs="Times New Roman"/>
                <w:color w:val="auto"/>
                <w:sz w:val="24"/>
                <w:szCs w:val="24"/>
              </w:rPr>
              <w:t>项目</w:t>
            </w:r>
            <w:r>
              <w:rPr>
                <w:rFonts w:hint="eastAsia" w:ascii="Times New Roman" w:hAnsi="Times New Roman" w:cs="Times New Roman"/>
                <w:color w:val="auto"/>
                <w:sz w:val="24"/>
                <w:szCs w:val="24"/>
                <w:lang w:eastAsia="zh-CN"/>
              </w:rPr>
              <w:t>新增</w:t>
            </w:r>
            <w:r>
              <w:rPr>
                <w:rFonts w:hint="default" w:ascii="Times New Roman" w:hAnsi="Times New Roman" w:cs="Times New Roman"/>
                <w:color w:val="auto"/>
                <w:sz w:val="24"/>
                <w:szCs w:val="24"/>
              </w:rPr>
              <w:t>职工总人数为</w:t>
            </w:r>
            <w:r>
              <w:rPr>
                <w:rFonts w:hint="eastAsia" w:cs="Times New Roman"/>
                <w:color w:val="auto"/>
                <w:sz w:val="24"/>
                <w:szCs w:val="24"/>
                <w:lang w:val="en-US" w:eastAsia="zh-CN"/>
              </w:rPr>
              <w:t>120</w:t>
            </w:r>
            <w:r>
              <w:rPr>
                <w:rFonts w:hint="default" w:ascii="Times New Roman" w:hAnsi="Times New Roman" w:cs="Times New Roman"/>
                <w:color w:val="auto"/>
                <w:sz w:val="24"/>
                <w:szCs w:val="24"/>
              </w:rPr>
              <w:t>人，根据《建筑给水排水设计标准》（GB50015-2019），食堂用水定额按40L每人每天，全年按300天计，职工食堂餐饮用水为</w:t>
            </w:r>
            <w:r>
              <w:rPr>
                <w:rFonts w:hint="eastAsia" w:cs="Times New Roman"/>
                <w:color w:val="auto"/>
                <w:sz w:val="24"/>
                <w:szCs w:val="24"/>
                <w:lang w:val="en-US" w:eastAsia="zh-CN"/>
              </w:rPr>
              <w:t>1440</w:t>
            </w:r>
            <w:r>
              <w:rPr>
                <w:rFonts w:hint="default" w:ascii="Times New Roman" w:hAnsi="Times New Roman" w:cs="Times New Roman"/>
                <w:color w:val="auto"/>
                <w:sz w:val="24"/>
                <w:szCs w:val="24"/>
              </w:rPr>
              <w:t>t/a。</w:t>
            </w:r>
          </w:p>
          <w:p w14:paraId="4EFB00FF">
            <w:pPr>
              <w:pStyle w:val="76"/>
              <w:keepNext/>
              <w:numPr>
                <w:ilvl w:val="0"/>
                <w:numId w:val="3"/>
              </w:numPr>
              <w:adjustRightInd w:val="0"/>
              <w:snapToGrid w:val="0"/>
              <w:spacing w:line="360" w:lineRule="auto"/>
              <w:ind w:firstLineChars="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生产</w:t>
            </w:r>
            <w:r>
              <w:rPr>
                <w:rFonts w:hint="eastAsia" w:cs="Times New Roman"/>
                <w:color w:val="auto"/>
                <w:sz w:val="24"/>
                <w:szCs w:val="24"/>
                <w:lang w:eastAsia="zh-CN"/>
              </w:rPr>
              <w:t>用</w:t>
            </w:r>
            <w:r>
              <w:rPr>
                <w:rFonts w:hint="default" w:ascii="Times New Roman" w:hAnsi="Times New Roman" w:cs="Times New Roman"/>
                <w:color w:val="auto"/>
                <w:sz w:val="24"/>
                <w:szCs w:val="24"/>
              </w:rPr>
              <w:t>水</w:t>
            </w:r>
          </w:p>
          <w:p w14:paraId="4A06CB8C">
            <w:pPr>
              <w:keepNext/>
              <w:adjustRightInd w:val="0"/>
              <w:snapToGrid w:val="0"/>
              <w:spacing w:line="360" w:lineRule="auto"/>
              <w:ind w:firstLine="480" w:firstLineChars="200"/>
              <w:rPr>
                <w:rFonts w:hint="eastAsia" w:ascii="Times New Roman" w:hAnsi="Times New Roman" w:eastAsia="宋体" w:cs="Times New Roman"/>
                <w:color w:val="auto"/>
                <w:sz w:val="24"/>
                <w:szCs w:val="24"/>
                <w:lang w:eastAsia="zh-CN"/>
              </w:rPr>
            </w:pPr>
            <w:r>
              <w:rPr>
                <w:rFonts w:hint="eastAsia" w:cs="Times New Roman"/>
                <w:color w:val="auto"/>
                <w:sz w:val="24"/>
                <w:szCs w:val="24"/>
                <w:lang w:val="en-US" w:eastAsia="zh-CN"/>
              </w:rPr>
              <w:t>1.原料清洗用水：</w:t>
            </w:r>
            <w:r>
              <w:rPr>
                <w:rFonts w:hint="default" w:ascii="Times New Roman" w:hAnsi="Times New Roman" w:cs="Times New Roman"/>
                <w:color w:val="auto"/>
                <w:sz w:val="24"/>
                <w:szCs w:val="24"/>
              </w:rPr>
              <w:t>根据下文核算生产废水的产生量合计为</w:t>
            </w:r>
            <w:r>
              <w:rPr>
                <w:rFonts w:hint="eastAsia" w:cs="Times New Roman"/>
                <w:color w:val="auto"/>
                <w:sz w:val="24"/>
                <w:szCs w:val="24"/>
                <w:lang w:val="en-US" w:eastAsia="zh-CN"/>
              </w:rPr>
              <w:t>138</w:t>
            </w:r>
            <w:r>
              <w:rPr>
                <w:rFonts w:hint="eastAsia" w:ascii="Times New Roman" w:hAnsi="Times New Roman" w:cs="Times New Roman"/>
                <w:color w:val="auto"/>
                <w:sz w:val="24"/>
                <w:szCs w:val="24"/>
                <w:lang w:val="en-US" w:eastAsia="zh-CN"/>
              </w:rPr>
              <w:t>000</w:t>
            </w:r>
            <w:r>
              <w:rPr>
                <w:rFonts w:hint="default" w:ascii="Times New Roman" w:hAnsi="Times New Roman" w:cs="Times New Roman"/>
                <w:color w:val="auto"/>
                <w:sz w:val="24"/>
                <w:szCs w:val="24"/>
              </w:rPr>
              <w:t>t/a，产污系数取</w:t>
            </w:r>
            <w:r>
              <w:rPr>
                <w:rFonts w:hint="eastAsia" w:ascii="Times New Roman" w:hAnsi="Times New Roman" w:cs="Times New Roman"/>
                <w:color w:val="auto"/>
                <w:sz w:val="24"/>
                <w:szCs w:val="24"/>
                <w:lang w:val="en-US" w:eastAsia="zh-CN"/>
              </w:rPr>
              <w:t>8</w:t>
            </w:r>
            <w:r>
              <w:rPr>
                <w:rFonts w:hint="default" w:ascii="Times New Roman" w:hAnsi="Times New Roman" w:cs="Times New Roman"/>
                <w:color w:val="auto"/>
                <w:sz w:val="24"/>
                <w:szCs w:val="24"/>
              </w:rPr>
              <w:t>0%，则生产用水的量为</w:t>
            </w:r>
            <w:r>
              <w:rPr>
                <w:rFonts w:hint="eastAsia" w:cs="Times New Roman"/>
                <w:color w:val="auto"/>
                <w:sz w:val="24"/>
                <w:szCs w:val="24"/>
                <w:lang w:val="en-US" w:eastAsia="zh-CN"/>
              </w:rPr>
              <w:t>172500</w:t>
            </w:r>
            <w:r>
              <w:rPr>
                <w:rFonts w:hint="default" w:ascii="Times New Roman" w:hAnsi="Times New Roman" w:cs="Times New Roman"/>
                <w:color w:val="auto"/>
                <w:sz w:val="24"/>
                <w:szCs w:val="24"/>
              </w:rPr>
              <w:t>t/a。本项目蒸汽用量</w:t>
            </w:r>
            <w:r>
              <w:rPr>
                <w:rFonts w:hint="eastAsia" w:ascii="Times New Roman" w:hAnsi="Times New Roman" w:cs="Times New Roman"/>
                <w:color w:val="auto"/>
                <w:sz w:val="24"/>
                <w:szCs w:val="24"/>
                <w:lang w:val="en-US" w:eastAsia="zh-CN"/>
              </w:rPr>
              <w:t>9000</w:t>
            </w:r>
            <w:r>
              <w:rPr>
                <w:rFonts w:hint="default" w:ascii="Times New Roman" w:hAnsi="Times New Roman" w:cs="Times New Roman"/>
                <w:color w:val="auto"/>
                <w:sz w:val="24"/>
                <w:szCs w:val="24"/>
              </w:rPr>
              <w:t>t/a，损耗率20%，产生</w:t>
            </w:r>
            <w:r>
              <w:rPr>
                <w:rFonts w:hint="eastAsia" w:ascii="Times New Roman" w:hAnsi="Times New Roman" w:cs="Times New Roman"/>
                <w:color w:val="auto"/>
                <w:sz w:val="24"/>
                <w:szCs w:val="24"/>
                <w:lang w:val="en-US" w:eastAsia="zh-CN"/>
              </w:rPr>
              <w:t>72</w:t>
            </w:r>
            <w:r>
              <w:rPr>
                <w:rFonts w:hint="default" w:ascii="Times New Roman" w:hAnsi="Times New Roman" w:cs="Times New Roman"/>
                <w:color w:val="auto"/>
                <w:sz w:val="24"/>
                <w:szCs w:val="24"/>
              </w:rPr>
              <w:t>00t/a的蒸汽冷凝水，蒸汽冷凝水回用于生产，则生产所需要的新鲜水为</w:t>
            </w:r>
            <w:r>
              <w:rPr>
                <w:rFonts w:hint="eastAsia" w:cs="Times New Roman"/>
                <w:color w:val="auto"/>
                <w:sz w:val="24"/>
                <w:szCs w:val="24"/>
                <w:lang w:val="en-US" w:eastAsia="zh-CN"/>
              </w:rPr>
              <w:t>165300</w:t>
            </w:r>
            <w:r>
              <w:rPr>
                <w:rFonts w:hint="default" w:ascii="Times New Roman" w:hAnsi="Times New Roman" w:cs="Times New Roman"/>
                <w:color w:val="auto"/>
                <w:sz w:val="24"/>
                <w:szCs w:val="24"/>
              </w:rPr>
              <w:t>t/a。</w:t>
            </w:r>
            <w:r>
              <w:rPr>
                <w:rFonts w:hint="eastAsia" w:cs="Times New Roman"/>
                <w:color w:val="auto"/>
                <w:sz w:val="24"/>
                <w:szCs w:val="24"/>
                <w:lang w:eastAsia="zh-CN"/>
              </w:rPr>
              <w:t>生产线用水分别用于：海珍味生产线（解冻、清洗、浸泡、漂烫、冷却工序）、肉类加工生产线（解冻、杀菌工序）、海藻</w:t>
            </w:r>
            <w:r>
              <w:rPr>
                <w:rFonts w:hint="default" w:ascii="Times New Roman" w:hAnsi="Times New Roman" w:cs="Times New Roman"/>
                <w:color w:val="auto"/>
                <w:sz w:val="24"/>
                <w:szCs w:val="24"/>
              </w:rPr>
              <w:t>类</w:t>
            </w:r>
            <w:r>
              <w:rPr>
                <w:rFonts w:hint="eastAsia" w:ascii="Times New Roman" w:hAnsi="Times New Roman" w:cs="Times New Roman"/>
                <w:color w:val="auto"/>
                <w:sz w:val="24"/>
                <w:szCs w:val="24"/>
                <w:lang w:eastAsia="zh-CN"/>
              </w:rPr>
              <w:t>预制水产</w:t>
            </w:r>
            <w:r>
              <w:rPr>
                <w:rFonts w:hint="eastAsia" w:cs="Times New Roman"/>
                <w:color w:val="auto"/>
                <w:sz w:val="24"/>
                <w:szCs w:val="24"/>
                <w:lang w:eastAsia="zh-CN"/>
              </w:rPr>
              <w:t>生产线（解冻、脱盐、漂洗、脱水工序）。</w:t>
            </w:r>
          </w:p>
          <w:p w14:paraId="5673F9A6">
            <w:pPr>
              <w:keepNext/>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设备冲洗用水</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根据厂家提供资料，生产车间的设备每天冲洗一次，每次用水量18.89t，一年工作300天，则生产车间设备冲洗水为5667t/a。</w:t>
            </w:r>
          </w:p>
          <w:p w14:paraId="029328C1">
            <w:pPr>
              <w:keepNext/>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生产车间地面清洁用水</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根据厂家提供资料，本项目使用高压水枪每天冲洗生产地面一次，生产车间的面积为</w:t>
            </w:r>
            <w:r>
              <w:rPr>
                <w:rFonts w:hint="eastAsia" w:ascii="Times New Roman" w:hAnsi="Times New Roman" w:eastAsia="宋体" w:cs="Times New Roman"/>
                <w:color w:val="auto"/>
                <w:sz w:val="24"/>
                <w:szCs w:val="24"/>
                <w:lang w:val="en-US" w:eastAsia="zh-CN"/>
              </w:rPr>
              <w:t>9423</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lang w:val="en-US" w:eastAsia="zh-CN"/>
              </w:rPr>
              <w:t>，每天每平方米的用水量为0.899kg，一年工作300天，则生产车间的地面清洗用水为</w:t>
            </w:r>
            <w:r>
              <w:rPr>
                <w:rFonts w:hint="eastAsia" w:ascii="Times New Roman" w:hAnsi="Times New Roman" w:eastAsia="宋体" w:cs="Times New Roman"/>
                <w:color w:val="auto"/>
                <w:sz w:val="24"/>
                <w:szCs w:val="24"/>
                <w:lang w:val="en-US" w:eastAsia="zh-CN"/>
              </w:rPr>
              <w:t>2541</w:t>
            </w:r>
            <w:r>
              <w:rPr>
                <w:rFonts w:hint="default" w:ascii="Times New Roman" w:hAnsi="Times New Roman" w:eastAsia="宋体" w:cs="Times New Roman"/>
                <w:color w:val="auto"/>
                <w:sz w:val="24"/>
                <w:szCs w:val="24"/>
                <w:lang w:val="en-US" w:eastAsia="zh-CN"/>
              </w:rPr>
              <w:t>t/a。</w:t>
            </w:r>
          </w:p>
          <w:p w14:paraId="19945B67">
            <w:pPr>
              <w:pStyle w:val="76"/>
              <w:keepNext/>
              <w:numPr>
                <w:ilvl w:val="0"/>
                <w:numId w:val="3"/>
              </w:numPr>
              <w:adjustRightInd w:val="0"/>
              <w:snapToGrid w:val="0"/>
              <w:spacing w:line="360" w:lineRule="auto"/>
              <w:ind w:firstLineChars="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管道蒸汽</w:t>
            </w:r>
          </w:p>
          <w:p w14:paraId="261B58F7">
            <w:pPr>
              <w:keepNext/>
              <w:adjustRightInd w:val="0"/>
              <w:snapToGrid w:val="0"/>
              <w:spacing w:line="360" w:lineRule="auto"/>
              <w:ind w:firstLine="480" w:firstLineChars="200"/>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eastAsia="zh-CN"/>
              </w:rPr>
              <w:t>扩建</w:t>
            </w:r>
            <w:r>
              <w:rPr>
                <w:rFonts w:hint="default" w:ascii="Times New Roman" w:hAnsi="Times New Roman" w:cs="Times New Roman"/>
                <w:color w:val="auto"/>
                <w:sz w:val="24"/>
                <w:szCs w:val="24"/>
              </w:rPr>
              <w:t>项目在蒸煮、杀菌和炒制工序使用管道蒸汽进行间接加热，蒸汽由经济开发区的蒸汽管网提供，每年使用的蒸汽量为</w:t>
            </w:r>
            <w:r>
              <w:rPr>
                <w:rFonts w:hint="eastAsia" w:ascii="Times New Roman" w:hAnsi="Times New Roman" w:cs="Times New Roman"/>
                <w:color w:val="auto"/>
                <w:sz w:val="24"/>
                <w:szCs w:val="24"/>
                <w:lang w:val="en-US" w:eastAsia="zh-CN"/>
              </w:rPr>
              <w:t>9000</w:t>
            </w:r>
            <w:r>
              <w:rPr>
                <w:rFonts w:hint="default" w:ascii="Times New Roman" w:hAnsi="Times New Roman" w:cs="Times New Roman"/>
                <w:color w:val="auto"/>
                <w:sz w:val="24"/>
                <w:szCs w:val="24"/>
              </w:rPr>
              <w:t>t/a。</w:t>
            </w:r>
          </w:p>
          <w:p w14:paraId="6F8ADE1F">
            <w:pPr>
              <w:spacing w:line="360" w:lineRule="auto"/>
              <w:ind w:firstLine="482" w:firstLineChars="200"/>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排水</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eastAsia="zh-CN"/>
              </w:rPr>
              <w:t>扩建</w:t>
            </w:r>
            <w:r>
              <w:rPr>
                <w:rFonts w:hint="default" w:ascii="Times New Roman" w:hAnsi="Times New Roman" w:cs="Times New Roman"/>
                <w:color w:val="auto"/>
                <w:sz w:val="24"/>
                <w:szCs w:val="24"/>
              </w:rPr>
              <w:t>项目所有原辅材料均存放于车间、仓库内，因此本项目不考虑初期雨水的收集。本项目产生的废水主要有</w:t>
            </w:r>
            <w:r>
              <w:rPr>
                <w:rFonts w:hint="eastAsia" w:ascii="Times New Roman" w:hAnsi="Times New Roman" w:cs="Times New Roman"/>
                <w:color w:val="auto"/>
                <w:sz w:val="24"/>
                <w:szCs w:val="24"/>
                <w:lang w:eastAsia="zh-CN"/>
              </w:rPr>
              <w:t>新增</w:t>
            </w:r>
            <w:r>
              <w:rPr>
                <w:rFonts w:hint="default" w:ascii="Times New Roman" w:hAnsi="Times New Roman" w:cs="Times New Roman"/>
                <w:color w:val="auto"/>
                <w:sz w:val="24"/>
                <w:szCs w:val="24"/>
              </w:rPr>
              <w:t>职工生活废水、食堂废水、生产用水、设备清洗废水、生产车间地面清洁废水。</w:t>
            </w:r>
          </w:p>
          <w:p w14:paraId="2E39C75C">
            <w:pPr>
              <w:pStyle w:val="76"/>
              <w:keepNext/>
              <w:numPr>
                <w:ilvl w:val="0"/>
                <w:numId w:val="4"/>
              </w:numPr>
              <w:adjustRightInd w:val="0"/>
              <w:snapToGrid w:val="0"/>
              <w:spacing w:line="360" w:lineRule="auto"/>
              <w:ind w:firstLineChars="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职工生活废水</w:t>
            </w:r>
          </w:p>
          <w:p w14:paraId="7C339B9E">
            <w:pPr>
              <w:keepNext/>
              <w:adjustRightInd w:val="0"/>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职工生活废水主要来源于职工盥洗、厕所冲洗等。职工生活用水为</w:t>
            </w:r>
            <w:r>
              <w:rPr>
                <w:rFonts w:hint="eastAsia" w:cs="Times New Roman"/>
                <w:color w:val="auto"/>
                <w:sz w:val="24"/>
                <w:szCs w:val="24"/>
                <w:lang w:val="en-US" w:eastAsia="zh-CN"/>
              </w:rPr>
              <w:t>216</w:t>
            </w:r>
            <w:r>
              <w:rPr>
                <w:rFonts w:hint="eastAsia" w:ascii="Times New Roman" w:hAnsi="Times New Roman" w:cs="Times New Roman"/>
                <w:color w:val="auto"/>
                <w:sz w:val="24"/>
                <w:szCs w:val="24"/>
                <w:lang w:val="en-US" w:eastAsia="zh-CN"/>
              </w:rPr>
              <w:t>0</w:t>
            </w:r>
            <w:r>
              <w:rPr>
                <w:rFonts w:hint="default" w:ascii="Times New Roman" w:hAnsi="Times New Roman" w:cs="Times New Roman"/>
                <w:color w:val="auto"/>
                <w:sz w:val="24"/>
                <w:szCs w:val="24"/>
              </w:rPr>
              <w:t>t/a，排水系数以0.8计，则职工生活废水排水量为</w:t>
            </w:r>
            <w:r>
              <w:rPr>
                <w:rFonts w:hint="eastAsia" w:cs="Times New Roman"/>
                <w:color w:val="auto"/>
                <w:sz w:val="24"/>
                <w:szCs w:val="24"/>
                <w:lang w:val="en-US" w:eastAsia="zh-CN"/>
              </w:rPr>
              <w:t>1728</w:t>
            </w:r>
            <w:r>
              <w:rPr>
                <w:rFonts w:hint="default" w:ascii="Times New Roman" w:hAnsi="Times New Roman" w:cs="Times New Roman"/>
                <w:color w:val="auto"/>
                <w:sz w:val="24"/>
                <w:szCs w:val="24"/>
              </w:rPr>
              <w:t>t/a。生活废水经化粪池处理后排入厂区污水处理站，经污水处理站处理达标后接管至涟水经济开发区西区污水处理厂。</w:t>
            </w:r>
          </w:p>
          <w:p w14:paraId="03F250B2">
            <w:pPr>
              <w:pStyle w:val="76"/>
              <w:keepNext/>
              <w:numPr>
                <w:ilvl w:val="0"/>
                <w:numId w:val="4"/>
              </w:numPr>
              <w:adjustRightInd w:val="0"/>
              <w:snapToGrid w:val="0"/>
              <w:spacing w:line="360" w:lineRule="auto"/>
              <w:ind w:firstLineChars="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食堂废水</w:t>
            </w:r>
          </w:p>
          <w:p w14:paraId="42A36ED2">
            <w:pPr>
              <w:keepNext/>
              <w:adjustRightInd w:val="0"/>
              <w:snapToGrid w:val="0"/>
              <w:spacing w:line="360" w:lineRule="auto"/>
              <w:ind w:firstLine="480" w:firstLineChars="200"/>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eastAsia="zh-CN"/>
              </w:rPr>
              <w:t>扩建</w:t>
            </w:r>
            <w:r>
              <w:rPr>
                <w:rFonts w:hint="default" w:ascii="Times New Roman" w:hAnsi="Times New Roman" w:cs="Times New Roman"/>
                <w:color w:val="auto"/>
                <w:sz w:val="24"/>
                <w:szCs w:val="24"/>
              </w:rPr>
              <w:t>项目职工食堂餐饮用水为</w:t>
            </w:r>
            <w:r>
              <w:rPr>
                <w:rFonts w:hint="eastAsia" w:cs="Times New Roman"/>
                <w:color w:val="auto"/>
                <w:sz w:val="24"/>
                <w:szCs w:val="24"/>
                <w:lang w:val="en-US" w:eastAsia="zh-CN"/>
              </w:rPr>
              <w:t>1440</w:t>
            </w:r>
            <w:r>
              <w:rPr>
                <w:rFonts w:hint="default" w:ascii="Times New Roman" w:hAnsi="Times New Roman" w:cs="Times New Roman"/>
                <w:color w:val="auto"/>
                <w:sz w:val="24"/>
                <w:szCs w:val="24"/>
              </w:rPr>
              <w:t>t/a，排水系数以0.8计，则餐饮废水排放量为</w:t>
            </w:r>
            <w:r>
              <w:rPr>
                <w:rFonts w:hint="eastAsia" w:cs="Times New Roman"/>
                <w:color w:val="auto"/>
                <w:sz w:val="24"/>
                <w:szCs w:val="24"/>
                <w:lang w:val="en-US" w:eastAsia="zh-CN"/>
              </w:rPr>
              <w:t>1152</w:t>
            </w:r>
            <w:r>
              <w:rPr>
                <w:rFonts w:hint="default" w:ascii="Times New Roman" w:hAnsi="Times New Roman" w:cs="Times New Roman"/>
                <w:color w:val="auto"/>
                <w:sz w:val="24"/>
                <w:szCs w:val="24"/>
              </w:rPr>
              <w:t>t/a。餐饮废水经隔油池处理后排入厂区污水处理站，经污水处理站处理达标后接管至涟水经济开发区西区污水处理厂。</w:t>
            </w:r>
          </w:p>
          <w:p w14:paraId="48331F88">
            <w:pPr>
              <w:pStyle w:val="76"/>
              <w:keepNext/>
              <w:numPr>
                <w:ilvl w:val="0"/>
                <w:numId w:val="4"/>
              </w:numPr>
              <w:adjustRightInd w:val="0"/>
              <w:snapToGrid w:val="0"/>
              <w:spacing w:line="360" w:lineRule="auto"/>
              <w:ind w:firstLineChars="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生产废水</w:t>
            </w:r>
          </w:p>
          <w:p w14:paraId="51C14519">
            <w:pPr>
              <w:keepNext/>
              <w:adjustRightInd w:val="0"/>
              <w:snapToGrid w:val="0"/>
              <w:spacing w:line="360" w:lineRule="auto"/>
              <w:ind w:firstLine="480" w:firstLineChars="200"/>
              <w:rPr>
                <w:rFonts w:hint="default" w:ascii="Times New Roman" w:hAnsi="Times New Roman" w:cs="Times New Roman"/>
                <w:color w:val="auto"/>
                <w:sz w:val="24"/>
                <w:szCs w:val="24"/>
              </w:rPr>
            </w:pPr>
            <w:r>
              <w:rPr>
                <w:rFonts w:hint="eastAsia" w:cs="Times New Roman"/>
                <w:color w:val="auto"/>
                <w:sz w:val="24"/>
                <w:szCs w:val="24"/>
                <w:lang w:val="en-US" w:eastAsia="zh-CN"/>
              </w:rPr>
              <w:t>1.清洗废水：</w:t>
            </w:r>
            <w:r>
              <w:rPr>
                <w:rFonts w:hint="default" w:ascii="Times New Roman" w:hAnsi="Times New Roman" w:cs="Times New Roman"/>
                <w:color w:val="auto"/>
                <w:sz w:val="24"/>
                <w:szCs w:val="24"/>
              </w:rPr>
              <w:t>海珍味类</w:t>
            </w:r>
            <w:r>
              <w:rPr>
                <w:rFonts w:hint="eastAsia" w:ascii="Times New Roman" w:hAnsi="Times New Roman" w:cs="Times New Roman"/>
                <w:color w:val="auto"/>
                <w:sz w:val="24"/>
                <w:szCs w:val="24"/>
                <w:lang w:eastAsia="zh-CN"/>
              </w:rPr>
              <w:t>预制水产</w:t>
            </w:r>
            <w:r>
              <w:rPr>
                <w:rFonts w:hint="eastAsia" w:cs="Times New Roman"/>
                <w:color w:val="auto"/>
                <w:sz w:val="24"/>
                <w:szCs w:val="24"/>
                <w:lang w:eastAsia="zh-CN"/>
              </w:rPr>
              <w:t>根据企业在大连公司盖世食品股份有限公司生产经验及类比同行业数据：解冻、清洗、浸泡、漂烫、冷却工序</w:t>
            </w:r>
            <w:r>
              <w:rPr>
                <w:rFonts w:hint="default" w:ascii="Times New Roman" w:hAnsi="Times New Roman" w:cs="Times New Roman"/>
                <w:color w:val="auto"/>
                <w:sz w:val="24"/>
                <w:szCs w:val="24"/>
              </w:rPr>
              <w:t>废水</w:t>
            </w:r>
            <w:r>
              <w:rPr>
                <w:rFonts w:hint="eastAsia" w:cs="Times New Roman"/>
                <w:color w:val="auto"/>
                <w:sz w:val="24"/>
                <w:szCs w:val="24"/>
                <w:lang w:eastAsia="zh-CN"/>
              </w:rPr>
              <w:t>一天产生量约</w:t>
            </w:r>
            <w:r>
              <w:rPr>
                <w:rFonts w:hint="eastAsia" w:cs="Times New Roman"/>
                <w:color w:val="auto"/>
                <w:sz w:val="24"/>
                <w:szCs w:val="24"/>
                <w:lang w:val="en-US" w:eastAsia="zh-CN"/>
              </w:rPr>
              <w:t>200t/d，则企业海珍味</w:t>
            </w:r>
            <w:r>
              <w:rPr>
                <w:rFonts w:hint="default" w:ascii="Times New Roman" w:hAnsi="Times New Roman" w:cs="Times New Roman"/>
                <w:color w:val="auto"/>
                <w:sz w:val="24"/>
                <w:szCs w:val="24"/>
              </w:rPr>
              <w:t>类</w:t>
            </w:r>
            <w:r>
              <w:rPr>
                <w:rFonts w:hint="eastAsia" w:ascii="Times New Roman" w:hAnsi="Times New Roman" w:cs="Times New Roman"/>
                <w:color w:val="auto"/>
                <w:sz w:val="24"/>
                <w:szCs w:val="24"/>
                <w:lang w:eastAsia="zh-CN"/>
              </w:rPr>
              <w:t>预制水产</w:t>
            </w:r>
            <w:r>
              <w:rPr>
                <w:rFonts w:hint="eastAsia" w:cs="Times New Roman"/>
                <w:color w:val="auto"/>
                <w:sz w:val="24"/>
                <w:szCs w:val="24"/>
                <w:lang w:eastAsia="zh-CN"/>
              </w:rPr>
              <w:t>工业废水量约</w:t>
            </w:r>
            <w:r>
              <w:rPr>
                <w:rFonts w:hint="eastAsia" w:cs="Times New Roman"/>
                <w:color w:val="auto"/>
                <w:sz w:val="24"/>
                <w:szCs w:val="24"/>
                <w:lang w:val="en-US" w:eastAsia="zh-CN"/>
              </w:rPr>
              <w:t>60000t/a；</w:t>
            </w:r>
            <w:r>
              <w:rPr>
                <w:rFonts w:hint="eastAsia" w:cs="Times New Roman"/>
                <w:color w:val="auto"/>
                <w:sz w:val="24"/>
                <w:szCs w:val="24"/>
                <w:lang w:eastAsia="zh-CN"/>
              </w:rPr>
              <w:t>海藻</w:t>
            </w:r>
            <w:r>
              <w:rPr>
                <w:rFonts w:hint="default" w:ascii="Times New Roman" w:hAnsi="Times New Roman" w:cs="Times New Roman"/>
                <w:color w:val="auto"/>
                <w:sz w:val="24"/>
                <w:szCs w:val="24"/>
              </w:rPr>
              <w:t>类</w:t>
            </w:r>
            <w:r>
              <w:rPr>
                <w:rFonts w:hint="eastAsia" w:ascii="Times New Roman" w:hAnsi="Times New Roman" w:cs="Times New Roman"/>
                <w:color w:val="auto"/>
                <w:sz w:val="24"/>
                <w:szCs w:val="24"/>
                <w:lang w:eastAsia="zh-CN"/>
              </w:rPr>
              <w:t>预制水产</w:t>
            </w:r>
            <w:r>
              <w:rPr>
                <w:rFonts w:hint="eastAsia" w:cs="Times New Roman"/>
                <w:color w:val="auto"/>
                <w:sz w:val="24"/>
                <w:szCs w:val="24"/>
                <w:lang w:eastAsia="zh-CN"/>
              </w:rPr>
              <w:t>根据企业在大连公司盖世食品股份有限公司生产经验及类比同行业数据：解冻、脱盐、漂洗、脱水工序</w:t>
            </w:r>
            <w:r>
              <w:rPr>
                <w:rFonts w:hint="default" w:ascii="Times New Roman" w:hAnsi="Times New Roman" w:cs="Times New Roman"/>
                <w:color w:val="auto"/>
                <w:sz w:val="24"/>
                <w:szCs w:val="24"/>
              </w:rPr>
              <w:t>废水</w:t>
            </w:r>
            <w:r>
              <w:rPr>
                <w:rFonts w:hint="eastAsia" w:cs="Times New Roman"/>
                <w:color w:val="auto"/>
                <w:sz w:val="24"/>
                <w:szCs w:val="24"/>
                <w:lang w:eastAsia="zh-CN"/>
              </w:rPr>
              <w:t>一天产生量约</w:t>
            </w:r>
            <w:r>
              <w:rPr>
                <w:rFonts w:hint="eastAsia" w:cs="Times New Roman"/>
                <w:color w:val="auto"/>
                <w:sz w:val="24"/>
                <w:szCs w:val="24"/>
                <w:lang w:val="en-US" w:eastAsia="zh-CN"/>
              </w:rPr>
              <w:t>160t/d，则企业</w:t>
            </w:r>
            <w:r>
              <w:rPr>
                <w:rFonts w:hint="eastAsia" w:cs="Times New Roman"/>
                <w:color w:val="auto"/>
                <w:sz w:val="24"/>
                <w:szCs w:val="24"/>
                <w:lang w:eastAsia="zh-CN"/>
              </w:rPr>
              <w:t>海藻</w:t>
            </w:r>
            <w:r>
              <w:rPr>
                <w:rFonts w:hint="default" w:ascii="Times New Roman" w:hAnsi="Times New Roman" w:cs="Times New Roman"/>
                <w:color w:val="auto"/>
                <w:sz w:val="24"/>
                <w:szCs w:val="24"/>
              </w:rPr>
              <w:t>类</w:t>
            </w:r>
            <w:r>
              <w:rPr>
                <w:rFonts w:hint="eastAsia" w:ascii="Times New Roman" w:hAnsi="Times New Roman" w:cs="Times New Roman"/>
                <w:color w:val="auto"/>
                <w:sz w:val="24"/>
                <w:szCs w:val="24"/>
                <w:lang w:eastAsia="zh-CN"/>
              </w:rPr>
              <w:t>预制水产</w:t>
            </w:r>
            <w:r>
              <w:rPr>
                <w:rFonts w:hint="eastAsia" w:cs="Times New Roman"/>
                <w:color w:val="auto"/>
                <w:sz w:val="24"/>
                <w:szCs w:val="24"/>
                <w:lang w:eastAsia="zh-CN"/>
              </w:rPr>
              <w:t>工业废水量约</w:t>
            </w:r>
            <w:r>
              <w:rPr>
                <w:rFonts w:hint="eastAsia" w:cs="Times New Roman"/>
                <w:color w:val="auto"/>
                <w:sz w:val="24"/>
                <w:szCs w:val="24"/>
                <w:lang w:val="en-US" w:eastAsia="zh-CN"/>
              </w:rPr>
              <w:t>48000t/a；</w:t>
            </w:r>
            <w:r>
              <w:rPr>
                <w:rFonts w:hint="eastAsia" w:cs="Times New Roman"/>
                <w:color w:val="auto"/>
                <w:sz w:val="24"/>
                <w:szCs w:val="24"/>
                <w:lang w:eastAsia="zh-CN"/>
              </w:rPr>
              <w:t>冷冻牛肉根据企业在大连公司盖世食品股份有限公司生产经验及类比同行业数据：解冻、杀菌工序</w:t>
            </w:r>
            <w:r>
              <w:rPr>
                <w:rFonts w:hint="default" w:ascii="Times New Roman" w:hAnsi="Times New Roman" w:cs="Times New Roman"/>
                <w:color w:val="auto"/>
                <w:sz w:val="24"/>
                <w:szCs w:val="24"/>
              </w:rPr>
              <w:t>废水</w:t>
            </w:r>
            <w:r>
              <w:rPr>
                <w:rFonts w:hint="eastAsia" w:cs="Times New Roman"/>
                <w:color w:val="auto"/>
                <w:sz w:val="24"/>
                <w:szCs w:val="24"/>
                <w:lang w:eastAsia="zh-CN"/>
              </w:rPr>
              <w:t>一天产生量约</w:t>
            </w:r>
            <w:r>
              <w:rPr>
                <w:rFonts w:hint="eastAsia" w:cs="Times New Roman"/>
                <w:color w:val="auto"/>
                <w:sz w:val="24"/>
                <w:szCs w:val="24"/>
                <w:lang w:val="en-US" w:eastAsia="zh-CN"/>
              </w:rPr>
              <w:t>100t/d，则企业</w:t>
            </w:r>
            <w:r>
              <w:rPr>
                <w:rFonts w:hint="eastAsia" w:cs="Times New Roman"/>
                <w:color w:val="auto"/>
                <w:sz w:val="24"/>
                <w:szCs w:val="24"/>
                <w:lang w:eastAsia="zh-CN"/>
              </w:rPr>
              <w:t>冷冻牛肉工业废水量约</w:t>
            </w:r>
            <w:r>
              <w:rPr>
                <w:rFonts w:hint="eastAsia" w:cs="Times New Roman"/>
                <w:color w:val="auto"/>
                <w:sz w:val="24"/>
                <w:szCs w:val="24"/>
                <w:lang w:val="en-US" w:eastAsia="zh-CN"/>
              </w:rPr>
              <w:t>30000t/a</w:t>
            </w:r>
            <w:r>
              <w:rPr>
                <w:rFonts w:hint="default" w:ascii="Times New Roman" w:hAnsi="Times New Roman" w:cs="Times New Roman"/>
                <w:color w:val="auto"/>
                <w:sz w:val="24"/>
                <w:szCs w:val="24"/>
              </w:rPr>
              <w:t>。因此，生产废水合计为</w:t>
            </w:r>
            <w:r>
              <w:rPr>
                <w:rFonts w:hint="eastAsia" w:cs="Times New Roman"/>
                <w:color w:val="auto"/>
                <w:sz w:val="24"/>
                <w:szCs w:val="24"/>
                <w:lang w:val="en-US" w:eastAsia="zh-CN"/>
              </w:rPr>
              <w:t>138</w:t>
            </w:r>
            <w:r>
              <w:rPr>
                <w:rFonts w:hint="eastAsia" w:ascii="Times New Roman" w:hAnsi="Times New Roman" w:cs="Times New Roman"/>
                <w:color w:val="auto"/>
                <w:sz w:val="24"/>
                <w:szCs w:val="24"/>
                <w:lang w:val="en-US" w:eastAsia="zh-CN"/>
              </w:rPr>
              <w:t>000</w:t>
            </w:r>
            <w:r>
              <w:rPr>
                <w:rFonts w:hint="default" w:ascii="Times New Roman" w:hAnsi="Times New Roman" w:cs="Times New Roman"/>
                <w:color w:val="auto"/>
                <w:sz w:val="24"/>
                <w:szCs w:val="24"/>
              </w:rPr>
              <w:t>t/a。</w:t>
            </w:r>
          </w:p>
          <w:p w14:paraId="78B744CA">
            <w:pPr>
              <w:pStyle w:val="76"/>
              <w:keepNext/>
              <w:numPr>
                <w:ilvl w:val="0"/>
                <w:numId w:val="0"/>
              </w:numPr>
              <w:adjustRightInd w:val="0"/>
              <w:snapToGrid w:val="0"/>
              <w:spacing w:line="360" w:lineRule="auto"/>
              <w:ind w:left="480" w:leftChars="0"/>
              <w:jc w:val="both"/>
              <w:rPr>
                <w:rFonts w:hint="default" w:ascii="Times New Roman" w:hAnsi="Times New Roman" w:cs="Times New Roman"/>
                <w:color w:val="auto"/>
                <w:sz w:val="24"/>
                <w:szCs w:val="24"/>
              </w:rPr>
            </w:pPr>
            <w:r>
              <w:rPr>
                <w:rFonts w:hint="eastAsia" w:cs="Times New Roman"/>
                <w:color w:val="auto"/>
                <w:sz w:val="24"/>
                <w:szCs w:val="24"/>
                <w:lang w:val="en-US" w:eastAsia="zh-CN"/>
              </w:rPr>
              <w:t>2.</w:t>
            </w:r>
            <w:r>
              <w:rPr>
                <w:rFonts w:hint="default" w:ascii="Times New Roman" w:hAnsi="Times New Roman" w:cs="Times New Roman"/>
                <w:color w:val="auto"/>
                <w:sz w:val="24"/>
                <w:szCs w:val="24"/>
              </w:rPr>
              <w:t>设备冲洗废水</w:t>
            </w:r>
          </w:p>
          <w:p w14:paraId="0B917F92">
            <w:pPr>
              <w:keepNext/>
              <w:adjustRightInd w:val="0"/>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根据厂家提供资料</w:t>
            </w:r>
            <w:r>
              <w:rPr>
                <w:rFonts w:hint="eastAsia" w:cs="Times New Roman"/>
                <w:color w:val="auto"/>
                <w:sz w:val="24"/>
                <w:szCs w:val="24"/>
                <w:lang w:eastAsia="zh-CN"/>
              </w:rPr>
              <w:t>及企业现有已批已验“</w:t>
            </w:r>
            <w:r>
              <w:rPr>
                <w:rFonts w:hint="eastAsia" w:ascii="Times New Roman" w:hAnsi="Times New Roman" w:cs="Times New Roman"/>
                <w:color w:val="auto"/>
                <w:sz w:val="24"/>
                <w:szCs w:val="24"/>
              </w:rPr>
              <w:t>年产1.5万吨预制凉菜智能制造（加工）项目、研发及检测中心建设项目</w:t>
            </w:r>
            <w:r>
              <w:rPr>
                <w:rFonts w:hint="eastAsia" w:ascii="Times New Roman" w:hAnsi="Times New Roman" w:cs="Times New Roman"/>
                <w:color w:val="auto"/>
                <w:sz w:val="24"/>
                <w:szCs w:val="24"/>
                <w:lang w:eastAsia="zh-CN"/>
              </w:rPr>
              <w:t>”</w:t>
            </w:r>
            <w:r>
              <w:rPr>
                <w:rFonts w:hint="eastAsia" w:cs="Times New Roman"/>
                <w:color w:val="auto"/>
                <w:sz w:val="24"/>
                <w:szCs w:val="24"/>
                <w:lang w:eastAsia="zh-CN"/>
              </w:rPr>
              <w:t>中描述：</w:t>
            </w:r>
            <w:r>
              <w:rPr>
                <w:rFonts w:hint="eastAsia"/>
                <w:color w:val="auto"/>
                <w:sz w:val="24"/>
                <w:lang w:eastAsia="zh-CN"/>
              </w:rPr>
              <w:t>“</w:t>
            </w:r>
            <w:r>
              <w:rPr>
                <w:color w:val="auto"/>
                <w:sz w:val="24"/>
              </w:rPr>
              <w:t>生产车间设备冲洗用水为5667t/a，废水量按照90%计</w:t>
            </w:r>
            <w:r>
              <w:rPr>
                <w:rFonts w:hint="eastAsia"/>
                <w:color w:val="auto"/>
                <w:sz w:val="24"/>
                <w:lang w:eastAsia="zh-CN"/>
              </w:rPr>
              <w:t>”</w:t>
            </w:r>
            <w:r>
              <w:rPr>
                <w:rFonts w:hint="default" w:ascii="Times New Roman" w:hAnsi="Times New Roman" w:cs="Times New Roman"/>
                <w:color w:val="auto"/>
                <w:sz w:val="24"/>
                <w:szCs w:val="24"/>
              </w:rPr>
              <w:t>，</w:t>
            </w:r>
            <w:r>
              <w:rPr>
                <w:rFonts w:hint="eastAsia" w:cs="Times New Roman"/>
                <w:color w:val="auto"/>
                <w:sz w:val="24"/>
                <w:szCs w:val="24"/>
                <w:lang w:eastAsia="zh-CN"/>
              </w:rPr>
              <w:t>因此本项目类比现有项目，扩建项目</w:t>
            </w:r>
            <w:r>
              <w:rPr>
                <w:rFonts w:hint="default" w:ascii="Times New Roman" w:hAnsi="Times New Roman" w:cs="Times New Roman"/>
                <w:color w:val="auto"/>
                <w:sz w:val="24"/>
                <w:szCs w:val="24"/>
              </w:rPr>
              <w:t>生产车间设备冲洗用水为5667t/a，废水量按照90%计，则设备冲洗产生的废水量为5100t/a。设备冲洗废水经隔油池处理后排入厂区污水处理站，经污水处理站处理达标后接管至涟水经济开发区西区污水处理厂。</w:t>
            </w:r>
          </w:p>
          <w:p w14:paraId="53228ACE">
            <w:pPr>
              <w:pStyle w:val="76"/>
              <w:keepNext/>
              <w:numPr>
                <w:ilvl w:val="0"/>
                <w:numId w:val="0"/>
              </w:numPr>
              <w:adjustRightInd w:val="0"/>
              <w:snapToGrid w:val="0"/>
              <w:spacing w:line="360" w:lineRule="auto"/>
              <w:ind w:left="480" w:leftChars="0"/>
              <w:jc w:val="both"/>
              <w:rPr>
                <w:rFonts w:hint="default" w:ascii="Times New Roman" w:hAnsi="Times New Roman" w:cs="Times New Roman"/>
                <w:color w:val="auto"/>
                <w:sz w:val="24"/>
                <w:szCs w:val="24"/>
              </w:rPr>
            </w:pPr>
            <w:r>
              <w:rPr>
                <w:rFonts w:hint="eastAsia" w:cs="Times New Roman"/>
                <w:color w:val="auto"/>
                <w:sz w:val="24"/>
                <w:szCs w:val="24"/>
                <w:lang w:val="en-US" w:eastAsia="zh-CN"/>
              </w:rPr>
              <w:t>3.</w:t>
            </w:r>
            <w:r>
              <w:rPr>
                <w:rFonts w:hint="default" w:ascii="Times New Roman" w:hAnsi="Times New Roman" w:cs="Times New Roman"/>
                <w:color w:val="auto"/>
                <w:sz w:val="24"/>
                <w:szCs w:val="24"/>
              </w:rPr>
              <w:t>生产车间地面清洁废水</w:t>
            </w:r>
          </w:p>
          <w:p w14:paraId="30C7CE53">
            <w:pPr>
              <w:keepNext/>
              <w:adjustRightInd w:val="0"/>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根据厂家提供资料</w:t>
            </w:r>
            <w:r>
              <w:rPr>
                <w:rFonts w:hint="eastAsia" w:cs="Times New Roman"/>
                <w:color w:val="auto"/>
                <w:sz w:val="24"/>
                <w:szCs w:val="24"/>
                <w:lang w:eastAsia="zh-CN"/>
              </w:rPr>
              <w:t>及企业现有已批已验“</w:t>
            </w:r>
            <w:r>
              <w:rPr>
                <w:rFonts w:hint="eastAsia" w:ascii="Times New Roman" w:hAnsi="Times New Roman" w:cs="Times New Roman"/>
                <w:color w:val="auto"/>
                <w:sz w:val="24"/>
                <w:szCs w:val="24"/>
              </w:rPr>
              <w:t>年产1.5万吨预制凉菜智能制造（加工）项目、研发及检测中心建设项目</w:t>
            </w:r>
            <w:r>
              <w:rPr>
                <w:rFonts w:hint="eastAsia" w:ascii="Times New Roman" w:hAnsi="Times New Roman" w:cs="Times New Roman"/>
                <w:color w:val="auto"/>
                <w:sz w:val="24"/>
                <w:szCs w:val="24"/>
                <w:lang w:eastAsia="zh-CN"/>
              </w:rPr>
              <w:t>”</w:t>
            </w:r>
            <w:r>
              <w:rPr>
                <w:rFonts w:hint="eastAsia" w:cs="Times New Roman"/>
                <w:color w:val="auto"/>
                <w:sz w:val="24"/>
                <w:szCs w:val="24"/>
                <w:lang w:eastAsia="zh-CN"/>
              </w:rPr>
              <w:t>中描述：</w:t>
            </w:r>
            <w:r>
              <w:rPr>
                <w:rFonts w:hint="eastAsia"/>
                <w:color w:val="auto"/>
                <w:sz w:val="24"/>
                <w:lang w:eastAsia="zh-CN"/>
              </w:rPr>
              <w:t>“</w:t>
            </w:r>
            <w:r>
              <w:rPr>
                <w:color w:val="auto"/>
                <w:sz w:val="24"/>
              </w:rPr>
              <w:t>生产车间地面清洗用水为2833t/a，废水量按照90%计</w:t>
            </w:r>
            <w:r>
              <w:rPr>
                <w:rFonts w:hint="eastAsia"/>
                <w:color w:val="auto"/>
                <w:sz w:val="24"/>
                <w:lang w:eastAsia="zh-CN"/>
              </w:rPr>
              <w:t>”</w:t>
            </w:r>
            <w:r>
              <w:rPr>
                <w:rFonts w:hint="default" w:ascii="Times New Roman" w:hAnsi="Times New Roman" w:cs="Times New Roman"/>
                <w:color w:val="auto"/>
                <w:sz w:val="24"/>
                <w:szCs w:val="24"/>
              </w:rPr>
              <w:t>，</w:t>
            </w:r>
            <w:r>
              <w:rPr>
                <w:rFonts w:hint="eastAsia" w:cs="Times New Roman"/>
                <w:color w:val="auto"/>
                <w:sz w:val="24"/>
                <w:szCs w:val="24"/>
                <w:lang w:eastAsia="zh-CN"/>
              </w:rPr>
              <w:t>因此本项目类比现有项目</w:t>
            </w:r>
            <w:r>
              <w:rPr>
                <w:rFonts w:hint="default" w:ascii="Times New Roman" w:hAnsi="Times New Roman" w:cs="Times New Roman"/>
                <w:color w:val="auto"/>
                <w:sz w:val="24"/>
                <w:szCs w:val="24"/>
              </w:rPr>
              <w:t>，生产车间地面清洗用水为2833t/a，废水量按照90%计，则地面清洗产生的废水量为2550t/a。生产车间地面清洁废水排入厂区污水处理站，经污水处理站处理达标后接管至涟水经济开发区西区污水处理厂。</w:t>
            </w:r>
          </w:p>
          <w:p w14:paraId="167916EF">
            <w:pPr>
              <w:pStyle w:val="76"/>
              <w:keepNext/>
              <w:numPr>
                <w:ilvl w:val="0"/>
                <w:numId w:val="4"/>
              </w:numPr>
              <w:adjustRightInd w:val="0"/>
              <w:snapToGrid w:val="0"/>
              <w:spacing w:line="360" w:lineRule="auto"/>
              <w:ind w:firstLineChars="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蒸汽冷凝水</w:t>
            </w:r>
          </w:p>
          <w:p w14:paraId="4617E107">
            <w:pPr>
              <w:keepNext/>
              <w:adjustRightInd w:val="0"/>
              <w:snapToGrid w:val="0"/>
              <w:spacing w:line="360" w:lineRule="auto"/>
              <w:ind w:firstLine="480" w:firstLineChars="200"/>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eastAsia="zh-CN"/>
              </w:rPr>
              <w:t>扩建</w:t>
            </w:r>
            <w:r>
              <w:rPr>
                <w:rFonts w:hint="default" w:ascii="Times New Roman" w:hAnsi="Times New Roman" w:cs="Times New Roman"/>
                <w:color w:val="auto"/>
                <w:sz w:val="24"/>
                <w:szCs w:val="24"/>
              </w:rPr>
              <w:t>项目在蒸煮、杀菌和炒制工序使用管道蒸汽进行间接加热，每年使用的蒸汽量为</w:t>
            </w:r>
            <w:r>
              <w:rPr>
                <w:rFonts w:hint="eastAsia" w:ascii="Times New Roman" w:hAnsi="Times New Roman" w:cs="Times New Roman"/>
                <w:color w:val="auto"/>
                <w:sz w:val="24"/>
                <w:szCs w:val="24"/>
                <w:lang w:val="en-US" w:eastAsia="zh-CN"/>
              </w:rPr>
              <w:t>9000</w:t>
            </w:r>
            <w:r>
              <w:rPr>
                <w:rFonts w:hint="default" w:ascii="Times New Roman" w:hAnsi="Times New Roman" w:cs="Times New Roman"/>
                <w:color w:val="auto"/>
                <w:sz w:val="24"/>
                <w:szCs w:val="24"/>
              </w:rPr>
              <w:t>t。蒸汽冷凝水量按80%计，则产生的冷凝水量为</w:t>
            </w:r>
            <w:r>
              <w:rPr>
                <w:rFonts w:hint="eastAsia" w:ascii="Times New Roman" w:hAnsi="Times New Roman" w:cs="Times New Roman"/>
                <w:color w:val="auto"/>
                <w:sz w:val="24"/>
                <w:szCs w:val="24"/>
                <w:lang w:val="en-US" w:eastAsia="zh-CN"/>
              </w:rPr>
              <w:t>72</w:t>
            </w:r>
            <w:r>
              <w:rPr>
                <w:rFonts w:hint="default" w:ascii="Times New Roman" w:hAnsi="Times New Roman" w:cs="Times New Roman"/>
                <w:color w:val="auto"/>
                <w:sz w:val="24"/>
                <w:szCs w:val="24"/>
              </w:rPr>
              <w:t>00t/a。蒸汽产生的冷凝水回用于生产。</w:t>
            </w:r>
          </w:p>
          <w:p w14:paraId="5B42DA66">
            <w:pPr>
              <w:pStyle w:val="40"/>
              <w:spacing w:line="360" w:lineRule="auto"/>
              <w:ind w:left="0" w:leftChars="0" w:firstLine="480" w:firstLineChars="200"/>
              <w:rPr>
                <w:rFonts w:hint="eastAsia" w:ascii="Times New Roman" w:hAnsi="Times New Roman" w:eastAsia="宋体" w:cs="Times New Roman"/>
                <w:b w:val="0"/>
                <w:bCs w:val="0"/>
                <w:color w:val="auto"/>
                <w:kern w:val="2"/>
                <w:sz w:val="24"/>
                <w:szCs w:val="24"/>
                <w:lang w:val="en-US" w:eastAsia="zh-CN" w:bidi="ar-SA"/>
              </w:rPr>
            </w:pPr>
          </w:p>
          <w:p w14:paraId="06306CC2">
            <w:pPr>
              <w:pStyle w:val="40"/>
              <w:spacing w:line="360" w:lineRule="auto"/>
              <w:ind w:left="0" w:leftChars="0" w:firstLine="0" w:firstLineChars="0"/>
              <w:rPr>
                <w:rFonts w:ascii="Times New Roman" w:hAnsi="Times New Roman" w:eastAsia="宋体" w:cs="Times New Roman"/>
                <w:b w:val="0"/>
                <w:bCs/>
                <w:color w:val="auto"/>
              </w:rPr>
            </w:pPr>
            <w:r>
              <w:rPr>
                <w:rFonts w:ascii="Times New Roman" w:hAnsi="Times New Roman" w:eastAsia="宋体" w:cs="Times New Roman"/>
                <w:b w:val="0"/>
                <w:bCs/>
                <w:color w:val="auto"/>
              </w:rPr>
              <w:object>
                <v:shape id="_x0000_i1025" o:spt="75" type="#_x0000_t75" style="height:271.15pt;width:420.9pt;" o:ole="t" filled="f" o:preferrelative="t" stroked="f" coordsize="21600,21600">
                  <v:path/>
                  <v:fill on="f" focussize="0,0"/>
                  <v:stroke on="f"/>
                  <v:imagedata r:id="rId12" o:title=""/>
                  <o:lock v:ext="edit" aspectratio="f"/>
                  <w10:wrap type="none"/>
                  <w10:anchorlock/>
                </v:shape>
                <o:OLEObject Type="Embed" ProgID="Visio.Drawing.15" ShapeID="_x0000_i1025" DrawAspect="Content" ObjectID="_1468075725" r:id="rId11">
                  <o:LockedField>false</o:LockedField>
                </o:OLEObject>
              </w:object>
            </w:r>
          </w:p>
          <w:p w14:paraId="22DF35DE">
            <w:pPr>
              <w:adjustRightInd w:val="0"/>
              <w:snapToGrid w:val="0"/>
              <w:spacing w:line="360" w:lineRule="auto"/>
              <w:jc w:val="center"/>
              <w:rPr>
                <w:color w:val="auto"/>
                <w:sz w:val="20"/>
                <w:szCs w:val="20"/>
              </w:rPr>
            </w:pPr>
            <w:r>
              <w:rPr>
                <w:rFonts w:hAnsi="宋体"/>
                <w:b/>
                <w:color w:val="auto"/>
                <w:sz w:val="24"/>
              </w:rPr>
              <w:t>图</w:t>
            </w:r>
            <w:r>
              <w:rPr>
                <w:b/>
                <w:color w:val="auto"/>
                <w:sz w:val="24"/>
              </w:rPr>
              <w:t>2-1</w:t>
            </w:r>
            <w:r>
              <w:rPr>
                <w:rFonts w:hint="eastAsia" w:hAnsi="宋体"/>
                <w:b/>
                <w:color w:val="auto"/>
                <w:sz w:val="24"/>
                <w:lang w:eastAsia="zh-CN"/>
              </w:rPr>
              <w:t>扩建</w:t>
            </w:r>
            <w:r>
              <w:rPr>
                <w:rFonts w:hint="eastAsia"/>
                <w:b/>
                <w:color w:val="auto"/>
                <w:sz w:val="24"/>
                <w:lang w:eastAsia="zh-CN"/>
              </w:rPr>
              <w:t>项目</w:t>
            </w:r>
            <w:r>
              <w:rPr>
                <w:rFonts w:hAnsi="宋体"/>
                <w:b/>
                <w:color w:val="auto"/>
                <w:sz w:val="24"/>
              </w:rPr>
              <w:t>水平衡图</w:t>
            </w:r>
            <w:r>
              <w:rPr>
                <w:rFonts w:hAnsi="宋体"/>
                <w:color w:val="auto"/>
                <w:sz w:val="20"/>
                <w:szCs w:val="20"/>
              </w:rPr>
              <w:t>单位：</w:t>
            </w:r>
            <w:r>
              <w:rPr>
                <w:color w:val="auto"/>
                <w:sz w:val="20"/>
                <w:szCs w:val="20"/>
              </w:rPr>
              <w:t>m</w:t>
            </w:r>
            <w:r>
              <w:rPr>
                <w:color w:val="auto"/>
                <w:sz w:val="20"/>
                <w:szCs w:val="20"/>
                <w:vertAlign w:val="superscript"/>
              </w:rPr>
              <w:t>3</w:t>
            </w:r>
            <w:r>
              <w:rPr>
                <w:color w:val="auto"/>
                <w:sz w:val="20"/>
                <w:szCs w:val="20"/>
              </w:rPr>
              <w:t>/a</w:t>
            </w:r>
          </w:p>
          <w:p w14:paraId="238B028B">
            <w:pPr>
              <w:adjustRightInd w:val="0"/>
              <w:snapToGrid w:val="0"/>
              <w:spacing w:line="360" w:lineRule="auto"/>
              <w:jc w:val="center"/>
              <w:rPr>
                <w:rFonts w:hint="default"/>
                <w:b/>
                <w:color w:val="auto"/>
                <w:sz w:val="24"/>
                <w:lang w:val="en-US"/>
              </w:rPr>
            </w:pPr>
            <w:r>
              <w:rPr>
                <w:color w:val="auto"/>
              </w:rPr>
              <w:object>
                <v:shape id="_x0000_i1026" o:spt="75" type="#_x0000_t75" style="height:310.6pt;width:413.05pt;" o:ole="t" filled="f" o:preferrelative="t" stroked="f" coordsize="21600,21600">
                  <v:path/>
                  <v:fill on="f" focussize="0,0"/>
                  <v:stroke on="f"/>
                  <v:imagedata r:id="rId14" o:title=""/>
                  <o:lock v:ext="edit" aspectratio="t"/>
                  <w10:wrap type="none"/>
                  <w10:anchorlock/>
                </v:shape>
                <o:OLEObject Type="Embed" ProgID="Visio.Drawing.11" ShapeID="_x0000_i1026" DrawAspect="Content" ObjectID="_1468075726" r:id="rId13">
                  <o:LockedField>false</o:LockedField>
                </o:OLEObject>
              </w:object>
            </w:r>
          </w:p>
          <w:p w14:paraId="1691D669">
            <w:pPr>
              <w:adjustRightInd w:val="0"/>
              <w:snapToGrid w:val="0"/>
              <w:spacing w:line="360" w:lineRule="auto"/>
              <w:jc w:val="center"/>
              <w:rPr>
                <w:color w:val="auto"/>
                <w:sz w:val="20"/>
                <w:szCs w:val="20"/>
              </w:rPr>
            </w:pPr>
            <w:r>
              <w:rPr>
                <w:rFonts w:hint="eastAsia"/>
                <w:b/>
                <w:color w:val="auto"/>
                <w:sz w:val="24"/>
                <w:lang w:val="en-US" w:eastAsia="zh-CN"/>
              </w:rPr>
              <w:t>图2-2 扩建后全厂水平衡图</w:t>
            </w:r>
            <w:r>
              <w:rPr>
                <w:rFonts w:hAnsi="宋体"/>
                <w:color w:val="auto"/>
                <w:sz w:val="20"/>
                <w:szCs w:val="20"/>
              </w:rPr>
              <w:t>单位：</w:t>
            </w:r>
            <w:r>
              <w:rPr>
                <w:color w:val="auto"/>
                <w:sz w:val="20"/>
                <w:szCs w:val="20"/>
              </w:rPr>
              <w:t>m</w:t>
            </w:r>
            <w:r>
              <w:rPr>
                <w:color w:val="auto"/>
                <w:sz w:val="20"/>
                <w:szCs w:val="20"/>
                <w:vertAlign w:val="superscript"/>
              </w:rPr>
              <w:t>3</w:t>
            </w:r>
            <w:r>
              <w:rPr>
                <w:color w:val="auto"/>
                <w:sz w:val="20"/>
                <w:szCs w:val="20"/>
              </w:rPr>
              <w:t>/a</w:t>
            </w:r>
          </w:p>
          <w:p w14:paraId="60B8BF74">
            <w:pPr>
              <w:bidi w:val="0"/>
              <w:rPr>
                <w:rFonts w:hint="default"/>
                <w:color w:val="auto"/>
                <w:lang w:val="en-US" w:eastAsia="zh-CN"/>
              </w:rPr>
            </w:pPr>
          </w:p>
          <w:p w14:paraId="5A70AE4D">
            <w:pPr>
              <w:bidi w:val="0"/>
              <w:jc w:val="right"/>
              <w:rPr>
                <w:rFonts w:hint="default"/>
                <w:color w:val="auto"/>
                <w:lang w:val="en-US" w:eastAsia="zh-CN"/>
              </w:rPr>
            </w:pPr>
          </w:p>
        </w:tc>
      </w:tr>
    </w:tbl>
    <w:p w14:paraId="3A441BBC">
      <w:pPr>
        <w:pStyle w:val="29"/>
        <w:adjustRightInd w:val="0"/>
        <w:snapToGrid w:val="0"/>
        <w:spacing w:before="0" w:beforeAutospacing="0" w:after="0" w:afterAutospacing="0"/>
        <w:jc w:val="center"/>
        <w:rPr>
          <w:rFonts w:ascii="Times New Roman" w:hAnsi="Times New Roman"/>
          <w:b/>
          <w:bCs/>
          <w:color w:val="auto"/>
          <w:sz w:val="21"/>
          <w:szCs w:val="21"/>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tbl>
      <w:tblPr>
        <w:tblStyle w:val="32"/>
        <w:tblW w:w="906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2"/>
        <w:gridCol w:w="8639"/>
      </w:tblGrid>
      <w:tr w14:paraId="0D8A8B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18" w:hRule="atLeast"/>
          <w:jc w:val="center"/>
        </w:trPr>
        <w:tc>
          <w:tcPr>
            <w:tcW w:w="362" w:type="dxa"/>
            <w:vAlign w:val="center"/>
          </w:tcPr>
          <w:p w14:paraId="6AC5D552">
            <w:pPr>
              <w:pStyle w:val="29"/>
              <w:adjustRightInd w:val="0"/>
              <w:snapToGrid w:val="0"/>
              <w:spacing w:before="0" w:beforeAutospacing="0" w:after="0" w:afterAutospacing="0"/>
              <w:jc w:val="center"/>
              <w:rPr>
                <w:rFonts w:ascii="Times New Roman" w:hAnsi="Times New Roman"/>
                <w:b/>
                <w:bCs/>
                <w:color w:val="auto"/>
                <w:sz w:val="21"/>
                <w:szCs w:val="21"/>
              </w:rPr>
            </w:pPr>
            <w:r>
              <w:rPr>
                <w:rFonts w:ascii="Times New Roman"/>
                <w:b/>
                <w:bCs/>
                <w:color w:val="auto"/>
                <w:sz w:val="21"/>
                <w:szCs w:val="21"/>
              </w:rPr>
              <w:t>工艺流程和产排污环节</w:t>
            </w:r>
          </w:p>
        </w:tc>
        <w:tc>
          <w:tcPr>
            <w:tcW w:w="8698" w:type="dxa"/>
          </w:tcPr>
          <w:p w14:paraId="2A90F932">
            <w:pPr>
              <w:widowControl/>
              <w:adjustRightInd w:val="0"/>
              <w:snapToGrid w:val="0"/>
              <w:spacing w:before="120" w:beforeLines="50" w:line="360" w:lineRule="auto"/>
              <w:ind w:firstLine="482" w:firstLineChars="200"/>
              <w:jc w:val="left"/>
              <w:rPr>
                <w:b/>
                <w:bCs/>
                <w:color w:val="auto"/>
                <w:kern w:val="0"/>
                <w:sz w:val="24"/>
              </w:rPr>
            </w:pPr>
            <w:r>
              <w:rPr>
                <w:b/>
                <w:bCs/>
                <w:color w:val="auto"/>
                <w:kern w:val="0"/>
                <w:sz w:val="24"/>
              </w:rPr>
              <w:t>1.</w:t>
            </w:r>
            <w:r>
              <w:rPr>
                <w:rFonts w:hAnsi="宋体"/>
                <w:b/>
                <w:bCs/>
                <w:color w:val="auto"/>
                <w:kern w:val="0"/>
                <w:sz w:val="24"/>
              </w:rPr>
              <w:t>工艺流程和产排污环节</w:t>
            </w:r>
          </w:p>
          <w:p w14:paraId="5CD0D1AF">
            <w:pPr>
              <w:adjustRightInd w:val="0"/>
              <w:snapToGrid w:val="0"/>
              <w:ind w:firstLine="482" w:firstLineChars="200"/>
              <w:rPr>
                <w:b/>
                <w:color w:val="auto"/>
                <w:sz w:val="24"/>
              </w:rPr>
            </w:pPr>
            <w:r>
              <w:rPr>
                <w:b/>
                <w:color w:val="auto"/>
                <w:sz w:val="24"/>
              </w:rPr>
              <w:t>1、生产工艺流程图</w:t>
            </w:r>
          </w:p>
          <w:p w14:paraId="413C3D91">
            <w:pPr>
              <w:pStyle w:val="45"/>
              <w:spacing w:before="24" w:after="24" w:line="360" w:lineRule="auto"/>
              <w:ind w:firstLine="482" w:firstLineChars="200"/>
              <w:jc w:val="left"/>
              <w:rPr>
                <w:rFonts w:ascii="Times New Roman" w:hAnsi="Times New Roman" w:eastAsia="宋体" w:cs="Times New Roman"/>
                <w:b/>
                <w:color w:val="auto"/>
                <w:sz w:val="24"/>
              </w:rPr>
            </w:pPr>
            <w:r>
              <w:rPr>
                <w:rFonts w:ascii="Times New Roman" w:hAnsi="Times New Roman" w:eastAsia="宋体" w:cs="Times New Roman"/>
                <w:b/>
                <w:color w:val="auto"/>
                <w:sz w:val="24"/>
              </w:rPr>
              <w:t>（1）</w:t>
            </w:r>
            <w:r>
              <w:rPr>
                <w:rFonts w:hint="eastAsia" w:ascii="Times New Roman" w:cs="Times New Roman"/>
                <w:b/>
                <w:color w:val="auto"/>
                <w:sz w:val="24"/>
                <w:lang w:eastAsia="zh-CN"/>
              </w:rPr>
              <w:t>海珍味生产线</w:t>
            </w:r>
            <w:r>
              <w:rPr>
                <w:rFonts w:ascii="Times New Roman" w:hAnsi="Times New Roman" w:eastAsia="宋体" w:cs="Times New Roman"/>
                <w:b/>
                <w:color w:val="auto"/>
                <w:sz w:val="24"/>
              </w:rPr>
              <w:t>生产工艺</w:t>
            </w:r>
          </w:p>
          <w:p w14:paraId="260771B2">
            <w:pPr>
              <w:pStyle w:val="45"/>
              <w:spacing w:before="24" w:after="24"/>
              <w:jc w:val="center"/>
              <w:rPr>
                <w:rFonts w:hint="default" w:ascii="Times New Roman" w:hAnsi="Times New Roman" w:eastAsia="宋体" w:cs="Times New Roman"/>
                <w:color w:val="auto"/>
                <w:lang w:val="en-US" w:eastAsia="zh-CN"/>
              </w:rPr>
            </w:pPr>
            <w:r>
              <w:rPr>
                <w:rFonts w:ascii="Times New Roman" w:hAnsi="Times New Roman" w:eastAsia="宋体" w:cs="Times New Roman"/>
                <w:color w:val="auto"/>
              </w:rPr>
              <w:object>
                <v:shape id="_x0000_i1027" o:spt="75" type="#_x0000_t75" style="height:544.25pt;width:272.6pt;" o:ole="t" filled="f" o:preferrelative="t" stroked="f" coordsize="21600,21600">
                  <v:path/>
                  <v:fill on="f" focussize="0,0"/>
                  <v:stroke on="f"/>
                  <v:imagedata r:id="rId16" o:title=""/>
                  <o:lock v:ext="edit" aspectratio="f"/>
                  <w10:wrap type="none"/>
                  <w10:anchorlock/>
                </v:shape>
                <o:OLEObject Type="Embed" ProgID="Visio.Drawing.15" ShapeID="_x0000_i1027" DrawAspect="Content" ObjectID="_1468075727" r:id="rId15">
                  <o:LockedField>false</o:LockedField>
                </o:OLEObject>
              </w:object>
            </w:r>
            <w:r>
              <w:rPr>
                <w:rFonts w:hint="eastAsia" w:ascii="Times New Roman" w:cs="Times New Roman"/>
                <w:color w:val="auto"/>
                <w:lang w:val="en-US" w:eastAsia="zh-CN"/>
              </w:rPr>
              <w:t>()</w:t>
            </w:r>
          </w:p>
          <w:p w14:paraId="22665BD2">
            <w:pPr>
              <w:pStyle w:val="45"/>
              <w:spacing w:before="24" w:after="24"/>
              <w:rPr>
                <w:rFonts w:ascii="Times New Roman" w:hAnsi="Times New Roman" w:eastAsia="宋体" w:cs="Times New Roman"/>
                <w:b/>
                <w:color w:val="auto"/>
                <w:sz w:val="24"/>
              </w:rPr>
            </w:pPr>
            <w:r>
              <w:rPr>
                <w:rFonts w:ascii="Times New Roman" w:hAnsi="Times New Roman" w:eastAsia="宋体" w:cs="Times New Roman"/>
                <w:b/>
                <w:color w:val="auto"/>
                <w:sz w:val="24"/>
              </w:rPr>
              <w:t>图2-</w:t>
            </w:r>
            <w:r>
              <w:rPr>
                <w:rFonts w:hint="eastAsia" w:ascii="Times New Roman" w:cs="Times New Roman"/>
                <w:b/>
                <w:color w:val="auto"/>
                <w:sz w:val="24"/>
                <w:lang w:val="en-US" w:eastAsia="zh-CN"/>
              </w:rPr>
              <w:t>3</w:t>
            </w:r>
            <w:r>
              <w:rPr>
                <w:rFonts w:ascii="Times New Roman" w:hAnsi="Times New Roman" w:eastAsia="宋体" w:cs="Times New Roman"/>
                <w:b/>
                <w:color w:val="auto"/>
                <w:sz w:val="24"/>
              </w:rPr>
              <w:t xml:space="preserve">  </w:t>
            </w:r>
            <w:r>
              <w:rPr>
                <w:rFonts w:hint="eastAsia" w:ascii="Times New Roman" w:cs="Times New Roman"/>
                <w:b/>
                <w:color w:val="auto"/>
                <w:sz w:val="24"/>
                <w:lang w:eastAsia="zh-CN"/>
              </w:rPr>
              <w:t>海珍味</w:t>
            </w:r>
            <w:r>
              <w:rPr>
                <w:rFonts w:ascii="Times New Roman" w:hAnsi="Times New Roman" w:eastAsia="宋体" w:cs="Times New Roman"/>
                <w:b/>
                <w:color w:val="auto"/>
                <w:sz w:val="24"/>
              </w:rPr>
              <w:t>生产工艺流程及产污环节图</w:t>
            </w:r>
          </w:p>
          <w:p w14:paraId="52C4B146">
            <w:pPr>
              <w:pStyle w:val="45"/>
              <w:spacing w:beforeLines="0" w:afterLines="0" w:line="360" w:lineRule="auto"/>
              <w:ind w:firstLine="480" w:firstLineChars="200"/>
              <w:jc w:val="both"/>
              <w:rPr>
                <w:rFonts w:hint="eastAsia" w:ascii="Times New Roman" w:cs="Times New Roman"/>
                <w:color w:val="auto"/>
                <w:sz w:val="24"/>
                <w:lang w:eastAsia="zh-CN"/>
              </w:rPr>
            </w:pPr>
            <w:r>
              <w:rPr>
                <w:rFonts w:ascii="Times New Roman" w:hAnsi="Times New Roman" w:eastAsia="宋体" w:cs="Times New Roman"/>
                <w:color w:val="auto"/>
                <w:sz w:val="24"/>
              </w:rPr>
              <w:fldChar w:fldCharType="begin"/>
            </w:r>
            <w:r>
              <w:rPr>
                <w:rFonts w:ascii="Times New Roman" w:hAnsi="Times New Roman" w:eastAsia="宋体" w:cs="Times New Roman"/>
                <w:color w:val="auto"/>
                <w:sz w:val="24"/>
              </w:rPr>
              <w:instrText xml:space="preserve"> = 1 \* GB3 </w:instrText>
            </w:r>
            <w:r>
              <w:rPr>
                <w:rFonts w:ascii="Times New Roman" w:hAnsi="Times New Roman" w:eastAsia="宋体" w:cs="Times New Roman"/>
                <w:color w:val="auto"/>
                <w:sz w:val="24"/>
              </w:rPr>
              <w:fldChar w:fldCharType="separate"/>
            </w:r>
            <w:r>
              <w:rPr>
                <w:rFonts w:hint="eastAsia" w:hAnsi="宋体" w:eastAsia="宋体" w:cs="宋体"/>
                <w:color w:val="auto"/>
                <w:sz w:val="24"/>
              </w:rPr>
              <w:t>①</w:t>
            </w:r>
            <w:r>
              <w:rPr>
                <w:rFonts w:ascii="Times New Roman" w:hAnsi="Times New Roman" w:eastAsia="宋体" w:cs="Times New Roman"/>
                <w:color w:val="auto"/>
                <w:sz w:val="24"/>
              </w:rPr>
              <w:fldChar w:fldCharType="end"/>
            </w:r>
            <w:r>
              <w:rPr>
                <w:rFonts w:hint="eastAsia" w:ascii="Times New Roman" w:cs="Times New Roman"/>
                <w:color w:val="auto"/>
                <w:sz w:val="24"/>
                <w:lang w:eastAsia="zh-CN"/>
              </w:rPr>
              <w:t>解冻</w:t>
            </w:r>
          </w:p>
          <w:p w14:paraId="7085DC7E">
            <w:pPr>
              <w:pStyle w:val="45"/>
              <w:spacing w:beforeLines="0" w:afterLines="0" w:line="360" w:lineRule="auto"/>
              <w:ind w:firstLine="480" w:firstLineChars="200"/>
              <w:jc w:val="both"/>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rPr>
              <w:t>自然解冻</w:t>
            </w:r>
            <w:r>
              <w:rPr>
                <w:rFonts w:hint="default" w:ascii="Times New Roman" w:hAnsi="Times New Roman" w:eastAsia="宋体" w:cs="Times New Roman"/>
                <w:color w:val="auto"/>
                <w:sz w:val="24"/>
              </w:rPr>
              <w:t>：冷冻鱿鱼原料</w:t>
            </w:r>
            <w:r>
              <w:rPr>
                <w:rFonts w:hint="eastAsia" w:ascii="Times New Roman" w:cs="Times New Roman"/>
                <w:color w:val="auto"/>
                <w:sz w:val="24"/>
                <w:lang w:eastAsia="zh-CN"/>
              </w:rPr>
              <w:t>（该原料为生质产品）</w:t>
            </w:r>
            <w:r>
              <w:rPr>
                <w:rFonts w:hint="default" w:ascii="Times New Roman" w:hAnsi="Times New Roman" w:eastAsia="宋体" w:cs="Times New Roman"/>
                <w:color w:val="auto"/>
                <w:sz w:val="24"/>
              </w:rPr>
              <w:t>于常温环境下缓化解冻，确保组织恢复至适宜加工状态。静水解冻辅助：采用流动或静态低温水（≤15℃）加速解冻，控制解冻时间以避免微生物滋生。</w:t>
            </w:r>
            <w:r>
              <w:rPr>
                <w:rFonts w:hint="eastAsia" w:ascii="Times New Roman" w:hAnsi="Times New Roman" w:eastAsia="宋体" w:cs="Times New Roman"/>
                <w:color w:val="auto"/>
                <w:sz w:val="24"/>
                <w:lang w:eastAsia="zh-CN"/>
              </w:rPr>
              <w:t>此过程会产生解冻废水</w:t>
            </w:r>
            <w:r>
              <w:rPr>
                <w:rFonts w:hint="eastAsia" w:ascii="Times New Roman" w:hAnsi="Times New Roman" w:eastAsia="宋体" w:cs="Times New Roman"/>
                <w:color w:val="auto"/>
                <w:sz w:val="24"/>
                <w:lang w:val="en-US" w:eastAsia="zh-CN"/>
              </w:rPr>
              <w:t>W1-1</w:t>
            </w:r>
            <w:r>
              <w:rPr>
                <w:rFonts w:hint="eastAsia" w:ascii="Times New Roman" w:cs="Times New Roman"/>
                <w:color w:val="auto"/>
                <w:sz w:val="24"/>
                <w:lang w:val="en-US" w:eastAsia="zh-CN"/>
              </w:rPr>
              <w:t>。</w:t>
            </w:r>
          </w:p>
          <w:p w14:paraId="62F881B7">
            <w:pPr>
              <w:pStyle w:val="45"/>
              <w:spacing w:beforeLines="0" w:afterLines="0" w:line="360" w:lineRule="auto"/>
              <w:ind w:firstLine="480" w:firstLineChars="200"/>
              <w:jc w:val="both"/>
              <w:rPr>
                <w:rFonts w:ascii="Times New Roman" w:hAnsi="Times New Roman" w:eastAsia="宋体" w:cs="Times New Roman"/>
                <w:color w:val="auto"/>
                <w:sz w:val="24"/>
              </w:rPr>
            </w:pPr>
            <w:r>
              <w:rPr>
                <w:rFonts w:ascii="Times New Roman" w:hAnsi="Times New Roman" w:eastAsia="宋体" w:cs="Times New Roman"/>
                <w:color w:val="auto"/>
                <w:sz w:val="24"/>
              </w:rPr>
              <w:fldChar w:fldCharType="begin"/>
            </w:r>
            <w:r>
              <w:rPr>
                <w:rFonts w:ascii="Times New Roman" w:hAnsi="Times New Roman" w:eastAsia="宋体" w:cs="Times New Roman"/>
                <w:color w:val="auto"/>
                <w:sz w:val="24"/>
              </w:rPr>
              <w:instrText xml:space="preserve"> = 2 \* GB3 </w:instrText>
            </w:r>
            <w:r>
              <w:rPr>
                <w:rFonts w:ascii="Times New Roman" w:hAnsi="Times New Roman" w:eastAsia="宋体" w:cs="Times New Roman"/>
                <w:color w:val="auto"/>
                <w:sz w:val="24"/>
              </w:rPr>
              <w:fldChar w:fldCharType="separate"/>
            </w:r>
            <w:r>
              <w:rPr>
                <w:rFonts w:hint="eastAsia" w:hAnsi="宋体" w:eastAsia="宋体" w:cs="宋体"/>
                <w:color w:val="auto"/>
                <w:sz w:val="24"/>
              </w:rPr>
              <w:t>②</w:t>
            </w:r>
            <w:r>
              <w:rPr>
                <w:rFonts w:ascii="Times New Roman" w:hAnsi="Times New Roman" w:eastAsia="宋体" w:cs="Times New Roman"/>
                <w:color w:val="auto"/>
                <w:sz w:val="24"/>
              </w:rPr>
              <w:fldChar w:fldCharType="end"/>
            </w:r>
            <w:r>
              <w:rPr>
                <w:rFonts w:hint="eastAsia" w:ascii="Times New Roman" w:hAnsi="Times New Roman" w:eastAsia="宋体" w:cs="Times New Roman"/>
                <w:color w:val="auto"/>
                <w:sz w:val="24"/>
              </w:rPr>
              <w:t>消毒</w:t>
            </w:r>
          </w:p>
          <w:p w14:paraId="6C900224">
            <w:pPr>
              <w:pStyle w:val="45"/>
              <w:spacing w:beforeLines="0" w:afterLines="0" w:line="360" w:lineRule="auto"/>
              <w:ind w:firstLine="480" w:firstLineChars="200"/>
              <w:jc w:val="both"/>
              <w:rPr>
                <w:rFonts w:ascii="Times New Roman" w:hAnsi="Times New Roman" w:eastAsia="宋体" w:cs="Times New Roman"/>
                <w:color w:val="auto"/>
                <w:sz w:val="24"/>
              </w:rPr>
            </w:pPr>
            <w:r>
              <w:rPr>
                <w:rFonts w:hint="eastAsia" w:ascii="Times New Roman" w:hAnsi="Times New Roman" w:eastAsia="宋体" w:cs="Times New Roman"/>
                <w:color w:val="auto"/>
                <w:sz w:val="24"/>
              </w:rPr>
              <w:t>使用7</w:t>
            </w:r>
            <w:r>
              <w:rPr>
                <w:rFonts w:ascii="Times New Roman" w:hAnsi="Times New Roman" w:eastAsia="宋体" w:cs="Times New Roman"/>
                <w:color w:val="auto"/>
                <w:sz w:val="24"/>
              </w:rPr>
              <w:t>5</w:t>
            </w:r>
            <w:r>
              <w:rPr>
                <w:rFonts w:hint="eastAsia" w:ascii="Times New Roman" w:hAnsi="Times New Roman" w:eastAsia="宋体" w:cs="Times New Roman"/>
                <w:color w:val="auto"/>
                <w:sz w:val="24"/>
              </w:rPr>
              <w:t>%的酒精在生产厂房各入口处利用自动杀菌净手器（5</w:t>
            </w:r>
            <w:r>
              <w:rPr>
                <w:rFonts w:ascii="Times New Roman" w:hAnsi="Times New Roman" w:eastAsia="宋体" w:cs="Times New Roman"/>
                <w:color w:val="auto"/>
                <w:sz w:val="24"/>
              </w:rPr>
              <w:t>L</w:t>
            </w:r>
            <w:r>
              <w:rPr>
                <w:rFonts w:hint="eastAsia" w:ascii="Times New Roman" w:hAnsi="Times New Roman" w:eastAsia="宋体" w:cs="Times New Roman"/>
                <w:color w:val="auto"/>
                <w:sz w:val="24"/>
              </w:rPr>
              <w:t>）对员工手部消毒；生产之前在生产区域对切段机、切片机、蒸煮机、脱水机等生产设备进行人工擦拭消毒；在杀菌间对工器具进行人工擦拭消毒。此过程会产生乙醇废气G</w:t>
            </w:r>
            <w:r>
              <w:rPr>
                <w:rFonts w:hint="eastAsia" w:ascii="Times New Roman" w:cs="Times New Roman"/>
                <w:color w:val="auto"/>
                <w:sz w:val="24"/>
                <w:lang w:val="en-US" w:eastAsia="zh-CN"/>
              </w:rPr>
              <w:t>1</w:t>
            </w:r>
            <w:r>
              <w:rPr>
                <w:rFonts w:hint="eastAsia" w:ascii="Times New Roman" w:hAnsi="Times New Roman" w:eastAsia="宋体" w:cs="Times New Roman"/>
                <w:color w:val="auto"/>
                <w:sz w:val="24"/>
              </w:rPr>
              <w:t>。</w:t>
            </w:r>
          </w:p>
          <w:p w14:paraId="5175A94E">
            <w:pPr>
              <w:pStyle w:val="45"/>
              <w:spacing w:beforeLines="0" w:afterLines="0" w:line="360" w:lineRule="auto"/>
              <w:ind w:firstLine="480" w:firstLineChars="200"/>
              <w:jc w:val="both"/>
              <w:rPr>
                <w:rFonts w:ascii="Times New Roman" w:hAnsi="Times New Roman" w:eastAsia="宋体" w:cs="Times New Roman"/>
                <w:color w:val="auto"/>
                <w:sz w:val="24"/>
              </w:rPr>
            </w:pPr>
            <w:r>
              <w:rPr>
                <w:rFonts w:ascii="Times New Roman" w:hAnsi="Times New Roman" w:eastAsia="宋体" w:cs="Times New Roman"/>
                <w:color w:val="auto"/>
                <w:sz w:val="24"/>
              </w:rPr>
              <w:fldChar w:fldCharType="begin"/>
            </w:r>
            <w:r>
              <w:rPr>
                <w:rFonts w:ascii="Times New Roman" w:hAnsi="Times New Roman" w:eastAsia="宋体" w:cs="Times New Roman"/>
                <w:color w:val="auto"/>
                <w:sz w:val="24"/>
              </w:rPr>
              <w:instrText xml:space="preserve"> = 3 \* GB3 </w:instrText>
            </w:r>
            <w:r>
              <w:rPr>
                <w:rFonts w:ascii="Times New Roman" w:hAnsi="Times New Roman" w:eastAsia="宋体" w:cs="Times New Roman"/>
                <w:color w:val="auto"/>
                <w:sz w:val="24"/>
              </w:rPr>
              <w:fldChar w:fldCharType="separate"/>
            </w:r>
            <w:r>
              <w:rPr>
                <w:rFonts w:hint="eastAsia" w:hAnsi="宋体" w:eastAsia="宋体" w:cs="宋体"/>
                <w:color w:val="auto"/>
                <w:sz w:val="24"/>
              </w:rPr>
              <w:t>③</w:t>
            </w:r>
            <w:r>
              <w:rPr>
                <w:rFonts w:ascii="Times New Roman" w:hAnsi="Times New Roman" w:eastAsia="宋体" w:cs="Times New Roman"/>
                <w:color w:val="auto"/>
                <w:sz w:val="24"/>
              </w:rPr>
              <w:fldChar w:fldCharType="end"/>
            </w:r>
            <w:r>
              <w:rPr>
                <w:rFonts w:ascii="Times New Roman" w:hAnsi="Times New Roman" w:eastAsia="宋体" w:cs="Times New Roman"/>
                <w:color w:val="auto"/>
                <w:sz w:val="24"/>
              </w:rPr>
              <w:t>切断</w:t>
            </w:r>
          </w:p>
          <w:p w14:paraId="0601F293">
            <w:pPr>
              <w:pStyle w:val="45"/>
              <w:spacing w:beforeLines="0" w:afterLines="0" w:line="360" w:lineRule="auto"/>
              <w:ind w:firstLine="480" w:firstLineChars="200"/>
              <w:jc w:val="both"/>
              <w:rPr>
                <w:rFonts w:ascii="Times New Roman" w:hAnsi="Times New Roman" w:eastAsia="宋体" w:cs="Times New Roman"/>
                <w:color w:val="auto"/>
                <w:sz w:val="24"/>
              </w:rPr>
            </w:pPr>
            <w:r>
              <w:rPr>
                <w:rFonts w:ascii="Times New Roman" w:hAnsi="Times New Roman" w:eastAsia="宋体" w:cs="Times New Roman"/>
                <w:color w:val="auto"/>
                <w:sz w:val="24"/>
              </w:rPr>
              <w:t>利用</w:t>
            </w:r>
            <w:r>
              <w:rPr>
                <w:rFonts w:hint="eastAsia" w:ascii="Times New Roman" w:cs="Times New Roman"/>
                <w:color w:val="auto"/>
                <w:sz w:val="24"/>
                <w:lang w:eastAsia="zh-CN"/>
              </w:rPr>
              <w:t>剖片机、切条机进行</w:t>
            </w:r>
            <w:r>
              <w:rPr>
                <w:rFonts w:ascii="Times New Roman" w:hAnsi="Times New Roman" w:eastAsia="宋体" w:cs="Times New Roman"/>
                <w:color w:val="auto"/>
                <w:sz w:val="24"/>
              </w:rPr>
              <w:t>切断</w:t>
            </w:r>
            <w:r>
              <w:rPr>
                <w:rFonts w:hint="eastAsia" w:ascii="Times New Roman" w:cs="Times New Roman"/>
                <w:color w:val="auto"/>
                <w:sz w:val="24"/>
                <w:lang w:eastAsia="zh-CN"/>
              </w:rPr>
              <w:t>解冻后鱿鱼</w:t>
            </w:r>
            <w:r>
              <w:rPr>
                <w:rFonts w:ascii="Times New Roman" w:hAnsi="Times New Roman" w:eastAsia="宋体" w:cs="Times New Roman"/>
                <w:color w:val="auto"/>
                <w:sz w:val="24"/>
              </w:rPr>
              <w:t>，处理好的原料通过</w:t>
            </w:r>
            <w:r>
              <w:rPr>
                <w:rFonts w:hint="eastAsia" w:ascii="Times New Roman" w:cs="Times New Roman"/>
                <w:color w:val="auto"/>
                <w:sz w:val="24"/>
                <w:lang w:eastAsia="zh-CN"/>
              </w:rPr>
              <w:t>传送带</w:t>
            </w:r>
            <w:r>
              <w:rPr>
                <w:rFonts w:ascii="Times New Roman" w:hAnsi="Times New Roman" w:eastAsia="宋体" w:cs="Times New Roman"/>
                <w:color w:val="auto"/>
                <w:sz w:val="24"/>
              </w:rPr>
              <w:t>输送至</w:t>
            </w:r>
            <w:r>
              <w:rPr>
                <w:rFonts w:hint="eastAsia" w:ascii="Times New Roman" w:cs="Times New Roman"/>
                <w:color w:val="auto"/>
                <w:sz w:val="24"/>
                <w:lang w:eastAsia="zh-CN"/>
              </w:rPr>
              <w:t>下道工序</w:t>
            </w:r>
            <w:r>
              <w:rPr>
                <w:rFonts w:ascii="Times New Roman" w:hAnsi="Times New Roman" w:eastAsia="宋体" w:cs="Times New Roman"/>
                <w:color w:val="auto"/>
                <w:sz w:val="24"/>
              </w:rPr>
              <w:t>进一步加工。此过程会产生机械噪声N1-1。</w:t>
            </w:r>
          </w:p>
          <w:p w14:paraId="7A65461D">
            <w:pPr>
              <w:pStyle w:val="45"/>
              <w:spacing w:beforeLines="0" w:afterLines="0" w:line="360" w:lineRule="auto"/>
              <w:ind w:firstLine="480" w:firstLineChars="200"/>
              <w:jc w:val="both"/>
              <w:rPr>
                <w:rFonts w:hint="eastAsia" w:ascii="Times New Roman" w:cs="Times New Roman"/>
                <w:color w:val="auto"/>
                <w:sz w:val="24"/>
                <w:lang w:eastAsia="zh-CN"/>
              </w:rPr>
            </w:pPr>
            <w:r>
              <w:rPr>
                <w:rFonts w:ascii="Times New Roman" w:hAnsi="Times New Roman" w:eastAsia="宋体" w:cs="Times New Roman"/>
                <w:color w:val="auto"/>
                <w:sz w:val="24"/>
              </w:rPr>
              <w:fldChar w:fldCharType="begin"/>
            </w:r>
            <w:r>
              <w:rPr>
                <w:rFonts w:ascii="Times New Roman" w:hAnsi="Times New Roman" w:eastAsia="宋体" w:cs="Times New Roman"/>
                <w:color w:val="auto"/>
                <w:sz w:val="24"/>
              </w:rPr>
              <w:instrText xml:space="preserve"> = 4 \* GB3 </w:instrText>
            </w:r>
            <w:r>
              <w:rPr>
                <w:rFonts w:ascii="Times New Roman" w:hAnsi="Times New Roman" w:eastAsia="宋体" w:cs="Times New Roman"/>
                <w:color w:val="auto"/>
                <w:sz w:val="24"/>
              </w:rPr>
              <w:fldChar w:fldCharType="separate"/>
            </w:r>
            <w:r>
              <w:rPr>
                <w:rFonts w:hint="eastAsia" w:hAnsi="宋体" w:eastAsia="宋体" w:cs="宋体"/>
                <w:color w:val="auto"/>
                <w:sz w:val="24"/>
              </w:rPr>
              <w:t>④</w:t>
            </w:r>
            <w:r>
              <w:rPr>
                <w:rFonts w:ascii="Times New Roman" w:hAnsi="Times New Roman" w:eastAsia="宋体" w:cs="Times New Roman"/>
                <w:color w:val="auto"/>
                <w:sz w:val="24"/>
              </w:rPr>
              <w:fldChar w:fldCharType="end"/>
            </w:r>
            <w:r>
              <w:rPr>
                <w:rFonts w:hint="eastAsia" w:ascii="Times New Roman" w:cs="Times New Roman"/>
                <w:color w:val="auto"/>
                <w:sz w:val="24"/>
                <w:lang w:eastAsia="zh-CN"/>
              </w:rPr>
              <w:t>浸泡</w:t>
            </w:r>
          </w:p>
          <w:p w14:paraId="6090C4EC">
            <w:pPr>
              <w:pStyle w:val="45"/>
              <w:spacing w:beforeLines="0" w:afterLines="0" w:line="360" w:lineRule="auto"/>
              <w:ind w:firstLine="480" w:firstLineChars="200"/>
              <w:jc w:val="both"/>
              <w:rPr>
                <w:rFonts w:ascii="Times New Roman" w:hAnsi="Times New Roman" w:eastAsia="宋体" w:cs="Times New Roman"/>
                <w:color w:val="auto"/>
                <w:sz w:val="24"/>
              </w:rPr>
            </w:pPr>
            <w:r>
              <w:rPr>
                <w:rFonts w:ascii="Times New Roman" w:hAnsi="Times New Roman" w:eastAsia="宋体" w:cs="Times New Roman"/>
                <w:color w:val="auto"/>
                <w:sz w:val="24"/>
              </w:rPr>
              <w:t>复合溶液浸泡</w:t>
            </w:r>
            <w:r>
              <w:rPr>
                <w:rFonts w:hint="default" w:ascii="Times New Roman" w:hAnsi="Times New Roman" w:eastAsia="宋体" w:cs="Times New Roman"/>
                <w:color w:val="auto"/>
                <w:sz w:val="24"/>
              </w:rPr>
              <w:t>：于静水体系中添加食品级盐（NaCl，浓度1-3%）及碳酸氢钠（NaHCO₃，浓度0.5-1%），调节pH至弱碱性，增强保水性与嫩度，浸泡时间20-30分钟。</w:t>
            </w:r>
            <w:r>
              <w:rPr>
                <w:rFonts w:ascii="Times New Roman" w:hAnsi="Times New Roman" w:eastAsia="宋体" w:cs="Times New Roman"/>
                <w:color w:val="auto"/>
                <w:sz w:val="24"/>
              </w:rPr>
              <w:t>此过程会产生</w:t>
            </w:r>
            <w:r>
              <w:rPr>
                <w:rFonts w:hint="eastAsia" w:ascii="Times New Roman" w:cs="Times New Roman"/>
                <w:color w:val="auto"/>
                <w:sz w:val="24"/>
                <w:lang w:eastAsia="zh-CN"/>
              </w:rPr>
              <w:t>浸泡废水</w:t>
            </w:r>
            <w:r>
              <w:rPr>
                <w:rFonts w:hint="eastAsia" w:ascii="Times New Roman" w:cs="Times New Roman"/>
                <w:color w:val="auto"/>
                <w:sz w:val="24"/>
                <w:lang w:val="en-US" w:eastAsia="zh-CN"/>
              </w:rPr>
              <w:t>W1-2</w:t>
            </w:r>
            <w:r>
              <w:rPr>
                <w:rFonts w:ascii="Times New Roman" w:hAnsi="Times New Roman" w:eastAsia="宋体" w:cs="Times New Roman"/>
                <w:color w:val="auto"/>
                <w:sz w:val="24"/>
              </w:rPr>
              <w:t>。</w:t>
            </w:r>
          </w:p>
          <w:p w14:paraId="4787FB8C">
            <w:pPr>
              <w:pStyle w:val="45"/>
              <w:spacing w:beforeLines="0" w:afterLines="0" w:line="360" w:lineRule="auto"/>
              <w:ind w:firstLine="480" w:firstLineChars="200"/>
              <w:jc w:val="both"/>
              <w:rPr>
                <w:rFonts w:ascii="Times New Roman" w:hAnsi="Times New Roman" w:eastAsia="宋体" w:cs="Times New Roman"/>
                <w:color w:val="auto"/>
                <w:sz w:val="24"/>
              </w:rPr>
            </w:pPr>
            <w:r>
              <w:rPr>
                <w:rFonts w:ascii="Times New Roman" w:hAnsi="Times New Roman" w:eastAsia="宋体" w:cs="Times New Roman"/>
                <w:color w:val="auto"/>
                <w:sz w:val="24"/>
              </w:rPr>
              <w:fldChar w:fldCharType="begin"/>
            </w:r>
            <w:r>
              <w:rPr>
                <w:rFonts w:ascii="Times New Roman" w:hAnsi="Times New Roman" w:eastAsia="宋体" w:cs="Times New Roman"/>
                <w:color w:val="auto"/>
                <w:sz w:val="24"/>
              </w:rPr>
              <w:instrText xml:space="preserve"> = 5 \* GB3 </w:instrText>
            </w:r>
            <w:r>
              <w:rPr>
                <w:rFonts w:ascii="Times New Roman" w:hAnsi="Times New Roman" w:eastAsia="宋体" w:cs="Times New Roman"/>
                <w:color w:val="auto"/>
                <w:sz w:val="24"/>
              </w:rPr>
              <w:fldChar w:fldCharType="separate"/>
            </w:r>
            <w:r>
              <w:rPr>
                <w:rFonts w:hint="eastAsia" w:hAnsi="宋体" w:eastAsia="宋体" w:cs="宋体"/>
                <w:color w:val="auto"/>
                <w:sz w:val="24"/>
              </w:rPr>
              <w:t>⑤</w:t>
            </w:r>
            <w:r>
              <w:rPr>
                <w:rFonts w:ascii="Times New Roman" w:hAnsi="Times New Roman" w:eastAsia="宋体" w:cs="Times New Roman"/>
                <w:color w:val="auto"/>
                <w:sz w:val="24"/>
              </w:rPr>
              <w:fldChar w:fldCharType="end"/>
            </w:r>
            <w:r>
              <w:rPr>
                <w:rFonts w:ascii="Times New Roman" w:hAnsi="Times New Roman" w:eastAsia="宋体" w:cs="Times New Roman"/>
                <w:color w:val="auto"/>
                <w:sz w:val="24"/>
              </w:rPr>
              <w:t>清洗</w:t>
            </w:r>
          </w:p>
          <w:p w14:paraId="50F31DC2">
            <w:pPr>
              <w:pStyle w:val="45"/>
              <w:spacing w:beforeLines="0" w:afterLines="0" w:line="360" w:lineRule="auto"/>
              <w:ind w:firstLine="480" w:firstLineChars="200"/>
              <w:jc w:val="both"/>
              <w:rPr>
                <w:rFonts w:ascii="Times New Roman" w:hAnsi="Times New Roman" w:eastAsia="宋体" w:cs="Times New Roman"/>
                <w:color w:val="auto"/>
                <w:sz w:val="24"/>
              </w:rPr>
            </w:pPr>
            <w:r>
              <w:rPr>
                <w:rFonts w:ascii="Times New Roman" w:hAnsi="Times New Roman" w:eastAsia="宋体" w:cs="Times New Roman"/>
                <w:color w:val="auto"/>
                <w:sz w:val="24"/>
              </w:rPr>
              <w:t>采用压缩空气鼓泡结合逆流冲洗工艺，有效去除表面黏液及残留浸泡液，降低微生物负荷。此过程会产生清洗废水W1-</w:t>
            </w:r>
            <w:r>
              <w:rPr>
                <w:rFonts w:hint="eastAsia" w:ascii="Times New Roman" w:cs="Times New Roman"/>
                <w:color w:val="auto"/>
                <w:sz w:val="24"/>
                <w:lang w:val="en-US" w:eastAsia="zh-CN"/>
              </w:rPr>
              <w:t>3</w:t>
            </w:r>
            <w:r>
              <w:rPr>
                <w:rFonts w:ascii="Times New Roman" w:hAnsi="Times New Roman" w:eastAsia="宋体" w:cs="Times New Roman"/>
                <w:color w:val="auto"/>
                <w:sz w:val="24"/>
              </w:rPr>
              <w:t>。</w:t>
            </w:r>
          </w:p>
          <w:p w14:paraId="7DF2DC9A">
            <w:pPr>
              <w:pStyle w:val="45"/>
              <w:spacing w:beforeLines="0" w:afterLines="0" w:line="360" w:lineRule="auto"/>
              <w:ind w:firstLine="480" w:firstLineChars="200"/>
              <w:jc w:val="both"/>
              <w:rPr>
                <w:rFonts w:hint="eastAsia" w:ascii="Times New Roman" w:hAnsi="Times New Roman" w:eastAsia="宋体" w:cs="Times New Roman"/>
                <w:color w:val="auto"/>
                <w:sz w:val="24"/>
                <w:lang w:eastAsia="zh-CN"/>
              </w:rPr>
            </w:pPr>
            <w:r>
              <w:rPr>
                <w:rFonts w:ascii="Times New Roman" w:hAnsi="Times New Roman" w:eastAsia="宋体" w:cs="Times New Roman"/>
                <w:color w:val="auto"/>
                <w:sz w:val="24"/>
              </w:rPr>
              <w:fldChar w:fldCharType="begin"/>
            </w:r>
            <w:r>
              <w:rPr>
                <w:rFonts w:ascii="Times New Roman" w:hAnsi="Times New Roman" w:eastAsia="宋体" w:cs="Times New Roman"/>
                <w:color w:val="auto"/>
                <w:sz w:val="24"/>
              </w:rPr>
              <w:instrText xml:space="preserve"> = 6 \* GB3 </w:instrText>
            </w:r>
            <w:r>
              <w:rPr>
                <w:rFonts w:ascii="Times New Roman" w:hAnsi="Times New Roman" w:eastAsia="宋体" w:cs="Times New Roman"/>
                <w:color w:val="auto"/>
                <w:sz w:val="24"/>
              </w:rPr>
              <w:fldChar w:fldCharType="separate"/>
            </w:r>
            <w:r>
              <w:rPr>
                <w:rFonts w:hint="eastAsia" w:hAnsi="宋体" w:eastAsia="宋体" w:cs="宋体"/>
                <w:color w:val="auto"/>
                <w:sz w:val="24"/>
              </w:rPr>
              <w:t>⑥</w:t>
            </w:r>
            <w:r>
              <w:rPr>
                <w:rFonts w:ascii="Times New Roman" w:hAnsi="Times New Roman" w:eastAsia="宋体" w:cs="Times New Roman"/>
                <w:color w:val="auto"/>
                <w:sz w:val="24"/>
              </w:rPr>
              <w:fldChar w:fldCharType="end"/>
            </w:r>
            <w:r>
              <w:rPr>
                <w:rFonts w:hint="eastAsia" w:ascii="Times New Roman" w:cs="Times New Roman"/>
                <w:color w:val="auto"/>
                <w:sz w:val="24"/>
                <w:lang w:eastAsia="zh-CN"/>
              </w:rPr>
              <w:t>除杂</w:t>
            </w:r>
          </w:p>
          <w:p w14:paraId="51E1074C">
            <w:pPr>
              <w:pStyle w:val="45"/>
              <w:spacing w:beforeLines="0" w:afterLines="0" w:line="360" w:lineRule="auto"/>
              <w:ind w:firstLine="480" w:firstLineChars="200"/>
              <w:jc w:val="both"/>
              <w:rPr>
                <w:rFonts w:ascii="Times New Roman" w:hAnsi="Times New Roman" w:eastAsia="宋体" w:cs="Times New Roman"/>
                <w:color w:val="auto"/>
                <w:sz w:val="24"/>
              </w:rPr>
            </w:pPr>
            <w:r>
              <w:rPr>
                <w:rFonts w:ascii="Times New Roman" w:hAnsi="Times New Roman" w:eastAsia="宋体" w:cs="Times New Roman"/>
                <w:color w:val="auto"/>
                <w:sz w:val="24"/>
              </w:rPr>
              <w:t>毛辊刷洗装置去除表皮残留，辅以人工</w:t>
            </w:r>
            <w:r>
              <w:rPr>
                <w:rFonts w:hint="eastAsia" w:ascii="Times New Roman" w:cs="Times New Roman"/>
                <w:color w:val="auto"/>
                <w:sz w:val="24"/>
                <w:lang w:eastAsia="zh-CN"/>
              </w:rPr>
              <w:t>挑拣</w:t>
            </w:r>
            <w:r>
              <w:rPr>
                <w:rFonts w:ascii="Times New Roman" w:hAnsi="Times New Roman" w:eastAsia="宋体" w:cs="Times New Roman"/>
                <w:color w:val="auto"/>
                <w:sz w:val="24"/>
              </w:rPr>
              <w:t>剔除不可食用部分（如杂质</w:t>
            </w:r>
            <w:r>
              <w:rPr>
                <w:rFonts w:hint="eastAsia" w:ascii="Times New Roman" w:cs="Times New Roman"/>
                <w:color w:val="auto"/>
                <w:sz w:val="24"/>
                <w:lang w:eastAsia="zh-CN"/>
              </w:rPr>
              <w:t>等</w:t>
            </w:r>
            <w:r>
              <w:rPr>
                <w:rFonts w:ascii="Times New Roman" w:hAnsi="Times New Roman" w:eastAsia="宋体" w:cs="Times New Roman"/>
                <w:color w:val="auto"/>
                <w:sz w:val="24"/>
              </w:rPr>
              <w:t>），确保</w:t>
            </w:r>
            <w:r>
              <w:rPr>
                <w:rFonts w:ascii="Segoe UI" w:hAnsi="Segoe UI" w:eastAsia="Segoe UI" w:cs="Segoe UI"/>
                <w:i w:val="0"/>
                <w:iCs w:val="0"/>
                <w:caps w:val="0"/>
                <w:color w:val="auto"/>
                <w:spacing w:val="0"/>
                <w:sz w:val="24"/>
                <w:szCs w:val="24"/>
                <w:shd w:val="clear" w:fill="FFFFFF"/>
              </w:rPr>
              <w:t>原料洁净度</w:t>
            </w:r>
            <w:r>
              <w:rPr>
                <w:rFonts w:ascii="Times New Roman" w:hAnsi="Times New Roman" w:eastAsia="宋体" w:cs="Times New Roman"/>
                <w:color w:val="auto"/>
                <w:sz w:val="24"/>
              </w:rPr>
              <w:t>。此过程会产生</w:t>
            </w:r>
            <w:r>
              <w:rPr>
                <w:rFonts w:hint="eastAsia" w:ascii="Times New Roman" w:cs="Times New Roman"/>
                <w:color w:val="auto"/>
                <w:sz w:val="24"/>
                <w:lang w:eastAsia="zh-CN"/>
              </w:rPr>
              <w:t>废原料</w:t>
            </w:r>
            <w:r>
              <w:rPr>
                <w:rFonts w:hint="eastAsia" w:ascii="Times New Roman" w:cs="Times New Roman"/>
                <w:color w:val="auto"/>
                <w:sz w:val="24"/>
                <w:lang w:val="en-US" w:eastAsia="zh-CN"/>
              </w:rPr>
              <w:t>S1-1</w:t>
            </w:r>
            <w:r>
              <w:rPr>
                <w:rFonts w:ascii="Times New Roman" w:hAnsi="Times New Roman" w:eastAsia="宋体" w:cs="Times New Roman"/>
                <w:color w:val="auto"/>
                <w:sz w:val="24"/>
              </w:rPr>
              <w:t>。</w:t>
            </w:r>
          </w:p>
          <w:p w14:paraId="282D9629">
            <w:pPr>
              <w:pStyle w:val="45"/>
              <w:spacing w:beforeLines="0" w:afterLines="0" w:line="360" w:lineRule="auto"/>
              <w:ind w:firstLine="480" w:firstLineChars="200"/>
              <w:jc w:val="both"/>
              <w:rPr>
                <w:rFonts w:ascii="Times New Roman" w:hAnsi="Times New Roman" w:eastAsia="宋体" w:cs="Times New Roman"/>
                <w:color w:val="auto"/>
                <w:sz w:val="24"/>
              </w:rPr>
            </w:pPr>
            <w:r>
              <w:rPr>
                <w:rFonts w:ascii="Times New Roman" w:hAnsi="Times New Roman" w:eastAsia="宋体" w:cs="Times New Roman"/>
                <w:color w:val="auto"/>
                <w:sz w:val="24"/>
              </w:rPr>
              <w:fldChar w:fldCharType="begin"/>
            </w:r>
            <w:r>
              <w:rPr>
                <w:rFonts w:ascii="Times New Roman" w:hAnsi="Times New Roman" w:eastAsia="宋体" w:cs="Times New Roman"/>
                <w:color w:val="auto"/>
                <w:sz w:val="24"/>
              </w:rPr>
              <w:instrText xml:space="preserve"> = 7 \* GB3 </w:instrText>
            </w:r>
            <w:r>
              <w:rPr>
                <w:rFonts w:ascii="Times New Roman" w:hAnsi="Times New Roman" w:eastAsia="宋体" w:cs="Times New Roman"/>
                <w:color w:val="auto"/>
                <w:sz w:val="24"/>
              </w:rPr>
              <w:fldChar w:fldCharType="separate"/>
            </w:r>
            <w:r>
              <w:rPr>
                <w:rFonts w:hint="eastAsia" w:ascii="Times New Roman" w:hAnsi="Times New Roman" w:eastAsia="宋体" w:cs="Times New Roman"/>
                <w:color w:val="auto"/>
                <w:sz w:val="24"/>
              </w:rPr>
              <w:t>⑦</w:t>
            </w:r>
            <w:r>
              <w:rPr>
                <w:rFonts w:ascii="Times New Roman" w:hAnsi="Times New Roman" w:eastAsia="宋体" w:cs="Times New Roman"/>
                <w:color w:val="auto"/>
                <w:sz w:val="24"/>
              </w:rPr>
              <w:fldChar w:fldCharType="end"/>
            </w:r>
            <w:r>
              <w:rPr>
                <w:rFonts w:hint="eastAsia" w:ascii="Times New Roman" w:hAnsi="Times New Roman" w:eastAsia="宋体" w:cs="Times New Roman"/>
                <w:color w:val="auto"/>
                <w:sz w:val="24"/>
                <w:lang w:eastAsia="zh-CN"/>
              </w:rPr>
              <w:t>漂</w:t>
            </w:r>
            <w:r>
              <w:rPr>
                <w:rFonts w:ascii="Times New Roman" w:hAnsi="Times New Roman" w:eastAsia="宋体" w:cs="Times New Roman"/>
                <w:color w:val="auto"/>
                <w:sz w:val="24"/>
              </w:rPr>
              <w:t>烫</w:t>
            </w:r>
          </w:p>
          <w:p w14:paraId="266E9C9C">
            <w:pPr>
              <w:pStyle w:val="45"/>
              <w:spacing w:beforeLines="0" w:afterLines="0" w:line="360" w:lineRule="auto"/>
              <w:ind w:firstLine="480" w:firstLineChars="200"/>
              <w:jc w:val="both"/>
              <w:rPr>
                <w:rFonts w:ascii="Times New Roman" w:hAnsi="Times New Roman" w:eastAsia="宋体" w:cs="Times New Roman"/>
                <w:color w:val="auto"/>
                <w:sz w:val="24"/>
              </w:rPr>
            </w:pPr>
            <w:r>
              <w:rPr>
                <w:rFonts w:hint="default" w:ascii="Times New Roman" w:hAnsi="Times New Roman" w:eastAsia="宋体" w:cs="Times New Roman"/>
                <w:color w:val="auto"/>
                <w:sz w:val="24"/>
              </w:rPr>
              <w:t>蒸汽热力灭酶：鱿鱼条经蒸汽间接加热的沸水（90-95℃）漂烫30-60秒，使蛋白质变性并灭活内源酶，抑制后期品质劣变。</w:t>
            </w:r>
            <w:r>
              <w:rPr>
                <w:rFonts w:hint="eastAsia" w:ascii="Times New Roman" w:hAnsi="Times New Roman" w:eastAsia="宋体" w:cs="Times New Roman"/>
                <w:color w:val="auto"/>
                <w:sz w:val="24"/>
                <w:lang w:eastAsia="zh-CN"/>
              </w:rPr>
              <w:t>此过程会产生</w:t>
            </w:r>
            <w:r>
              <w:rPr>
                <w:rFonts w:hint="eastAsia" w:ascii="Times New Roman" w:cs="Times New Roman"/>
                <w:color w:val="auto"/>
                <w:sz w:val="24"/>
                <w:lang w:eastAsia="zh-CN"/>
              </w:rPr>
              <w:t>漂烫</w:t>
            </w:r>
            <w:r>
              <w:rPr>
                <w:rFonts w:hint="eastAsia" w:ascii="Times New Roman" w:hAnsi="Times New Roman" w:eastAsia="宋体" w:cs="Times New Roman"/>
                <w:color w:val="auto"/>
                <w:sz w:val="24"/>
                <w:lang w:eastAsia="zh-CN"/>
              </w:rPr>
              <w:t>废水</w:t>
            </w:r>
            <w:r>
              <w:rPr>
                <w:rFonts w:hint="eastAsia" w:ascii="Times New Roman" w:hAnsi="Times New Roman" w:eastAsia="宋体" w:cs="Times New Roman"/>
                <w:color w:val="auto"/>
                <w:sz w:val="24"/>
                <w:lang w:val="en-US" w:eastAsia="zh-CN"/>
              </w:rPr>
              <w:t>W1-</w:t>
            </w:r>
            <w:r>
              <w:rPr>
                <w:rFonts w:hint="eastAsia" w:ascii="Times New Roman" w:cs="Times New Roman"/>
                <w:color w:val="auto"/>
                <w:sz w:val="24"/>
                <w:lang w:val="en-US" w:eastAsia="zh-CN"/>
              </w:rPr>
              <w:t>4。</w:t>
            </w:r>
          </w:p>
          <w:p w14:paraId="3BBF4E09">
            <w:pPr>
              <w:pStyle w:val="45"/>
              <w:spacing w:beforeLines="0" w:afterLines="0" w:line="360" w:lineRule="auto"/>
              <w:ind w:firstLine="480" w:firstLineChars="200"/>
              <w:jc w:val="both"/>
              <w:rPr>
                <w:rFonts w:ascii="Times New Roman" w:hAnsi="Times New Roman" w:eastAsia="宋体" w:cs="Times New Roman"/>
                <w:color w:val="auto"/>
                <w:sz w:val="24"/>
              </w:rPr>
            </w:pPr>
            <w:r>
              <w:rPr>
                <w:rFonts w:hint="eastAsia" w:ascii="微软雅黑" w:hAnsi="微软雅黑" w:eastAsia="微软雅黑" w:cs="微软雅黑"/>
                <w:color w:val="auto"/>
                <w:sz w:val="24"/>
              </w:rPr>
              <w:t>⑧</w:t>
            </w:r>
            <w:r>
              <w:rPr>
                <w:rFonts w:hint="default" w:ascii="Times New Roman" w:hAnsi="Times New Roman" w:eastAsia="宋体" w:cs="Times New Roman"/>
                <w:color w:val="auto"/>
                <w:sz w:val="24"/>
              </w:rPr>
              <w:t>冷却</w:t>
            </w:r>
          </w:p>
          <w:p w14:paraId="6238F12C">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两级冷却：</w:t>
            </w:r>
            <w:r>
              <w:rPr>
                <w:rFonts w:hint="eastAsia" w:ascii="Times New Roman" w:hAnsi="Times New Roman" w:eastAsia="宋体" w:cs="Times New Roman"/>
                <w:color w:val="auto"/>
                <w:sz w:val="24"/>
                <w:lang w:eastAsia="zh-CN"/>
              </w:rPr>
              <w:t>一级冷却：</w:t>
            </w:r>
            <w:r>
              <w:rPr>
                <w:rFonts w:hint="default" w:ascii="Times New Roman" w:hAnsi="Times New Roman" w:eastAsia="宋体" w:cs="Times New Roman"/>
                <w:color w:val="auto"/>
                <w:sz w:val="24"/>
              </w:rPr>
              <w:t>采用氟利昂（R507）制冷水（0~4℃）浸泡冷却，使鱿鱼中心温度在5~10分钟内降至10℃以下，后进入二级冷却机进一步稳定</w:t>
            </w:r>
            <w:r>
              <w:rPr>
                <w:rFonts w:hint="eastAsia" w:ascii="Times New Roman" w:cs="Times New Roman"/>
                <w:color w:val="auto"/>
                <w:sz w:val="24"/>
                <w:lang w:eastAsia="zh-CN"/>
              </w:rPr>
              <w:t>降</w:t>
            </w:r>
            <w:r>
              <w:rPr>
                <w:rFonts w:hint="default" w:ascii="Times New Roman" w:hAnsi="Times New Roman" w:eastAsia="宋体" w:cs="Times New Roman"/>
                <w:color w:val="auto"/>
                <w:sz w:val="24"/>
              </w:rPr>
              <w:t>温，进入冰水混合槽（冰水比1:1，温度≤4℃）进一步冷却，确保中心温度≤5℃。</w:t>
            </w:r>
            <w:r>
              <w:rPr>
                <w:rFonts w:hint="eastAsia" w:ascii="Times New Roman" w:hAnsi="Times New Roman" w:eastAsia="宋体" w:cs="Times New Roman"/>
                <w:color w:val="auto"/>
                <w:sz w:val="24"/>
                <w:lang w:eastAsia="zh-CN"/>
              </w:rPr>
              <w:t>一级冷却水</w:t>
            </w:r>
            <w:r>
              <w:rPr>
                <w:rFonts w:hint="default" w:ascii="Times New Roman" w:hAnsi="Times New Roman" w:eastAsia="宋体" w:cs="Times New Roman"/>
                <w:color w:val="auto"/>
                <w:sz w:val="24"/>
              </w:rPr>
              <w:t>氟利昂制冷水在循环使用过程中通常每8~12小时排放一次</w:t>
            </w:r>
            <w:r>
              <w:rPr>
                <w:rFonts w:hint="eastAsia" w:ascii="Times New Roman" w:hAnsi="Times New Roman" w:eastAsia="宋体" w:cs="Times New Roman"/>
                <w:color w:val="auto"/>
                <w:sz w:val="24"/>
                <w:lang w:eastAsia="zh-CN"/>
              </w:rPr>
              <w:t>，二级冷却水</w:t>
            </w:r>
            <w:r>
              <w:rPr>
                <w:rFonts w:hint="default" w:ascii="Times New Roman" w:hAnsi="Times New Roman" w:eastAsia="宋体" w:cs="Times New Roman"/>
                <w:color w:val="auto"/>
                <w:sz w:val="24"/>
              </w:rPr>
              <w:t>冰水槽</w:t>
            </w:r>
            <w:r>
              <w:rPr>
                <w:rFonts w:hint="eastAsia" w:ascii="Times New Roman" w:hAnsi="Times New Roman" w:eastAsia="宋体" w:cs="Times New Roman"/>
                <w:color w:val="auto"/>
                <w:sz w:val="24"/>
                <w:lang w:eastAsia="zh-CN"/>
              </w:rPr>
              <w:t>间歇排放，</w:t>
            </w:r>
            <w:r>
              <w:rPr>
                <w:rFonts w:hint="default" w:ascii="Times New Roman" w:hAnsi="Times New Roman" w:eastAsia="宋体" w:cs="Times New Roman"/>
                <w:color w:val="auto"/>
                <w:sz w:val="24"/>
              </w:rPr>
              <w:t>此过程产生</w:t>
            </w:r>
            <w:r>
              <w:rPr>
                <w:rFonts w:hint="eastAsia" w:ascii="Times New Roman" w:hAnsi="Times New Roman" w:eastAsia="宋体" w:cs="Times New Roman"/>
                <w:color w:val="auto"/>
                <w:sz w:val="24"/>
                <w:lang w:eastAsia="zh-CN"/>
              </w:rPr>
              <w:t>冷却</w:t>
            </w:r>
            <w:r>
              <w:rPr>
                <w:rFonts w:hint="default" w:ascii="Times New Roman" w:hAnsi="Times New Roman" w:eastAsia="宋体" w:cs="Times New Roman"/>
                <w:color w:val="auto"/>
                <w:sz w:val="24"/>
              </w:rPr>
              <w:t>废水W</w:t>
            </w:r>
            <w:r>
              <w:rPr>
                <w:rFonts w:hint="eastAsia" w:ascii="Times New Roman" w:hAnsi="Times New Roman" w:eastAsia="宋体" w:cs="Times New Roman"/>
                <w:color w:val="auto"/>
                <w:sz w:val="24"/>
                <w:lang w:val="en-US" w:eastAsia="zh-CN"/>
              </w:rPr>
              <w:t>1-5</w:t>
            </w:r>
            <w:r>
              <w:rPr>
                <w:rFonts w:hint="default" w:ascii="Times New Roman" w:hAnsi="Times New Roman" w:eastAsia="宋体" w:cs="Times New Roman"/>
                <w:color w:val="auto"/>
                <w:sz w:val="24"/>
              </w:rPr>
              <w:t>。</w:t>
            </w:r>
          </w:p>
          <w:p w14:paraId="0E26C144">
            <w:pPr>
              <w:pStyle w:val="45"/>
              <w:spacing w:beforeLines="0" w:afterLines="0" w:line="360" w:lineRule="auto"/>
              <w:ind w:firstLine="480" w:firstLineChars="200"/>
              <w:jc w:val="both"/>
              <w:rPr>
                <w:rFonts w:ascii="Times New Roman" w:hAnsi="Times New Roman" w:eastAsia="宋体" w:cs="Times New Roman"/>
                <w:color w:val="auto"/>
                <w:sz w:val="24"/>
              </w:rPr>
            </w:pPr>
            <w:r>
              <w:rPr>
                <w:rFonts w:hint="default" w:ascii="Times New Roman" w:hAnsi="Times New Roman" w:eastAsia="宋体" w:cs="Times New Roman"/>
                <w:color w:val="auto"/>
                <w:sz w:val="24"/>
              </w:rPr>
              <w:t>⑨烘干</w:t>
            </w:r>
          </w:p>
          <w:p w14:paraId="007B489F">
            <w:pPr>
              <w:pStyle w:val="45"/>
              <w:spacing w:beforeLines="0" w:afterLines="0" w:line="360" w:lineRule="auto"/>
              <w:ind w:firstLine="480" w:firstLineChars="200"/>
              <w:jc w:val="both"/>
              <w:rPr>
                <w:rFonts w:ascii="Times New Roman" w:hAnsi="Times New Roman" w:eastAsia="宋体" w:cs="Times New Roman"/>
                <w:color w:val="auto"/>
                <w:sz w:val="24"/>
              </w:rPr>
            </w:pPr>
            <w:r>
              <w:rPr>
                <w:rFonts w:hint="eastAsia" w:ascii="Times New Roman" w:cs="Times New Roman"/>
                <w:color w:val="auto"/>
                <w:sz w:val="24"/>
                <w:lang w:eastAsia="zh-CN"/>
              </w:rPr>
              <w:t>使用</w:t>
            </w:r>
            <w:r>
              <w:rPr>
                <w:rFonts w:hint="default" w:ascii="Times New Roman" w:hAnsi="Times New Roman" w:eastAsia="宋体" w:cs="Times New Roman"/>
                <w:color w:val="auto"/>
                <w:sz w:val="24"/>
              </w:rPr>
              <w:t>烘干机分阶段控温（50℃→65℃→45℃），风速0.5-1.2m/s，终产品水分含量控制在40-45%。</w:t>
            </w:r>
            <w:r>
              <w:rPr>
                <w:rFonts w:hint="eastAsia" w:ascii="Times New Roman" w:cs="Times New Roman"/>
                <w:color w:val="auto"/>
                <w:sz w:val="24"/>
                <w:lang w:eastAsia="zh-CN"/>
              </w:rPr>
              <w:t>经过本工序烘干，形成熟质的海珍品，此过程无蒸汽冷凝水产生。</w:t>
            </w:r>
          </w:p>
          <w:p w14:paraId="387042F3">
            <w:pPr>
              <w:pStyle w:val="45"/>
              <w:spacing w:beforeLines="0" w:afterLines="0" w:line="360" w:lineRule="auto"/>
              <w:ind w:firstLine="480" w:firstLineChars="200"/>
              <w:jc w:val="both"/>
              <w:rPr>
                <w:rFonts w:ascii="Times New Roman" w:hAnsi="Times New Roman" w:eastAsia="宋体" w:cs="Times New Roman"/>
                <w:color w:val="auto"/>
                <w:sz w:val="24"/>
              </w:rPr>
            </w:pPr>
            <w:r>
              <w:rPr>
                <w:rFonts w:hint="default" w:ascii="Times New Roman" w:hAnsi="Times New Roman" w:eastAsia="宋体" w:cs="Times New Roman"/>
                <w:color w:val="auto"/>
                <w:sz w:val="24"/>
              </w:rPr>
              <w:t>⑩调味</w:t>
            </w:r>
          </w:p>
          <w:p w14:paraId="2C6D83F2">
            <w:pPr>
              <w:pStyle w:val="45"/>
              <w:spacing w:beforeLines="0" w:afterLines="0" w:line="360" w:lineRule="auto"/>
              <w:ind w:firstLine="480" w:firstLineChars="200"/>
              <w:jc w:val="both"/>
              <w:rPr>
                <w:rFonts w:ascii="Times New Roman" w:hAnsi="Times New Roman" w:eastAsia="宋体" w:cs="Times New Roman"/>
                <w:color w:val="auto"/>
                <w:sz w:val="24"/>
              </w:rPr>
            </w:pPr>
            <w:r>
              <w:rPr>
                <w:rFonts w:hint="default" w:ascii="Times New Roman" w:hAnsi="Times New Roman" w:eastAsia="宋体" w:cs="Times New Roman"/>
                <w:color w:val="auto"/>
                <w:sz w:val="24"/>
              </w:rPr>
              <w:t>动态拌油：卧式输送拌油机均匀喷涂色拉油（添加量3-5%），同步混合调味料，确保风味物质渗透。</w:t>
            </w:r>
          </w:p>
          <w:p w14:paraId="3F2F4D29">
            <w:pPr>
              <w:pStyle w:val="45"/>
              <w:spacing w:beforeLines="0" w:afterLines="0" w:line="360" w:lineRule="auto"/>
              <w:ind w:firstLine="480" w:firstLineChars="200"/>
              <w:jc w:val="both"/>
              <w:rPr>
                <w:rFonts w:ascii="Times New Roman" w:hAnsi="Times New Roman" w:eastAsia="宋体" w:cs="Times New Roman"/>
                <w:color w:val="auto"/>
                <w:sz w:val="24"/>
              </w:rPr>
            </w:pPr>
            <w:r>
              <w:rPr>
                <w:rFonts w:hint="default" w:ascii="Times New Roman" w:hAnsi="Times New Roman" w:eastAsia="宋体" w:cs="Times New Roman"/>
                <w:color w:val="auto"/>
                <w:sz w:val="24"/>
              </w:rPr>
              <w:t>⑪焙烤</w:t>
            </w:r>
          </w:p>
          <w:p w14:paraId="6B205D49">
            <w:pPr>
              <w:pStyle w:val="45"/>
              <w:spacing w:beforeLines="0" w:afterLines="0" w:line="360" w:lineRule="auto"/>
              <w:ind w:firstLine="480" w:firstLineChars="200"/>
              <w:jc w:val="both"/>
              <w:rPr>
                <w:rFonts w:ascii="Times New Roman" w:hAnsi="Times New Roman" w:eastAsia="宋体" w:cs="Times New Roman"/>
                <w:color w:val="auto"/>
                <w:sz w:val="24"/>
              </w:rPr>
            </w:pPr>
            <w:r>
              <w:rPr>
                <w:rFonts w:hint="default" w:ascii="Times New Roman" w:hAnsi="Times New Roman" w:eastAsia="宋体" w:cs="Times New Roman"/>
                <w:color w:val="auto"/>
                <w:sz w:val="24"/>
              </w:rPr>
              <w:t>网带式电热焙烤：多层网带烤箱分区控温（120-150℃），时间</w:t>
            </w:r>
            <w:r>
              <w:rPr>
                <w:rFonts w:hint="eastAsia" w:ascii="Times New Roman" w:cs="Times New Roman"/>
                <w:color w:val="auto"/>
                <w:sz w:val="24"/>
                <w:lang w:eastAsia="zh-CN"/>
              </w:rPr>
              <w:t>2～3分钟</w:t>
            </w:r>
            <w:r>
              <w:rPr>
                <w:rFonts w:hint="default" w:ascii="Times New Roman" w:hAnsi="Times New Roman" w:eastAsia="宋体" w:cs="Times New Roman"/>
                <w:color w:val="auto"/>
                <w:sz w:val="24"/>
              </w:rPr>
              <w:t>，形成表层焦香风味，同时降低水分至30-35%。</w:t>
            </w:r>
          </w:p>
          <w:p w14:paraId="7C880CAF">
            <w:pPr>
              <w:pStyle w:val="45"/>
              <w:spacing w:beforeLines="0" w:afterLines="0" w:line="360" w:lineRule="auto"/>
              <w:ind w:firstLine="480" w:firstLineChars="200"/>
              <w:jc w:val="both"/>
              <w:rPr>
                <w:rFonts w:ascii="Times New Roman" w:hAnsi="Times New Roman" w:eastAsia="宋体" w:cs="Times New Roman"/>
                <w:color w:val="auto"/>
                <w:sz w:val="24"/>
              </w:rPr>
            </w:pPr>
            <w:r>
              <w:rPr>
                <w:rFonts w:hint="default" w:ascii="Times New Roman" w:hAnsi="Times New Roman" w:eastAsia="宋体" w:cs="Times New Roman"/>
                <w:color w:val="auto"/>
                <w:sz w:val="24"/>
              </w:rPr>
              <w:t>⑫冷却</w:t>
            </w:r>
          </w:p>
          <w:p w14:paraId="3F844316">
            <w:pPr>
              <w:pStyle w:val="45"/>
              <w:spacing w:beforeLines="0" w:afterLines="0" w:line="360" w:lineRule="auto"/>
              <w:ind w:firstLine="480" w:firstLineChars="200"/>
              <w:jc w:val="both"/>
              <w:rPr>
                <w:rFonts w:ascii="Times New Roman" w:hAnsi="Times New Roman" w:eastAsia="宋体" w:cs="Times New Roman"/>
                <w:color w:val="auto"/>
                <w:sz w:val="24"/>
              </w:rPr>
            </w:pPr>
            <w:r>
              <w:rPr>
                <w:rFonts w:hint="default" w:ascii="Times New Roman" w:hAnsi="Times New Roman" w:eastAsia="宋体" w:cs="Times New Roman"/>
                <w:color w:val="auto"/>
                <w:sz w:val="24"/>
              </w:rPr>
              <w:t>强制风冷：洁净空气循环冷却（室温±2℃）至产品中心温度≤25℃，避免包装结露。</w:t>
            </w:r>
          </w:p>
          <w:p w14:paraId="448768A7">
            <w:pPr>
              <w:pStyle w:val="45"/>
              <w:spacing w:beforeLines="0" w:afterLines="0" w:line="360" w:lineRule="auto"/>
              <w:ind w:firstLine="480" w:firstLineChars="200"/>
              <w:jc w:val="both"/>
              <w:rPr>
                <w:rFonts w:ascii="Times New Roman" w:hAnsi="Times New Roman" w:eastAsia="宋体" w:cs="Times New Roman"/>
                <w:color w:val="auto"/>
                <w:sz w:val="24"/>
              </w:rPr>
            </w:pPr>
            <w:r>
              <w:rPr>
                <w:rFonts w:hint="default" w:ascii="Times New Roman" w:hAnsi="Times New Roman" w:eastAsia="宋体" w:cs="Times New Roman"/>
                <w:color w:val="auto"/>
                <w:sz w:val="24"/>
              </w:rPr>
              <w:t>⑬检质</w:t>
            </w:r>
          </w:p>
          <w:p w14:paraId="4E76E009">
            <w:pPr>
              <w:pStyle w:val="45"/>
              <w:spacing w:beforeLines="0" w:afterLines="0" w:line="360" w:lineRule="auto"/>
              <w:ind w:firstLine="480" w:firstLineChars="200"/>
              <w:jc w:val="both"/>
              <w:rPr>
                <w:rFonts w:ascii="Times New Roman" w:hAnsi="Times New Roman" w:eastAsia="宋体" w:cs="Times New Roman"/>
                <w:color w:val="auto"/>
                <w:sz w:val="24"/>
              </w:rPr>
            </w:pPr>
            <w:r>
              <w:rPr>
                <w:rFonts w:hint="default" w:ascii="Times New Roman" w:hAnsi="Times New Roman" w:eastAsia="宋体" w:cs="Times New Roman"/>
                <w:color w:val="auto"/>
                <w:sz w:val="24"/>
              </w:rPr>
              <w:t>感官与理化检验：按GB 2733等标准检测色泽、气味、异物及水分活度（Aw≤0.85）</w:t>
            </w:r>
            <w:r>
              <w:rPr>
                <w:rFonts w:hint="eastAsia" w:ascii="Times New Roman" w:cs="Times New Roman"/>
                <w:color w:val="auto"/>
                <w:sz w:val="24"/>
                <w:lang w:eastAsia="zh-CN"/>
              </w:rPr>
              <w:t>等</w:t>
            </w:r>
            <w:r>
              <w:rPr>
                <w:rFonts w:hint="default" w:ascii="Times New Roman" w:hAnsi="Times New Roman" w:eastAsia="宋体" w:cs="Times New Roman"/>
                <w:color w:val="auto"/>
                <w:sz w:val="24"/>
              </w:rPr>
              <w:t>。</w:t>
            </w:r>
          </w:p>
          <w:p w14:paraId="49D59636">
            <w:pPr>
              <w:pStyle w:val="45"/>
              <w:spacing w:beforeLines="0" w:afterLines="0" w:line="360" w:lineRule="auto"/>
              <w:ind w:firstLine="480" w:firstLineChars="200"/>
              <w:jc w:val="both"/>
              <w:rPr>
                <w:rFonts w:ascii="Times New Roman" w:hAnsi="Times New Roman" w:eastAsia="宋体" w:cs="Times New Roman"/>
                <w:color w:val="auto"/>
                <w:sz w:val="24"/>
              </w:rPr>
            </w:pPr>
            <w:r>
              <w:rPr>
                <w:rFonts w:hint="default" w:ascii="Times New Roman" w:hAnsi="Times New Roman" w:eastAsia="宋体" w:cs="Times New Roman"/>
                <w:color w:val="auto"/>
                <w:sz w:val="24"/>
              </w:rPr>
              <w:t>⑭内包装</w:t>
            </w:r>
          </w:p>
          <w:p w14:paraId="1949CEDC">
            <w:pPr>
              <w:pStyle w:val="45"/>
              <w:spacing w:beforeLines="0" w:afterLines="0" w:line="360" w:lineRule="auto"/>
              <w:ind w:firstLine="480" w:firstLineChars="200"/>
              <w:jc w:val="both"/>
              <w:rPr>
                <w:rFonts w:ascii="Times New Roman" w:hAnsi="Times New Roman" w:eastAsia="宋体" w:cs="Times New Roman"/>
                <w:color w:val="auto"/>
                <w:sz w:val="24"/>
              </w:rPr>
            </w:pPr>
            <w:r>
              <w:rPr>
                <w:rFonts w:hint="default" w:ascii="Times New Roman" w:hAnsi="Times New Roman" w:eastAsia="宋体" w:cs="Times New Roman"/>
                <w:color w:val="auto"/>
                <w:sz w:val="24"/>
              </w:rPr>
              <w:t>自动化包装：多头秤定量（误差±1g）→给袋式包装机充氮密封→金属探测（Fe≥φ1.5mm，Sus≥φ2.0mm）→X光机检测异物（分辨率≥0.8mm）。</w:t>
            </w:r>
          </w:p>
          <w:p w14:paraId="5DDB27F6">
            <w:pPr>
              <w:pStyle w:val="45"/>
              <w:spacing w:beforeLines="0" w:afterLines="0" w:line="360" w:lineRule="auto"/>
              <w:ind w:firstLine="480" w:firstLineChars="200"/>
              <w:jc w:val="both"/>
              <w:rPr>
                <w:rFonts w:ascii="Times New Roman" w:hAnsi="Times New Roman" w:eastAsia="宋体" w:cs="Times New Roman"/>
                <w:color w:val="auto"/>
                <w:sz w:val="24"/>
              </w:rPr>
            </w:pPr>
            <w:r>
              <w:rPr>
                <w:rFonts w:hint="default" w:ascii="Times New Roman" w:hAnsi="Times New Roman" w:eastAsia="宋体" w:cs="Times New Roman"/>
                <w:color w:val="auto"/>
                <w:sz w:val="24"/>
              </w:rPr>
              <w:t>⑮速冻</w:t>
            </w:r>
          </w:p>
          <w:p w14:paraId="11061281">
            <w:pPr>
              <w:pStyle w:val="45"/>
              <w:spacing w:beforeLines="0" w:afterLines="0" w:line="360" w:lineRule="auto"/>
              <w:ind w:firstLine="480" w:firstLineChars="200"/>
              <w:jc w:val="both"/>
              <w:rPr>
                <w:rFonts w:ascii="Times New Roman" w:hAnsi="Times New Roman" w:eastAsia="宋体" w:cs="Times New Roman"/>
                <w:color w:val="auto"/>
                <w:sz w:val="24"/>
              </w:rPr>
            </w:pPr>
            <w:r>
              <w:rPr>
                <w:rFonts w:hint="default" w:ascii="Times New Roman" w:hAnsi="Times New Roman" w:eastAsia="宋体" w:cs="Times New Roman"/>
                <w:color w:val="auto"/>
                <w:sz w:val="24"/>
              </w:rPr>
              <w:t>螺旋单体速冻：氟利昂制冷系统（-35℃以下），30分钟内通过最大冰晶生成带，终温≤-18℃。</w:t>
            </w:r>
          </w:p>
          <w:p w14:paraId="64C97729">
            <w:pPr>
              <w:pStyle w:val="45"/>
              <w:spacing w:beforeLines="0" w:afterLines="0" w:line="360" w:lineRule="auto"/>
              <w:ind w:firstLine="480" w:firstLineChars="200"/>
              <w:jc w:val="both"/>
              <w:rPr>
                <w:rFonts w:ascii="Times New Roman" w:hAnsi="Times New Roman" w:eastAsia="宋体" w:cs="Times New Roman"/>
                <w:color w:val="auto"/>
                <w:sz w:val="24"/>
              </w:rPr>
            </w:pPr>
            <w:r>
              <w:rPr>
                <w:rFonts w:hint="default" w:ascii="Times New Roman" w:hAnsi="Times New Roman" w:eastAsia="宋体" w:cs="Times New Roman"/>
                <w:color w:val="auto"/>
                <w:sz w:val="24"/>
              </w:rPr>
              <w:t>⑯外包装</w:t>
            </w:r>
          </w:p>
          <w:p w14:paraId="30B4D51F">
            <w:pPr>
              <w:pStyle w:val="45"/>
              <w:spacing w:beforeLines="0" w:afterLines="0" w:line="360" w:lineRule="auto"/>
              <w:ind w:firstLine="480" w:firstLineChars="200"/>
              <w:jc w:val="both"/>
              <w:rPr>
                <w:rFonts w:ascii="Times New Roman" w:hAnsi="Times New Roman" w:eastAsia="宋体" w:cs="Times New Roman"/>
                <w:color w:val="auto"/>
                <w:sz w:val="24"/>
              </w:rPr>
            </w:pPr>
            <w:r>
              <w:rPr>
                <w:rFonts w:hint="default" w:ascii="Times New Roman" w:hAnsi="Times New Roman" w:eastAsia="宋体" w:cs="Times New Roman"/>
                <w:color w:val="auto"/>
                <w:sz w:val="24"/>
              </w:rPr>
              <w:t>机械臂装箱：机械臂按设定规格码放，自动喷码并封箱，信息追溯系统关联批次。</w:t>
            </w:r>
          </w:p>
          <w:p w14:paraId="127B1A85">
            <w:pPr>
              <w:pStyle w:val="45"/>
              <w:spacing w:beforeLines="0" w:afterLines="0" w:line="360" w:lineRule="auto"/>
              <w:ind w:firstLine="480" w:firstLineChars="200"/>
              <w:jc w:val="both"/>
              <w:rPr>
                <w:rFonts w:ascii="Times New Roman" w:hAnsi="Times New Roman" w:eastAsia="宋体" w:cs="Times New Roman"/>
                <w:color w:val="auto"/>
                <w:sz w:val="24"/>
              </w:rPr>
            </w:pPr>
            <w:r>
              <w:rPr>
                <w:rFonts w:hint="default" w:ascii="Times New Roman" w:hAnsi="Times New Roman" w:eastAsia="宋体" w:cs="Times New Roman"/>
                <w:color w:val="auto"/>
                <w:sz w:val="24"/>
              </w:rPr>
              <w:t>⑰冷藏</w:t>
            </w:r>
          </w:p>
          <w:p w14:paraId="53EF9531">
            <w:pPr>
              <w:pStyle w:val="45"/>
              <w:spacing w:beforeLines="0" w:afterLines="0" w:line="360" w:lineRule="auto"/>
              <w:ind w:firstLine="480" w:firstLineChars="200"/>
              <w:jc w:val="both"/>
              <w:rPr>
                <w:rFonts w:ascii="Times New Roman" w:hAnsi="Times New Roman" w:eastAsia="宋体" w:cs="Times New Roman"/>
                <w:color w:val="auto"/>
                <w:sz w:val="24"/>
              </w:rPr>
            </w:pPr>
            <w:r>
              <w:rPr>
                <w:rFonts w:hint="default" w:ascii="Times New Roman" w:hAnsi="Times New Roman" w:eastAsia="宋体" w:cs="Times New Roman"/>
                <w:color w:val="auto"/>
                <w:sz w:val="24"/>
              </w:rPr>
              <w:t>低温仓储：-18℃以下冷冻库（温度波动±1℃），堆垛间距≥30cm，符合GB 31605储存要求。</w:t>
            </w:r>
          </w:p>
          <w:p w14:paraId="3D52AE82">
            <w:pPr>
              <w:pStyle w:val="45"/>
              <w:spacing w:beforeLines="0" w:afterLines="0" w:line="360" w:lineRule="auto"/>
              <w:ind w:firstLine="480" w:firstLineChars="200"/>
              <w:jc w:val="both"/>
              <w:rPr>
                <w:rFonts w:ascii="Times New Roman" w:hAnsi="Times New Roman" w:eastAsia="宋体" w:cs="Times New Roman"/>
                <w:color w:val="auto"/>
                <w:sz w:val="24"/>
              </w:rPr>
            </w:pPr>
            <w:r>
              <w:rPr>
                <w:rFonts w:hint="default" w:ascii="Times New Roman" w:hAnsi="Times New Roman" w:eastAsia="宋体" w:cs="Times New Roman"/>
                <w:color w:val="auto"/>
                <w:sz w:val="24"/>
              </w:rPr>
              <w:t>⑱发运</w:t>
            </w:r>
          </w:p>
          <w:p w14:paraId="5A22C02F">
            <w:pPr>
              <w:pStyle w:val="45"/>
              <w:spacing w:beforeLines="0" w:afterLines="0" w:line="360" w:lineRule="auto"/>
              <w:ind w:firstLine="480" w:firstLineChars="200"/>
              <w:jc w:val="both"/>
              <w:rPr>
                <w:rFonts w:ascii="Times New Roman" w:hAnsi="Times New Roman" w:eastAsia="宋体" w:cs="Times New Roman"/>
                <w:color w:val="auto"/>
                <w:sz w:val="24"/>
              </w:rPr>
            </w:pPr>
            <w:r>
              <w:rPr>
                <w:rFonts w:hint="default" w:ascii="Times New Roman" w:hAnsi="Times New Roman" w:eastAsia="宋体" w:cs="Times New Roman"/>
                <w:color w:val="auto"/>
                <w:sz w:val="24"/>
              </w:rPr>
              <w:t>冷链物流：冷藏车预冷至-18℃后装货，全程温度监控并记录。</w:t>
            </w:r>
          </w:p>
          <w:p w14:paraId="2724755F">
            <w:pPr>
              <w:pStyle w:val="45"/>
              <w:spacing w:before="24" w:after="24" w:line="360" w:lineRule="auto"/>
              <w:ind w:firstLine="482" w:firstLineChars="200"/>
              <w:jc w:val="left"/>
              <w:rPr>
                <w:rFonts w:ascii="Times New Roman" w:hAnsi="Times New Roman" w:eastAsia="宋体" w:cs="Times New Roman"/>
                <w:b/>
                <w:color w:val="auto"/>
                <w:sz w:val="24"/>
              </w:rPr>
            </w:pPr>
            <w:r>
              <w:rPr>
                <w:rFonts w:ascii="Times New Roman" w:hAnsi="Times New Roman" w:eastAsia="宋体" w:cs="Times New Roman"/>
                <w:b/>
                <w:color w:val="auto"/>
                <w:sz w:val="24"/>
              </w:rPr>
              <w:t>（2）</w:t>
            </w:r>
            <w:r>
              <w:rPr>
                <w:rFonts w:hint="eastAsia" w:ascii="Times New Roman" w:cs="Times New Roman"/>
                <w:b/>
                <w:color w:val="auto"/>
                <w:sz w:val="24"/>
                <w:lang w:eastAsia="zh-CN"/>
              </w:rPr>
              <w:t>肉类加工</w:t>
            </w:r>
            <w:r>
              <w:rPr>
                <w:rFonts w:ascii="Times New Roman" w:hAnsi="Times New Roman" w:eastAsia="宋体" w:cs="Times New Roman"/>
                <w:b/>
                <w:color w:val="auto"/>
                <w:sz w:val="24"/>
              </w:rPr>
              <w:t>生产工艺</w:t>
            </w:r>
          </w:p>
          <w:p w14:paraId="4394EE46">
            <w:pPr>
              <w:pStyle w:val="45"/>
              <w:spacing w:beforeLines="0" w:afterLines="0" w:line="240" w:lineRule="auto"/>
              <w:jc w:val="center"/>
              <w:rPr>
                <w:rFonts w:ascii="Times New Roman" w:hAnsi="Times New Roman" w:eastAsia="宋体" w:cs="Times New Roman"/>
                <w:color w:val="auto"/>
              </w:rPr>
            </w:pPr>
            <w:r>
              <w:rPr>
                <w:rFonts w:ascii="Times New Roman" w:hAnsi="Times New Roman" w:eastAsia="宋体" w:cs="Times New Roman"/>
                <w:color w:val="auto"/>
              </w:rPr>
              <w:object>
                <v:shape id="_x0000_i1028" o:spt="75" type="#_x0000_t75" style="height:387.05pt;width:219pt;" o:ole="t" filled="f" o:preferrelative="t" stroked="f" coordsize="21600,21600">
                  <v:path/>
                  <v:fill on="f" focussize="0,0"/>
                  <v:stroke on="f"/>
                  <v:imagedata r:id="rId18" o:title=""/>
                  <o:lock v:ext="edit" aspectratio="f"/>
                  <w10:wrap type="none"/>
                  <w10:anchorlock/>
                </v:shape>
                <o:OLEObject Type="Embed" ProgID="Visio.Drawing.15" ShapeID="_x0000_i1028" DrawAspect="Content" ObjectID="_1468075728" r:id="rId17">
                  <o:LockedField>false</o:LockedField>
                </o:OLEObject>
              </w:object>
            </w:r>
          </w:p>
          <w:p w14:paraId="40470914">
            <w:pPr>
              <w:pStyle w:val="45"/>
              <w:spacing w:beforeLines="0" w:afterLines="0" w:line="240" w:lineRule="auto"/>
              <w:rPr>
                <w:rFonts w:ascii="Times New Roman" w:hAnsi="Times New Roman" w:eastAsia="宋体" w:cs="Times New Roman"/>
                <w:b/>
                <w:color w:val="auto"/>
                <w:sz w:val="24"/>
              </w:rPr>
            </w:pPr>
            <w:r>
              <w:rPr>
                <w:rFonts w:ascii="Times New Roman" w:hAnsi="Times New Roman" w:eastAsia="宋体" w:cs="Times New Roman"/>
                <w:b/>
                <w:color w:val="auto"/>
                <w:sz w:val="24"/>
              </w:rPr>
              <w:t>图2-</w:t>
            </w:r>
            <w:r>
              <w:rPr>
                <w:rFonts w:hint="eastAsia" w:ascii="Times New Roman" w:cs="Times New Roman"/>
                <w:b/>
                <w:color w:val="auto"/>
                <w:sz w:val="24"/>
                <w:lang w:val="en-US" w:eastAsia="zh-CN"/>
              </w:rPr>
              <w:t>4</w:t>
            </w:r>
            <w:r>
              <w:rPr>
                <w:rFonts w:ascii="Times New Roman" w:hAnsi="Times New Roman" w:eastAsia="宋体" w:cs="Times New Roman"/>
                <w:b/>
                <w:color w:val="auto"/>
                <w:sz w:val="24"/>
              </w:rPr>
              <w:t xml:space="preserve">  </w:t>
            </w:r>
            <w:r>
              <w:rPr>
                <w:rFonts w:hint="eastAsia" w:ascii="Times New Roman" w:cs="Times New Roman"/>
                <w:b/>
                <w:color w:val="auto"/>
                <w:sz w:val="24"/>
                <w:lang w:eastAsia="zh-CN"/>
              </w:rPr>
              <w:t>肉类加工</w:t>
            </w:r>
            <w:r>
              <w:rPr>
                <w:rFonts w:ascii="Times New Roman" w:hAnsi="Times New Roman" w:eastAsia="宋体" w:cs="Times New Roman"/>
                <w:b/>
                <w:color w:val="auto"/>
                <w:sz w:val="24"/>
              </w:rPr>
              <w:t>冷冻品生产工艺流程及产污环节图</w:t>
            </w:r>
          </w:p>
          <w:p w14:paraId="20652F42">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 原料解冻</w:t>
            </w:r>
          </w:p>
          <w:p w14:paraId="09AD82F8">
            <w:pPr>
              <w:pStyle w:val="45"/>
              <w:spacing w:beforeLines="0" w:afterLines="0" w:line="360" w:lineRule="auto"/>
              <w:ind w:firstLine="480" w:firstLineChars="200"/>
              <w:jc w:val="both"/>
              <w:rPr>
                <w:rFonts w:ascii="Times New Roman" w:hAnsi="Times New Roman" w:eastAsia="宋体" w:cs="Times New Roman"/>
                <w:color w:val="auto"/>
                <w:sz w:val="24"/>
              </w:rPr>
            </w:pPr>
            <w:r>
              <w:rPr>
                <w:rFonts w:hint="eastAsia" w:ascii="Times New Roman" w:cs="Times New Roman"/>
                <w:color w:val="auto"/>
                <w:sz w:val="24"/>
                <w:lang w:eastAsia="zh-CN"/>
              </w:rPr>
              <w:t>对于采买生质的冷冻牛肉经</w:t>
            </w:r>
            <w:r>
              <w:rPr>
                <w:rFonts w:hint="default" w:ascii="Times New Roman" w:hAnsi="Times New Roman" w:eastAsia="宋体" w:cs="Times New Roman"/>
                <w:color w:val="auto"/>
                <w:sz w:val="24"/>
              </w:rPr>
              <w:t>电加热+蒸汽加湿系统，控制库内温度（0~4℃）、相对湿度（85%~95%），解冻时间8~12小时（视肉块大小调整），确保中心温度升至-1~2℃，避免汁液流失和微生物超标（菌落总数≤10⁵CFU/g）。</w:t>
            </w:r>
            <w:r>
              <w:rPr>
                <w:rFonts w:hint="eastAsia" w:ascii="Times New Roman" w:hAnsi="Times New Roman" w:eastAsia="宋体" w:cs="Times New Roman"/>
                <w:color w:val="auto"/>
                <w:sz w:val="24"/>
              </w:rPr>
              <w:t>此过程会产生</w:t>
            </w:r>
            <w:r>
              <w:rPr>
                <w:rFonts w:hint="eastAsia" w:ascii="Times New Roman" w:cs="Times New Roman"/>
                <w:color w:val="auto"/>
                <w:sz w:val="24"/>
                <w:lang w:eastAsia="zh-CN"/>
              </w:rPr>
              <w:t>解冻废水</w:t>
            </w:r>
            <w:r>
              <w:rPr>
                <w:rFonts w:hint="eastAsia" w:ascii="Times New Roman" w:cs="Times New Roman"/>
                <w:color w:val="auto"/>
                <w:sz w:val="24"/>
                <w:lang w:val="en-US" w:eastAsia="zh-CN"/>
              </w:rPr>
              <w:t>W2-1</w:t>
            </w:r>
            <w:r>
              <w:rPr>
                <w:rFonts w:hint="eastAsia" w:ascii="Times New Roman" w:hAnsi="Times New Roman" w:eastAsia="宋体" w:cs="Times New Roman"/>
                <w:color w:val="auto"/>
                <w:sz w:val="24"/>
              </w:rPr>
              <w:t>。</w:t>
            </w:r>
          </w:p>
          <w:p w14:paraId="52CFC1F3">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2.切割</w:t>
            </w:r>
          </w:p>
          <w:p w14:paraId="305C0363">
            <w:pPr>
              <w:pStyle w:val="45"/>
              <w:spacing w:beforeLines="0" w:afterLines="0" w:line="360" w:lineRule="auto"/>
              <w:ind w:firstLine="480" w:firstLineChars="200"/>
              <w:jc w:val="both"/>
              <w:rPr>
                <w:rFonts w:ascii="Times New Roman" w:hAnsi="Times New Roman" w:eastAsia="宋体" w:cs="Times New Roman"/>
                <w:color w:val="auto"/>
                <w:sz w:val="24"/>
              </w:rPr>
            </w:pPr>
            <w:r>
              <w:rPr>
                <w:rFonts w:hint="eastAsia" w:ascii="Times New Roman" w:hAnsi="Times New Roman" w:eastAsia="宋体" w:cs="Times New Roman"/>
                <w:color w:val="auto"/>
                <w:sz w:val="24"/>
              </w:rPr>
              <w:t>使用7</w:t>
            </w:r>
            <w:r>
              <w:rPr>
                <w:rFonts w:ascii="Times New Roman" w:hAnsi="Times New Roman" w:eastAsia="宋体" w:cs="Times New Roman"/>
                <w:color w:val="auto"/>
                <w:sz w:val="24"/>
              </w:rPr>
              <w:t>5</w:t>
            </w:r>
            <w:r>
              <w:rPr>
                <w:rFonts w:hint="eastAsia" w:ascii="Times New Roman" w:hAnsi="Times New Roman" w:eastAsia="宋体" w:cs="Times New Roman"/>
                <w:color w:val="auto"/>
                <w:sz w:val="24"/>
              </w:rPr>
              <w:t>%的酒精在生产厂房各入口处利用自动杀菌净手器（5</w:t>
            </w:r>
            <w:r>
              <w:rPr>
                <w:rFonts w:ascii="Times New Roman" w:hAnsi="Times New Roman" w:eastAsia="宋体" w:cs="Times New Roman"/>
                <w:color w:val="auto"/>
                <w:sz w:val="24"/>
              </w:rPr>
              <w:t>L</w:t>
            </w:r>
            <w:r>
              <w:rPr>
                <w:rFonts w:hint="eastAsia" w:ascii="Times New Roman" w:hAnsi="Times New Roman" w:eastAsia="宋体" w:cs="Times New Roman"/>
                <w:color w:val="auto"/>
                <w:sz w:val="24"/>
              </w:rPr>
              <w:t>）对员工手部消毒；生产之前在生产区域对切段机、切片机、蒸煮机、脱水机等生产设备进行人工擦拭消毒；在杀菌间对工器具进行人工擦拭消毒。</w:t>
            </w:r>
            <w:r>
              <w:rPr>
                <w:rFonts w:hint="eastAsia" w:ascii="Times New Roman" w:cs="Times New Roman"/>
                <w:color w:val="auto"/>
                <w:sz w:val="24"/>
                <w:lang w:eastAsia="zh-CN"/>
              </w:rPr>
              <w:t>消毒后用</w:t>
            </w:r>
            <w:r>
              <w:rPr>
                <w:rFonts w:hint="default" w:ascii="Times New Roman" w:hAnsi="Times New Roman" w:eastAsia="宋体" w:cs="Times New Roman"/>
                <w:color w:val="auto"/>
                <w:sz w:val="24"/>
              </w:rPr>
              <w:t>切片</w:t>
            </w:r>
            <w:r>
              <w:rPr>
                <w:rFonts w:hint="eastAsia" w:ascii="Times New Roman" w:cs="Times New Roman"/>
                <w:color w:val="auto"/>
                <w:sz w:val="24"/>
                <w:lang w:eastAsia="zh-CN"/>
              </w:rPr>
              <w:t>机或</w:t>
            </w:r>
            <w:r>
              <w:rPr>
                <w:rFonts w:hint="default" w:ascii="Times New Roman" w:hAnsi="Times New Roman" w:eastAsia="宋体" w:cs="Times New Roman"/>
                <w:color w:val="auto"/>
                <w:sz w:val="24"/>
              </w:rPr>
              <w:t>切丁机</w:t>
            </w:r>
            <w:r>
              <w:rPr>
                <w:rFonts w:hint="eastAsia" w:ascii="Times New Roman" w:cs="Times New Roman"/>
                <w:color w:val="auto"/>
                <w:sz w:val="24"/>
                <w:lang w:eastAsia="zh-CN"/>
              </w:rPr>
              <w:t>，</w:t>
            </w:r>
            <w:r>
              <w:rPr>
                <w:rFonts w:hint="default" w:ascii="Times New Roman" w:hAnsi="Times New Roman" w:eastAsia="宋体" w:cs="Times New Roman"/>
                <w:color w:val="auto"/>
                <w:sz w:val="24"/>
              </w:rPr>
              <w:t>根据产品规格调整刀具，切割环境温度≤12℃，防止肉质软化。</w:t>
            </w:r>
            <w:r>
              <w:rPr>
                <w:rFonts w:hint="eastAsia" w:ascii="Times New Roman" w:hAnsi="Times New Roman" w:eastAsia="宋体" w:cs="Times New Roman"/>
                <w:color w:val="auto"/>
                <w:sz w:val="24"/>
              </w:rPr>
              <w:t>此过程会产生乙醇废气G</w:t>
            </w:r>
            <w:r>
              <w:rPr>
                <w:rFonts w:hint="eastAsia" w:ascii="Times New Roman" w:cs="Times New Roman"/>
                <w:color w:val="auto"/>
                <w:sz w:val="24"/>
                <w:lang w:val="en-US" w:eastAsia="zh-CN"/>
              </w:rPr>
              <w:t>1</w:t>
            </w:r>
            <w:r>
              <w:rPr>
                <w:rFonts w:hint="eastAsia" w:ascii="Times New Roman" w:hAnsi="Times New Roman" w:eastAsia="宋体" w:cs="Times New Roman"/>
                <w:color w:val="auto"/>
                <w:sz w:val="24"/>
              </w:rPr>
              <w:t>。</w:t>
            </w:r>
          </w:p>
          <w:p w14:paraId="596A2BCB">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3.检质</w:t>
            </w:r>
          </w:p>
          <w:p w14:paraId="19AA989F">
            <w:pPr>
              <w:pStyle w:val="45"/>
              <w:spacing w:beforeLines="0" w:afterLines="0" w:line="360" w:lineRule="auto"/>
              <w:ind w:firstLine="480" w:firstLineChars="200"/>
              <w:jc w:val="both"/>
              <w:rPr>
                <w:rFonts w:ascii="Times New Roman" w:hAnsi="Times New Roman" w:eastAsia="宋体" w:cs="Times New Roman"/>
                <w:color w:val="auto"/>
                <w:sz w:val="24"/>
              </w:rPr>
            </w:pPr>
            <w:r>
              <w:rPr>
                <w:rFonts w:hint="default" w:ascii="Times New Roman" w:hAnsi="Times New Roman" w:eastAsia="宋体" w:cs="Times New Roman"/>
                <w:color w:val="auto"/>
                <w:sz w:val="24"/>
              </w:rPr>
              <w:t>人工分选：剔除淤血、筋膜、软骨等杂质，感官检验（色泽鲜红、无异味）并抽样检测挥发性盐基氮（TVB-N≤15mg/100g）。</w:t>
            </w:r>
            <w:r>
              <w:rPr>
                <w:rFonts w:hint="eastAsia" w:ascii="Times New Roman" w:hAnsi="Times New Roman" w:eastAsia="宋体" w:cs="Times New Roman"/>
                <w:color w:val="auto"/>
                <w:sz w:val="24"/>
              </w:rPr>
              <w:t>此过程会产生</w:t>
            </w:r>
            <w:r>
              <w:rPr>
                <w:rFonts w:hint="eastAsia" w:ascii="Times New Roman" w:cs="Times New Roman"/>
                <w:color w:val="auto"/>
                <w:sz w:val="24"/>
                <w:lang w:eastAsia="zh-CN"/>
              </w:rPr>
              <w:t>废原料</w:t>
            </w:r>
            <w:r>
              <w:rPr>
                <w:rFonts w:hint="eastAsia" w:ascii="Times New Roman" w:cs="Times New Roman"/>
                <w:color w:val="auto"/>
                <w:sz w:val="24"/>
                <w:lang w:val="en-US" w:eastAsia="zh-CN"/>
              </w:rPr>
              <w:t>S2-1</w:t>
            </w:r>
            <w:r>
              <w:rPr>
                <w:rFonts w:hint="eastAsia" w:ascii="Times New Roman" w:hAnsi="Times New Roman" w:eastAsia="宋体" w:cs="Times New Roman"/>
                <w:color w:val="auto"/>
                <w:sz w:val="24"/>
              </w:rPr>
              <w:t>。</w:t>
            </w:r>
          </w:p>
          <w:p w14:paraId="4938EE11">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4.蒸烤</w:t>
            </w:r>
          </w:p>
          <w:p w14:paraId="0EE88A2A">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eastAsia" w:ascii="Times New Roman" w:cs="Times New Roman"/>
                <w:color w:val="auto"/>
                <w:sz w:val="24"/>
                <w:lang w:eastAsia="zh-CN"/>
              </w:rPr>
              <w:t>经过质检后对牛肉进行蒸烤，变成熟质的牛肉。</w:t>
            </w:r>
            <w:r>
              <w:rPr>
                <w:rFonts w:hint="default" w:ascii="Times New Roman" w:hAnsi="Times New Roman" w:eastAsia="宋体" w:cs="Times New Roman"/>
                <w:color w:val="auto"/>
                <w:sz w:val="24"/>
              </w:rPr>
              <w:t>蒸制段（蒸汽加热，85~95℃，5~8min）：使蛋白质变性。烤制段（电加热，150~180℃，3~5min）：形成焦化层</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水分蒸发）</w:t>
            </w:r>
            <w:r>
              <w:rPr>
                <w:rFonts w:hint="eastAsia" w:ascii="Times New Roman" w:cs="Times New Roman"/>
                <w:color w:val="auto"/>
                <w:sz w:val="24"/>
                <w:lang w:eastAsia="zh-CN"/>
              </w:rPr>
              <w:t>，此过程无废水产生</w:t>
            </w:r>
            <w:r>
              <w:rPr>
                <w:rFonts w:hint="default" w:ascii="Times New Roman" w:hAnsi="Times New Roman" w:eastAsia="宋体" w:cs="Times New Roman"/>
                <w:color w:val="auto"/>
                <w:sz w:val="24"/>
              </w:rPr>
              <w:t>。</w:t>
            </w:r>
          </w:p>
          <w:p w14:paraId="5E6E8322">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5.冷却</w:t>
            </w:r>
          </w:p>
          <w:p w14:paraId="3913645C">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风冷降温：洁净空气（温度4~10℃，风速1~2m/s）冷却至中心温度≤15℃，时间≤30min。</w:t>
            </w:r>
          </w:p>
          <w:p w14:paraId="3A1FCFCE">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6.调味</w:t>
            </w:r>
          </w:p>
          <w:p w14:paraId="67794BF9">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色拉油喷涂：精炼色拉油（添加量2~4%）均匀覆盖，同步可添加调味料。</w:t>
            </w:r>
          </w:p>
          <w:p w14:paraId="55CE3481">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7.内包装</w:t>
            </w:r>
          </w:p>
          <w:p w14:paraId="02890A31">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自动化包装线：</w:t>
            </w:r>
          </w:p>
          <w:p w14:paraId="0D6E31F2">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多头秤（精度±0.5g）→给袋式包装机（充氮，残氧≤1%）→金属探测（Fe≥φ1.0mm，非铁≥φ1.5mm）→X光机（检测异物≥φ0.5mm）。</w:t>
            </w:r>
          </w:p>
          <w:p w14:paraId="32122E62">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8.杀菌</w:t>
            </w:r>
          </w:p>
          <w:p w14:paraId="2421B3BB">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高温杀菌釜：121℃、15~20min（F值≥4.0），</w:t>
            </w:r>
            <w:r>
              <w:rPr>
                <w:rFonts w:hint="eastAsia" w:ascii="Times New Roman" w:hAnsi="Times New Roman" w:eastAsia="宋体" w:cs="Times New Roman"/>
                <w:color w:val="auto"/>
                <w:sz w:val="24"/>
                <w:lang w:eastAsia="zh-CN"/>
              </w:rPr>
              <w:t>该工序使用</w:t>
            </w:r>
            <w:r>
              <w:rPr>
                <w:rFonts w:hint="eastAsia" w:ascii="Times New Roman" w:hAnsi="Times New Roman" w:eastAsia="宋体" w:cs="Times New Roman"/>
                <w:color w:val="auto"/>
                <w:sz w:val="24"/>
                <w:lang w:val="en-US" w:eastAsia="zh-CN"/>
              </w:rPr>
              <w:t>杀菌釜对产品进行高温杀菌，杀菌釜需要少量用水</w:t>
            </w:r>
            <w:r>
              <w:rPr>
                <w:rFonts w:hint="eastAsia" w:ascii="Times New Roman" w:cs="Times New Roman"/>
                <w:color w:val="auto"/>
                <w:sz w:val="24"/>
                <w:lang w:val="en-US" w:eastAsia="zh-CN"/>
              </w:rPr>
              <w:t>，</w:t>
            </w:r>
            <w:r>
              <w:rPr>
                <w:rFonts w:hint="eastAsia" w:ascii="Times New Roman" w:hAnsi="Times New Roman" w:eastAsia="宋体" w:cs="Times New Roman"/>
                <w:color w:val="auto"/>
                <w:sz w:val="24"/>
                <w:lang w:val="en-US" w:eastAsia="zh-CN"/>
              </w:rPr>
              <w:t>杀菌用水循环利用，每天排放。杀菌抑制微生物的繁殖，使产品具有较长的保藏期。此工序主要产生杀菌废水W2-2</w:t>
            </w:r>
            <w:r>
              <w:rPr>
                <w:rFonts w:hint="default" w:ascii="Times New Roman" w:hAnsi="Times New Roman" w:eastAsia="宋体" w:cs="Times New Roman"/>
                <w:color w:val="auto"/>
                <w:sz w:val="24"/>
              </w:rPr>
              <w:t>。</w:t>
            </w:r>
          </w:p>
          <w:p w14:paraId="334C016B">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9.速冻</w:t>
            </w:r>
          </w:p>
          <w:p w14:paraId="380C88B8">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螺旋单体速冻机：-35~-40℃强风循环，30min内通过最大冰晶生成带，终温≤-18℃（冰晶粒径≤50μm）。</w:t>
            </w:r>
          </w:p>
          <w:p w14:paraId="0E5A4A6D">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10.外包装</w:t>
            </w:r>
          </w:p>
          <w:p w14:paraId="1D41FC2F">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机械臂装箱：自动识别包装规格，码垛误差≤1mm，喷码（生产日期、批次号）符合GB 7718。</w:t>
            </w:r>
          </w:p>
          <w:p w14:paraId="5DBAAF76">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11.冷藏</w:t>
            </w:r>
          </w:p>
          <w:p w14:paraId="78CD76FF">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冷冻库：-18℃以下（24h温差≤1℃），堆垛距墙≥30cm，库内空气流速0.1~0.3m/s。</w:t>
            </w:r>
          </w:p>
          <w:p w14:paraId="460520B7">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12.发运</w:t>
            </w:r>
          </w:p>
          <w:p w14:paraId="02C3F4A8">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冷链运输：冷藏车预冷至-18℃以下，全程GPS温控（-18±2℃），记录保存≥2年。</w:t>
            </w:r>
          </w:p>
          <w:p w14:paraId="5F13A493">
            <w:pPr>
              <w:pStyle w:val="45"/>
              <w:spacing w:before="24" w:after="24" w:line="360" w:lineRule="auto"/>
              <w:ind w:firstLine="482" w:firstLineChars="200"/>
              <w:jc w:val="left"/>
              <w:rPr>
                <w:rFonts w:hint="eastAsia" w:ascii="Times New Roman" w:hAnsi="Times New Roman" w:eastAsia="宋体" w:cs="Times New Roman"/>
                <w:b/>
                <w:color w:val="auto"/>
                <w:sz w:val="24"/>
                <w:lang w:eastAsia="zh-CN"/>
              </w:rPr>
            </w:pPr>
            <w:r>
              <w:rPr>
                <w:rFonts w:ascii="Times New Roman" w:hAnsi="Times New Roman" w:eastAsia="宋体" w:cs="Times New Roman"/>
                <w:b/>
                <w:color w:val="auto"/>
                <w:sz w:val="24"/>
              </w:rPr>
              <w:t>（</w:t>
            </w:r>
            <w:r>
              <w:rPr>
                <w:rFonts w:hint="eastAsia" w:ascii="Times New Roman" w:cs="Times New Roman"/>
                <w:b/>
                <w:color w:val="auto"/>
                <w:sz w:val="24"/>
                <w:lang w:val="en-US" w:eastAsia="zh-CN"/>
              </w:rPr>
              <w:t>3</w:t>
            </w:r>
            <w:r>
              <w:rPr>
                <w:rFonts w:ascii="Times New Roman" w:hAnsi="Times New Roman" w:eastAsia="宋体" w:cs="Times New Roman"/>
                <w:b/>
                <w:color w:val="auto"/>
                <w:sz w:val="24"/>
              </w:rPr>
              <w:t>）</w:t>
            </w:r>
            <w:r>
              <w:rPr>
                <w:rFonts w:hint="eastAsia" w:ascii="Times New Roman" w:cs="Times New Roman"/>
                <w:b/>
                <w:color w:val="auto"/>
                <w:sz w:val="24"/>
                <w:lang w:val="en-US" w:eastAsia="zh-CN"/>
              </w:rPr>
              <w:t>干燥藻类加工</w:t>
            </w:r>
            <w:r>
              <w:rPr>
                <w:rFonts w:ascii="Times New Roman" w:hAnsi="Times New Roman" w:eastAsia="宋体" w:cs="Times New Roman"/>
                <w:b/>
                <w:color w:val="auto"/>
                <w:sz w:val="24"/>
              </w:rPr>
              <w:t>生产</w:t>
            </w:r>
            <w:r>
              <w:rPr>
                <w:rFonts w:hint="eastAsia" w:ascii="Times New Roman" w:cs="Times New Roman"/>
                <w:b/>
                <w:color w:val="auto"/>
                <w:sz w:val="24"/>
                <w:lang w:eastAsia="zh-CN"/>
              </w:rPr>
              <w:t>线</w:t>
            </w:r>
          </w:p>
          <w:p w14:paraId="35ED8061">
            <w:pPr>
              <w:pStyle w:val="45"/>
              <w:spacing w:beforeLines="0" w:afterLines="0" w:line="240" w:lineRule="auto"/>
              <w:jc w:val="center"/>
              <w:rPr>
                <w:rFonts w:ascii="Times New Roman" w:hAnsi="Times New Roman" w:eastAsia="宋体" w:cs="Times New Roman"/>
                <w:color w:val="auto"/>
              </w:rPr>
            </w:pPr>
            <w:r>
              <w:rPr>
                <w:rFonts w:ascii="Times New Roman" w:hAnsi="Times New Roman" w:eastAsia="宋体" w:cs="Times New Roman"/>
                <w:color w:val="auto"/>
              </w:rPr>
              <w:object>
                <v:shape id="_x0000_i1029" o:spt="75" type="#_x0000_t75" style="height:295.55pt;width:220.6pt;" o:ole="t" filled="f" o:preferrelative="t" stroked="f" coordsize="21600,21600">
                  <v:path/>
                  <v:fill on="f" focussize="0,0"/>
                  <v:stroke on="f"/>
                  <v:imagedata r:id="rId20" o:title=""/>
                  <o:lock v:ext="edit" aspectratio="f"/>
                  <w10:wrap type="none"/>
                  <w10:anchorlock/>
                </v:shape>
                <o:OLEObject Type="Embed" ProgID="Visio.Drawing.15" ShapeID="_x0000_i1029" DrawAspect="Content" ObjectID="_1468075729" r:id="rId19">
                  <o:LockedField>false</o:LockedField>
                </o:OLEObject>
              </w:object>
            </w:r>
          </w:p>
          <w:p w14:paraId="5E543F10">
            <w:pPr>
              <w:pStyle w:val="45"/>
              <w:spacing w:beforeLines="0" w:afterLines="0" w:line="240" w:lineRule="auto"/>
              <w:rPr>
                <w:rFonts w:ascii="Times New Roman" w:hAnsi="Times New Roman" w:eastAsia="宋体" w:cs="Times New Roman"/>
                <w:b/>
                <w:color w:val="auto"/>
                <w:sz w:val="24"/>
              </w:rPr>
            </w:pPr>
            <w:r>
              <w:rPr>
                <w:rFonts w:ascii="Times New Roman" w:hAnsi="Times New Roman" w:eastAsia="宋体" w:cs="Times New Roman"/>
                <w:b/>
                <w:color w:val="auto"/>
                <w:sz w:val="24"/>
              </w:rPr>
              <w:t>图2-</w:t>
            </w:r>
            <w:r>
              <w:rPr>
                <w:rFonts w:hint="eastAsia" w:ascii="Times New Roman" w:cs="Times New Roman"/>
                <w:b/>
                <w:color w:val="auto"/>
                <w:sz w:val="24"/>
                <w:lang w:val="en-US" w:eastAsia="zh-CN"/>
              </w:rPr>
              <w:t>5</w:t>
            </w:r>
            <w:r>
              <w:rPr>
                <w:rFonts w:ascii="Times New Roman" w:hAnsi="Times New Roman" w:eastAsia="宋体" w:cs="Times New Roman"/>
                <w:b/>
                <w:color w:val="auto"/>
                <w:sz w:val="24"/>
              </w:rPr>
              <w:t xml:space="preserve">  </w:t>
            </w:r>
            <w:r>
              <w:rPr>
                <w:rFonts w:hint="eastAsia" w:ascii="Times New Roman" w:cs="Times New Roman"/>
                <w:b/>
                <w:color w:val="auto"/>
                <w:sz w:val="24"/>
                <w:lang w:val="en-US" w:eastAsia="zh-CN"/>
              </w:rPr>
              <w:t>干燥藻类加工</w:t>
            </w:r>
            <w:r>
              <w:rPr>
                <w:rFonts w:ascii="Times New Roman" w:hAnsi="Times New Roman" w:eastAsia="宋体" w:cs="Times New Roman"/>
                <w:b/>
                <w:color w:val="auto"/>
                <w:sz w:val="24"/>
              </w:rPr>
              <w:t>生产工艺流程及产污环节图</w:t>
            </w:r>
          </w:p>
          <w:p w14:paraId="6CF94EC7">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1.原料解冻</w:t>
            </w:r>
          </w:p>
          <w:p w14:paraId="43889DEA">
            <w:pPr>
              <w:pStyle w:val="45"/>
              <w:spacing w:beforeLines="0" w:afterLines="0" w:line="360" w:lineRule="auto"/>
              <w:ind w:firstLine="480" w:firstLineChars="200"/>
              <w:jc w:val="both"/>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自然解冻：冷冻裙带菜原料在洁净环境中（温度≤15℃，湿度≤70%）自然解冻4~6小时，避免高温导致褐变或微生物滋生。</w:t>
            </w:r>
            <w:r>
              <w:rPr>
                <w:rFonts w:hint="eastAsia" w:ascii="Times New Roman" w:hAnsi="Times New Roman" w:eastAsia="宋体" w:cs="Times New Roman"/>
                <w:color w:val="auto"/>
                <w:sz w:val="24"/>
                <w:lang w:eastAsia="zh-CN"/>
              </w:rPr>
              <w:t>此过程会产生解冻废水</w:t>
            </w:r>
            <w:r>
              <w:rPr>
                <w:rFonts w:hint="eastAsia" w:ascii="Times New Roman" w:hAnsi="Times New Roman" w:eastAsia="宋体" w:cs="Times New Roman"/>
                <w:color w:val="auto"/>
                <w:sz w:val="24"/>
                <w:lang w:val="en-US" w:eastAsia="zh-CN"/>
              </w:rPr>
              <w:t>W3-1。</w:t>
            </w:r>
          </w:p>
          <w:p w14:paraId="51878FA8">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 脱盐</w:t>
            </w:r>
          </w:p>
          <w:p w14:paraId="0FFE9753">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流水脱盐：采用逆流式流水槽（水温10~15℃），脱盐时间20~30分钟，控制终产品盐分≤2.0%（符合GB 2762）。</w:t>
            </w:r>
            <w:r>
              <w:rPr>
                <w:rFonts w:hint="eastAsia" w:ascii="Times New Roman" w:hAnsi="Times New Roman" w:eastAsia="宋体" w:cs="Times New Roman"/>
                <w:color w:val="auto"/>
                <w:sz w:val="24"/>
                <w:lang w:eastAsia="zh-CN"/>
              </w:rPr>
              <w:t>此过程会产生脱盐废水</w:t>
            </w:r>
            <w:r>
              <w:rPr>
                <w:rFonts w:hint="eastAsia" w:ascii="Times New Roman" w:hAnsi="Times New Roman" w:eastAsia="宋体" w:cs="Times New Roman"/>
                <w:color w:val="auto"/>
                <w:sz w:val="24"/>
                <w:lang w:val="en-US" w:eastAsia="zh-CN"/>
              </w:rPr>
              <w:t>W3-2。</w:t>
            </w:r>
          </w:p>
          <w:p w14:paraId="560350B1">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 漂洗</w:t>
            </w:r>
          </w:p>
          <w:p w14:paraId="3DEE2AEA">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多级流水漂洗：通过3~4道流动清水（符合GB 5749生活饮用水标准）漂洗，去除残留盐分、泥沙及杂质，浊度≤5NTU。</w:t>
            </w:r>
            <w:r>
              <w:rPr>
                <w:rFonts w:hint="eastAsia" w:ascii="Times New Roman" w:hAnsi="Times New Roman" w:eastAsia="宋体" w:cs="Times New Roman"/>
                <w:color w:val="auto"/>
                <w:sz w:val="24"/>
                <w:lang w:eastAsia="zh-CN"/>
              </w:rPr>
              <w:t>此过程会产生漂洗废水</w:t>
            </w:r>
            <w:r>
              <w:rPr>
                <w:rFonts w:hint="eastAsia" w:ascii="Times New Roman" w:hAnsi="Times New Roman" w:eastAsia="宋体" w:cs="Times New Roman"/>
                <w:color w:val="auto"/>
                <w:sz w:val="24"/>
                <w:lang w:val="en-US" w:eastAsia="zh-CN"/>
              </w:rPr>
              <w:t>W3-3。</w:t>
            </w:r>
          </w:p>
          <w:p w14:paraId="311A88FA">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4. 切菜</w:t>
            </w:r>
          </w:p>
          <w:p w14:paraId="1A973C3C">
            <w:pPr>
              <w:pStyle w:val="45"/>
              <w:spacing w:beforeLines="0" w:afterLines="0" w:line="360" w:lineRule="auto"/>
              <w:ind w:firstLine="480" w:firstLineChars="200"/>
              <w:jc w:val="both"/>
              <w:rPr>
                <w:rFonts w:hint="eastAsia" w:ascii="Times New Roman" w:hAnsi="Times New Roman" w:eastAsia="宋体" w:cs="Times New Roman"/>
                <w:color w:val="auto"/>
                <w:sz w:val="24"/>
                <w:lang w:eastAsia="zh-CN"/>
              </w:rPr>
            </w:pPr>
            <w:r>
              <w:rPr>
                <w:rFonts w:hint="default" w:ascii="Times New Roman" w:hAnsi="Times New Roman" w:eastAsia="宋体" w:cs="Times New Roman"/>
                <w:color w:val="auto"/>
                <w:sz w:val="24"/>
              </w:rPr>
              <w:t>机械切分：切菜机调整刀具间距（3~5mm宽条或定制规格），切分后碎菜率≤5%。</w:t>
            </w:r>
            <w:r>
              <w:rPr>
                <w:rFonts w:hint="eastAsia" w:ascii="Times New Roman" w:hAnsi="Times New Roman" w:eastAsia="宋体" w:cs="Times New Roman"/>
                <w:color w:val="auto"/>
                <w:sz w:val="24"/>
                <w:lang w:eastAsia="zh-CN"/>
              </w:rPr>
              <w:t>此过程会产生噪声</w:t>
            </w:r>
            <w:r>
              <w:rPr>
                <w:rFonts w:hint="eastAsia" w:ascii="Times New Roman" w:hAnsi="Times New Roman" w:eastAsia="宋体" w:cs="Times New Roman"/>
                <w:color w:val="auto"/>
                <w:sz w:val="24"/>
                <w:lang w:val="en-US" w:eastAsia="zh-CN"/>
              </w:rPr>
              <w:t>。</w:t>
            </w:r>
          </w:p>
          <w:p w14:paraId="642736C1">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5. 脱水</w:t>
            </w:r>
          </w:p>
          <w:p w14:paraId="586C71A4">
            <w:pPr>
              <w:pStyle w:val="45"/>
              <w:spacing w:beforeLines="0" w:afterLines="0" w:line="360" w:lineRule="auto"/>
              <w:ind w:firstLine="480" w:firstLineChars="200"/>
              <w:jc w:val="both"/>
              <w:rPr>
                <w:rFonts w:hint="default" w:ascii="Times New Roman" w:hAnsi="Times New Roman" w:eastAsia="宋体" w:cs="Times New Roman"/>
                <w:color w:val="auto"/>
                <w:sz w:val="24"/>
                <w:lang w:val="en-US"/>
              </w:rPr>
            </w:pPr>
            <w:r>
              <w:rPr>
                <w:rFonts w:hint="default" w:ascii="Times New Roman" w:hAnsi="Times New Roman" w:eastAsia="宋体" w:cs="Times New Roman"/>
                <w:color w:val="auto"/>
                <w:sz w:val="24"/>
              </w:rPr>
              <w:t>离心脱水：篮式脱水机（转速800~1200rpm，时间3~5分钟），脱水后水分≤75%。</w:t>
            </w:r>
            <w:r>
              <w:rPr>
                <w:rFonts w:hint="eastAsia" w:ascii="Times New Roman" w:hAnsi="Times New Roman" w:eastAsia="宋体" w:cs="Times New Roman"/>
                <w:color w:val="auto"/>
                <w:sz w:val="24"/>
                <w:lang w:eastAsia="zh-CN"/>
              </w:rPr>
              <w:t>此过程会产生脱盐废水</w:t>
            </w:r>
            <w:r>
              <w:rPr>
                <w:rFonts w:hint="eastAsia" w:ascii="Times New Roman" w:hAnsi="Times New Roman" w:eastAsia="宋体" w:cs="Times New Roman"/>
                <w:color w:val="auto"/>
                <w:sz w:val="24"/>
                <w:lang w:val="en-US" w:eastAsia="zh-CN"/>
              </w:rPr>
              <w:t>W3-4</w:t>
            </w:r>
          </w:p>
          <w:p w14:paraId="0267D819">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6. 烘干</w:t>
            </w:r>
          </w:p>
          <w:p w14:paraId="30CBC3A7">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eastAsia" w:ascii="Times New Roman" w:cs="Times New Roman"/>
                <w:color w:val="auto"/>
                <w:sz w:val="24"/>
                <w:lang w:eastAsia="zh-CN"/>
              </w:rPr>
              <w:t>烘干机</w:t>
            </w:r>
            <w:r>
              <w:rPr>
                <w:rFonts w:hint="default" w:ascii="Times New Roman" w:hAnsi="Times New Roman" w:eastAsia="宋体" w:cs="Times New Roman"/>
                <w:color w:val="auto"/>
                <w:sz w:val="24"/>
              </w:rPr>
              <w:t>分段控温（60℃→80℃→50℃），风速1.5~2.0m/s，</w:t>
            </w:r>
            <w:r>
              <w:rPr>
                <w:rFonts w:hint="eastAsia" w:ascii="Times New Roman" w:cs="Times New Roman"/>
                <w:color w:val="auto"/>
                <w:sz w:val="24"/>
                <w:lang w:eastAsia="zh-CN"/>
              </w:rPr>
              <w:t>此过程无废水产生</w:t>
            </w:r>
            <w:r>
              <w:rPr>
                <w:rFonts w:hint="default" w:ascii="Times New Roman" w:hAnsi="Times New Roman" w:eastAsia="宋体" w:cs="Times New Roman"/>
                <w:color w:val="auto"/>
                <w:sz w:val="24"/>
              </w:rPr>
              <w:t>。</w:t>
            </w:r>
          </w:p>
          <w:p w14:paraId="0E6DFE1D">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7. 筛选</w:t>
            </w:r>
          </w:p>
          <w:p w14:paraId="52051BBA">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四级联选：</w:t>
            </w:r>
          </w:p>
          <w:p w14:paraId="06046F53">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平面筛选机：去除大颗粒杂质（筛网孔径2~3mm）。磁选机：吸附铁磁性异物（灵敏度≥φ0.5mm）。静电选别机：分离轻质杂质（如塑料膜）。</w:t>
            </w:r>
          </w:p>
          <w:p w14:paraId="127EAEA5">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AI视觉选别：剔除色差、霉变品（识别精度≥0.3mm²）。</w:t>
            </w:r>
          </w:p>
          <w:p w14:paraId="6984E87B">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8. 内包装</w:t>
            </w:r>
          </w:p>
          <w:p w14:paraId="7898F57E">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全自动包装线：</w:t>
            </w:r>
          </w:p>
          <w:p w14:paraId="37926B8F">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振动给料装置：均匀投料（误差±1g）。</w:t>
            </w:r>
          </w:p>
          <w:p w14:paraId="20B0D3D6">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金属探测（Fe≥φ1.0mm，非铁≥φ1.5mm）。X光机：检测密度异物（≥φ0.8mm）。</w:t>
            </w:r>
          </w:p>
          <w:p w14:paraId="1E6EC763">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充氮包装：残氧≤3%，复合膜透氧率≤0.5cm³/(m²·24h·0.1MPa)。</w:t>
            </w:r>
          </w:p>
          <w:p w14:paraId="11151464">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9.外包装</w:t>
            </w:r>
          </w:p>
          <w:p w14:paraId="7EDEDDD4">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自动化装箱：机械臂码垛（误差±2mm），喷码符合GB 7718，箱体抗压≥300kgf。</w:t>
            </w:r>
          </w:p>
          <w:p w14:paraId="0F6E3010">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10.储藏</w:t>
            </w:r>
          </w:p>
          <w:p w14:paraId="55C48FFE">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常温库：温度≤25℃，相对湿度≤60%，避光储存，堆垛距墙≥50cm。</w:t>
            </w:r>
          </w:p>
          <w:p w14:paraId="59471D32">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11.发运</w:t>
            </w:r>
          </w:p>
          <w:p w14:paraId="1AB1D8CE">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防潮运输：集装箱内放置干燥剂（湿度≤65%），避免挤压变形。</w:t>
            </w:r>
          </w:p>
          <w:p w14:paraId="71D68942">
            <w:pPr>
              <w:pStyle w:val="29"/>
              <w:spacing w:before="0" w:beforeAutospacing="0" w:after="0" w:afterAutospacing="0" w:line="360" w:lineRule="auto"/>
              <w:ind w:firstLine="480" w:firstLineChars="200"/>
              <w:rPr>
                <w:rFonts w:ascii="Times New Roman" w:hAnsi="Times New Roman" w:cs="Times New Roman"/>
                <w:color w:val="auto"/>
              </w:rPr>
            </w:pPr>
            <w:r>
              <w:rPr>
                <w:rFonts w:ascii="Times New Roman" w:hAnsi="Times New Roman" w:cs="Times New Roman"/>
                <w:color w:val="auto"/>
              </w:rPr>
              <w:t>本项目运营期主要污染源分布详见下表2-</w:t>
            </w:r>
            <w:r>
              <w:rPr>
                <w:rFonts w:hint="eastAsia" w:ascii="Times New Roman" w:hAnsi="Times New Roman" w:cs="Times New Roman"/>
                <w:color w:val="auto"/>
                <w:lang w:val="en-US" w:eastAsia="zh-CN"/>
              </w:rPr>
              <w:t>7</w:t>
            </w:r>
            <w:r>
              <w:rPr>
                <w:rFonts w:ascii="Times New Roman" w:hAnsi="Times New Roman" w:cs="Times New Roman"/>
                <w:color w:val="auto"/>
              </w:rPr>
              <w:t>。</w:t>
            </w:r>
          </w:p>
          <w:p w14:paraId="587F1521">
            <w:pPr>
              <w:pStyle w:val="29"/>
              <w:spacing w:before="0" w:beforeAutospacing="0" w:after="0" w:afterAutospacing="0"/>
              <w:jc w:val="center"/>
              <w:rPr>
                <w:rFonts w:ascii="Times New Roman" w:hAnsi="Times New Roman" w:cs="Times New Roman"/>
                <w:snapToGrid w:val="0"/>
                <w:color w:val="auto"/>
                <w:sz w:val="36"/>
                <w:szCs w:val="36"/>
              </w:rPr>
            </w:pPr>
            <w:r>
              <w:rPr>
                <w:rFonts w:ascii="Times New Roman" w:hAnsi="Times New Roman" w:cs="Times New Roman"/>
                <w:b/>
                <w:color w:val="auto"/>
              </w:rPr>
              <w:t>表2-</w:t>
            </w:r>
            <w:r>
              <w:rPr>
                <w:rFonts w:hint="eastAsia" w:ascii="Times New Roman" w:hAnsi="Times New Roman" w:cs="Times New Roman"/>
                <w:b/>
                <w:color w:val="auto"/>
                <w:lang w:val="en-US" w:eastAsia="zh-CN"/>
              </w:rPr>
              <w:t>7</w:t>
            </w:r>
            <w:r>
              <w:rPr>
                <w:rFonts w:ascii="Times New Roman" w:hAnsi="Times New Roman" w:cs="Times New Roman"/>
                <w:b/>
                <w:color w:val="auto"/>
              </w:rPr>
              <w:t xml:space="preserve"> 本项目主要污染物分布情况一览表</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3"/>
              <w:gridCol w:w="2351"/>
              <w:gridCol w:w="1825"/>
              <w:gridCol w:w="2433"/>
            </w:tblGrid>
            <w:tr w14:paraId="68307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3" w:type="dxa"/>
                  <w:tcBorders>
                    <w:top w:val="single" w:color="auto" w:sz="12" w:space="0"/>
                    <w:left w:val="nil"/>
                    <w:bottom w:val="single" w:color="auto" w:sz="12" w:space="0"/>
                  </w:tcBorders>
                  <w:shd w:val="clear" w:color="auto" w:fill="auto"/>
                  <w:vAlign w:val="center"/>
                </w:tcPr>
                <w:p w14:paraId="211A53EE">
                  <w:pPr>
                    <w:jc w:val="center"/>
                    <w:rPr>
                      <w:b/>
                      <w:color w:val="auto"/>
                      <w:szCs w:val="21"/>
                    </w:rPr>
                  </w:pPr>
                  <w:r>
                    <w:rPr>
                      <w:b/>
                      <w:color w:val="auto"/>
                      <w:szCs w:val="21"/>
                    </w:rPr>
                    <w:t>污染物类别</w:t>
                  </w:r>
                </w:p>
              </w:tc>
              <w:tc>
                <w:tcPr>
                  <w:tcW w:w="2351" w:type="dxa"/>
                  <w:tcBorders>
                    <w:top w:val="single" w:color="auto" w:sz="12" w:space="0"/>
                    <w:bottom w:val="single" w:color="auto" w:sz="12" w:space="0"/>
                  </w:tcBorders>
                  <w:shd w:val="clear" w:color="auto" w:fill="auto"/>
                  <w:vAlign w:val="center"/>
                </w:tcPr>
                <w:p w14:paraId="4EFCD2EC">
                  <w:pPr>
                    <w:jc w:val="center"/>
                    <w:rPr>
                      <w:b/>
                      <w:color w:val="auto"/>
                      <w:szCs w:val="21"/>
                    </w:rPr>
                  </w:pPr>
                  <w:r>
                    <w:rPr>
                      <w:b/>
                      <w:color w:val="auto"/>
                      <w:szCs w:val="21"/>
                    </w:rPr>
                    <w:t>编号</w:t>
                  </w:r>
                </w:p>
              </w:tc>
              <w:tc>
                <w:tcPr>
                  <w:tcW w:w="1825" w:type="dxa"/>
                  <w:tcBorders>
                    <w:top w:val="single" w:color="auto" w:sz="12" w:space="0"/>
                    <w:bottom w:val="single" w:color="auto" w:sz="12" w:space="0"/>
                  </w:tcBorders>
                  <w:shd w:val="clear" w:color="auto" w:fill="auto"/>
                  <w:vAlign w:val="center"/>
                </w:tcPr>
                <w:p w14:paraId="6EAE13CA">
                  <w:pPr>
                    <w:jc w:val="center"/>
                    <w:rPr>
                      <w:b/>
                      <w:color w:val="auto"/>
                      <w:szCs w:val="21"/>
                    </w:rPr>
                  </w:pPr>
                  <w:r>
                    <w:rPr>
                      <w:b/>
                      <w:color w:val="auto"/>
                      <w:szCs w:val="21"/>
                    </w:rPr>
                    <w:t>排放源</w:t>
                  </w:r>
                </w:p>
              </w:tc>
              <w:tc>
                <w:tcPr>
                  <w:tcW w:w="2433" w:type="dxa"/>
                  <w:tcBorders>
                    <w:top w:val="single" w:color="auto" w:sz="12" w:space="0"/>
                    <w:bottom w:val="single" w:color="auto" w:sz="12" w:space="0"/>
                    <w:right w:val="nil"/>
                  </w:tcBorders>
                  <w:shd w:val="clear" w:color="auto" w:fill="auto"/>
                  <w:vAlign w:val="center"/>
                </w:tcPr>
                <w:p w14:paraId="1498CD53">
                  <w:pPr>
                    <w:jc w:val="center"/>
                    <w:rPr>
                      <w:b/>
                      <w:color w:val="auto"/>
                      <w:szCs w:val="21"/>
                    </w:rPr>
                  </w:pPr>
                  <w:r>
                    <w:rPr>
                      <w:b/>
                      <w:color w:val="auto"/>
                      <w:szCs w:val="21"/>
                    </w:rPr>
                    <w:t>污染物名称</w:t>
                  </w:r>
                </w:p>
              </w:tc>
            </w:tr>
            <w:tr w14:paraId="4BC44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3" w:type="dxa"/>
                  <w:vMerge w:val="restart"/>
                  <w:tcBorders>
                    <w:top w:val="single" w:color="auto" w:sz="12" w:space="0"/>
                    <w:left w:val="nil"/>
                  </w:tcBorders>
                  <w:shd w:val="clear" w:color="auto" w:fill="auto"/>
                  <w:vAlign w:val="center"/>
                </w:tcPr>
                <w:p w14:paraId="5D04FFCC">
                  <w:pPr>
                    <w:jc w:val="center"/>
                    <w:rPr>
                      <w:color w:val="auto"/>
                      <w:szCs w:val="21"/>
                    </w:rPr>
                  </w:pPr>
                  <w:r>
                    <w:rPr>
                      <w:color w:val="auto"/>
                      <w:szCs w:val="21"/>
                    </w:rPr>
                    <w:t>废水</w:t>
                  </w:r>
                </w:p>
              </w:tc>
              <w:tc>
                <w:tcPr>
                  <w:tcW w:w="2351" w:type="dxa"/>
                  <w:tcBorders>
                    <w:top w:val="single" w:color="auto" w:sz="12" w:space="0"/>
                    <w:bottom w:val="single" w:color="auto" w:sz="4" w:space="0"/>
                  </w:tcBorders>
                  <w:shd w:val="clear" w:color="auto" w:fill="auto"/>
                  <w:vAlign w:val="center"/>
                </w:tcPr>
                <w:p w14:paraId="1F2F674A">
                  <w:pPr>
                    <w:jc w:val="center"/>
                    <w:rPr>
                      <w:rFonts w:hint="default" w:eastAsia="宋体"/>
                      <w:color w:val="auto"/>
                      <w:szCs w:val="21"/>
                      <w:lang w:val="en-US" w:eastAsia="zh-CN"/>
                    </w:rPr>
                  </w:pPr>
                  <w:r>
                    <w:rPr>
                      <w:color w:val="auto"/>
                      <w:szCs w:val="21"/>
                    </w:rPr>
                    <w:t>W1-1、W1-2、W1-3、W1-4、W1-</w:t>
                  </w:r>
                  <w:r>
                    <w:rPr>
                      <w:rFonts w:hint="eastAsia"/>
                      <w:color w:val="auto"/>
                      <w:szCs w:val="21"/>
                      <w:lang w:val="en-US" w:eastAsia="zh-CN"/>
                    </w:rPr>
                    <w:t>5</w:t>
                  </w:r>
                  <w:r>
                    <w:rPr>
                      <w:color w:val="auto"/>
                      <w:szCs w:val="21"/>
                    </w:rPr>
                    <w:t>、W1-</w:t>
                  </w:r>
                  <w:r>
                    <w:rPr>
                      <w:rFonts w:hint="eastAsia"/>
                      <w:color w:val="auto"/>
                      <w:szCs w:val="21"/>
                      <w:lang w:val="en-US" w:eastAsia="zh-CN"/>
                    </w:rPr>
                    <w:t>6</w:t>
                  </w:r>
                  <w:r>
                    <w:rPr>
                      <w:color w:val="auto"/>
                      <w:szCs w:val="21"/>
                    </w:rPr>
                    <w:t>、W2-1、</w:t>
                  </w:r>
                  <w:r>
                    <w:rPr>
                      <w:rFonts w:hint="eastAsia"/>
                      <w:color w:val="auto"/>
                      <w:szCs w:val="21"/>
                      <w:lang w:val="en-US" w:eastAsia="zh-CN"/>
                    </w:rPr>
                    <w:t>W2-2、</w:t>
                  </w:r>
                  <w:r>
                    <w:rPr>
                      <w:color w:val="auto"/>
                      <w:szCs w:val="21"/>
                    </w:rPr>
                    <w:t>W</w:t>
                  </w:r>
                  <w:r>
                    <w:rPr>
                      <w:rFonts w:hint="eastAsia"/>
                      <w:color w:val="auto"/>
                      <w:szCs w:val="21"/>
                      <w:lang w:val="en-US" w:eastAsia="zh-CN"/>
                    </w:rPr>
                    <w:t>3-1</w:t>
                  </w:r>
                  <w:r>
                    <w:rPr>
                      <w:color w:val="auto"/>
                      <w:szCs w:val="21"/>
                    </w:rPr>
                    <w:t>、W</w:t>
                  </w:r>
                  <w:r>
                    <w:rPr>
                      <w:rFonts w:hint="eastAsia"/>
                      <w:color w:val="auto"/>
                      <w:szCs w:val="21"/>
                      <w:lang w:val="en-US" w:eastAsia="zh-CN"/>
                    </w:rPr>
                    <w:t>3-2、</w:t>
                  </w:r>
                  <w:r>
                    <w:rPr>
                      <w:color w:val="auto"/>
                      <w:szCs w:val="21"/>
                    </w:rPr>
                    <w:t>W</w:t>
                  </w:r>
                  <w:r>
                    <w:rPr>
                      <w:rFonts w:hint="eastAsia"/>
                      <w:color w:val="auto"/>
                      <w:szCs w:val="21"/>
                      <w:lang w:val="en-US" w:eastAsia="zh-CN"/>
                    </w:rPr>
                    <w:t>3-3</w:t>
                  </w:r>
                  <w:r>
                    <w:rPr>
                      <w:color w:val="auto"/>
                      <w:szCs w:val="21"/>
                    </w:rPr>
                    <w:t>、W</w:t>
                  </w:r>
                  <w:r>
                    <w:rPr>
                      <w:rFonts w:hint="eastAsia"/>
                      <w:color w:val="auto"/>
                      <w:szCs w:val="21"/>
                      <w:lang w:val="en-US" w:eastAsia="zh-CN"/>
                    </w:rPr>
                    <w:t>3-4</w:t>
                  </w:r>
                  <w:r>
                    <w:rPr>
                      <w:color w:val="auto"/>
                      <w:szCs w:val="21"/>
                    </w:rPr>
                    <w:t>、</w:t>
                  </w:r>
                </w:p>
              </w:tc>
              <w:tc>
                <w:tcPr>
                  <w:tcW w:w="1825" w:type="dxa"/>
                  <w:tcBorders>
                    <w:top w:val="single" w:color="auto" w:sz="12" w:space="0"/>
                    <w:bottom w:val="single" w:color="auto" w:sz="4" w:space="0"/>
                  </w:tcBorders>
                  <w:shd w:val="clear" w:color="auto" w:fill="auto"/>
                  <w:vAlign w:val="center"/>
                </w:tcPr>
                <w:p w14:paraId="5BCA47D6">
                  <w:pPr>
                    <w:jc w:val="center"/>
                    <w:rPr>
                      <w:color w:val="auto"/>
                      <w:szCs w:val="21"/>
                    </w:rPr>
                  </w:pPr>
                  <w:r>
                    <w:rPr>
                      <w:rFonts w:hint="eastAsia"/>
                      <w:color w:val="auto"/>
                      <w:szCs w:val="21"/>
                      <w:lang w:eastAsia="zh-CN"/>
                    </w:rPr>
                    <w:t>解冻、浸泡、</w:t>
                  </w:r>
                  <w:r>
                    <w:rPr>
                      <w:color w:val="auto"/>
                      <w:szCs w:val="21"/>
                    </w:rPr>
                    <w:t>清洗、</w:t>
                  </w:r>
                  <w:r>
                    <w:rPr>
                      <w:rFonts w:hint="eastAsia"/>
                      <w:color w:val="auto"/>
                      <w:szCs w:val="21"/>
                      <w:lang w:eastAsia="zh-CN"/>
                    </w:rPr>
                    <w:t>漂烫、冷却</w:t>
                  </w:r>
                  <w:r>
                    <w:rPr>
                      <w:color w:val="auto"/>
                      <w:szCs w:val="21"/>
                    </w:rPr>
                    <w:t>、</w:t>
                  </w:r>
                  <w:r>
                    <w:rPr>
                      <w:rFonts w:hint="eastAsia"/>
                      <w:color w:val="auto"/>
                      <w:szCs w:val="21"/>
                      <w:lang w:eastAsia="zh-CN"/>
                    </w:rPr>
                    <w:t>杀菌、</w:t>
                  </w:r>
                  <w:r>
                    <w:rPr>
                      <w:color w:val="auto"/>
                      <w:szCs w:val="21"/>
                    </w:rPr>
                    <w:t>脱水废水</w:t>
                  </w:r>
                </w:p>
              </w:tc>
              <w:tc>
                <w:tcPr>
                  <w:tcW w:w="2433" w:type="dxa"/>
                  <w:tcBorders>
                    <w:top w:val="single" w:color="auto" w:sz="12" w:space="0"/>
                    <w:bottom w:val="single" w:color="auto" w:sz="4" w:space="0"/>
                    <w:right w:val="nil"/>
                  </w:tcBorders>
                  <w:shd w:val="clear" w:color="auto" w:fill="auto"/>
                  <w:vAlign w:val="center"/>
                </w:tcPr>
                <w:p w14:paraId="0F332B1E">
                  <w:pPr>
                    <w:jc w:val="center"/>
                    <w:rPr>
                      <w:rFonts w:hint="eastAsia" w:eastAsia="宋体"/>
                      <w:color w:val="auto"/>
                      <w:szCs w:val="21"/>
                      <w:lang w:eastAsia="zh-CN"/>
                    </w:rPr>
                  </w:pPr>
                  <w:r>
                    <w:rPr>
                      <w:color w:val="auto"/>
                      <w:szCs w:val="21"/>
                    </w:rPr>
                    <w:t>COD、</w:t>
                  </w:r>
                  <w:r>
                    <w:rPr>
                      <w:rFonts w:hint="eastAsia"/>
                      <w:color w:val="auto"/>
                      <w:szCs w:val="21"/>
                    </w:rPr>
                    <w:t>B</w:t>
                  </w:r>
                  <w:r>
                    <w:rPr>
                      <w:color w:val="auto"/>
                      <w:szCs w:val="21"/>
                    </w:rPr>
                    <w:t>OD</w:t>
                  </w:r>
                  <w:r>
                    <w:rPr>
                      <w:color w:val="auto"/>
                      <w:szCs w:val="21"/>
                      <w:vertAlign w:val="subscript"/>
                    </w:rPr>
                    <w:t>5</w:t>
                  </w:r>
                  <w:r>
                    <w:rPr>
                      <w:rFonts w:hint="eastAsia"/>
                      <w:color w:val="auto"/>
                      <w:szCs w:val="21"/>
                    </w:rPr>
                    <w:t>、S</w:t>
                  </w:r>
                  <w:r>
                    <w:rPr>
                      <w:color w:val="auto"/>
                      <w:szCs w:val="21"/>
                    </w:rPr>
                    <w:t>S</w:t>
                  </w:r>
                  <w:r>
                    <w:rPr>
                      <w:rFonts w:hint="eastAsia"/>
                      <w:color w:val="auto"/>
                      <w:szCs w:val="21"/>
                    </w:rPr>
                    <w:t>、</w:t>
                  </w:r>
                  <w:r>
                    <w:rPr>
                      <w:color w:val="auto"/>
                      <w:szCs w:val="21"/>
                    </w:rPr>
                    <w:t>氨氮、总氮</w:t>
                  </w:r>
                  <w:r>
                    <w:rPr>
                      <w:rFonts w:hint="eastAsia"/>
                      <w:color w:val="auto"/>
                      <w:szCs w:val="21"/>
                    </w:rPr>
                    <w:t>、</w:t>
                  </w:r>
                  <w:r>
                    <w:rPr>
                      <w:color w:val="auto"/>
                      <w:szCs w:val="21"/>
                    </w:rPr>
                    <w:t>总磷</w:t>
                  </w:r>
                  <w:r>
                    <w:rPr>
                      <w:rFonts w:hint="eastAsia"/>
                      <w:color w:val="auto"/>
                      <w:szCs w:val="21"/>
                      <w:lang w:eastAsia="zh-CN"/>
                    </w:rPr>
                    <w:t>、动植物油、全盐量</w:t>
                  </w:r>
                </w:p>
              </w:tc>
            </w:tr>
            <w:tr w14:paraId="18522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3" w:type="dxa"/>
                  <w:vMerge w:val="continue"/>
                  <w:tcBorders>
                    <w:left w:val="nil"/>
                  </w:tcBorders>
                  <w:shd w:val="clear" w:color="auto" w:fill="auto"/>
                  <w:vAlign w:val="center"/>
                </w:tcPr>
                <w:p w14:paraId="0B62EE57">
                  <w:pPr>
                    <w:jc w:val="center"/>
                    <w:rPr>
                      <w:color w:val="auto"/>
                      <w:szCs w:val="21"/>
                    </w:rPr>
                  </w:pPr>
                </w:p>
              </w:tc>
              <w:tc>
                <w:tcPr>
                  <w:tcW w:w="2351" w:type="dxa"/>
                  <w:tcBorders>
                    <w:top w:val="single" w:color="auto" w:sz="4" w:space="0"/>
                  </w:tcBorders>
                  <w:shd w:val="clear" w:color="auto" w:fill="auto"/>
                  <w:vAlign w:val="center"/>
                </w:tcPr>
                <w:p w14:paraId="57AD2244">
                  <w:pPr>
                    <w:jc w:val="center"/>
                    <w:rPr>
                      <w:rFonts w:hint="eastAsia" w:eastAsia="宋体"/>
                      <w:color w:val="auto"/>
                      <w:szCs w:val="21"/>
                      <w:lang w:eastAsia="zh-CN"/>
                    </w:rPr>
                  </w:pPr>
                  <w:r>
                    <w:rPr>
                      <w:color w:val="auto"/>
                      <w:szCs w:val="21"/>
                    </w:rPr>
                    <w:t>W</w:t>
                  </w:r>
                  <w:r>
                    <w:rPr>
                      <w:rFonts w:hint="eastAsia"/>
                      <w:color w:val="auto"/>
                      <w:szCs w:val="21"/>
                      <w:lang w:val="en-US" w:eastAsia="zh-CN"/>
                    </w:rPr>
                    <w:t>4</w:t>
                  </w:r>
                </w:p>
              </w:tc>
              <w:tc>
                <w:tcPr>
                  <w:tcW w:w="1825" w:type="dxa"/>
                  <w:tcBorders>
                    <w:top w:val="single" w:color="auto" w:sz="4" w:space="0"/>
                  </w:tcBorders>
                  <w:shd w:val="clear" w:color="auto" w:fill="auto"/>
                  <w:vAlign w:val="center"/>
                </w:tcPr>
                <w:p w14:paraId="5092EE58">
                  <w:pPr>
                    <w:jc w:val="center"/>
                    <w:rPr>
                      <w:color w:val="auto"/>
                      <w:szCs w:val="21"/>
                    </w:rPr>
                  </w:pPr>
                  <w:r>
                    <w:rPr>
                      <w:color w:val="auto"/>
                      <w:szCs w:val="21"/>
                    </w:rPr>
                    <w:t>生活污水</w:t>
                  </w:r>
                </w:p>
              </w:tc>
              <w:tc>
                <w:tcPr>
                  <w:tcW w:w="2433" w:type="dxa"/>
                  <w:tcBorders>
                    <w:top w:val="single" w:color="auto" w:sz="4" w:space="0"/>
                    <w:right w:val="nil"/>
                  </w:tcBorders>
                  <w:shd w:val="clear" w:color="auto" w:fill="auto"/>
                  <w:vAlign w:val="center"/>
                </w:tcPr>
                <w:p w14:paraId="59F81577">
                  <w:pPr>
                    <w:jc w:val="center"/>
                    <w:rPr>
                      <w:color w:val="auto"/>
                      <w:szCs w:val="21"/>
                    </w:rPr>
                  </w:pPr>
                  <w:r>
                    <w:rPr>
                      <w:color w:val="auto"/>
                      <w:szCs w:val="21"/>
                    </w:rPr>
                    <w:t>COD、</w:t>
                  </w:r>
                  <w:r>
                    <w:rPr>
                      <w:rFonts w:hint="eastAsia"/>
                      <w:color w:val="auto"/>
                      <w:szCs w:val="21"/>
                    </w:rPr>
                    <w:t>B</w:t>
                  </w:r>
                  <w:r>
                    <w:rPr>
                      <w:color w:val="auto"/>
                      <w:szCs w:val="21"/>
                    </w:rPr>
                    <w:t>OD</w:t>
                  </w:r>
                  <w:r>
                    <w:rPr>
                      <w:color w:val="auto"/>
                      <w:szCs w:val="21"/>
                      <w:vertAlign w:val="subscript"/>
                    </w:rPr>
                    <w:t>5</w:t>
                  </w:r>
                  <w:r>
                    <w:rPr>
                      <w:rFonts w:hint="eastAsia"/>
                      <w:color w:val="auto"/>
                      <w:szCs w:val="21"/>
                    </w:rPr>
                    <w:t>、S</w:t>
                  </w:r>
                  <w:r>
                    <w:rPr>
                      <w:color w:val="auto"/>
                      <w:szCs w:val="21"/>
                    </w:rPr>
                    <w:t>S</w:t>
                  </w:r>
                  <w:r>
                    <w:rPr>
                      <w:rFonts w:hint="eastAsia"/>
                      <w:color w:val="auto"/>
                      <w:szCs w:val="21"/>
                    </w:rPr>
                    <w:t>、</w:t>
                  </w:r>
                  <w:r>
                    <w:rPr>
                      <w:color w:val="auto"/>
                      <w:szCs w:val="21"/>
                    </w:rPr>
                    <w:t>氨氮、总氮</w:t>
                  </w:r>
                  <w:r>
                    <w:rPr>
                      <w:rFonts w:hint="eastAsia"/>
                      <w:color w:val="auto"/>
                      <w:szCs w:val="21"/>
                    </w:rPr>
                    <w:t>、</w:t>
                  </w:r>
                  <w:r>
                    <w:rPr>
                      <w:color w:val="auto"/>
                      <w:szCs w:val="21"/>
                    </w:rPr>
                    <w:t>总磷</w:t>
                  </w:r>
                </w:p>
              </w:tc>
            </w:tr>
            <w:tr w14:paraId="6B6C4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3" w:type="dxa"/>
                  <w:vMerge w:val="continue"/>
                  <w:tcBorders>
                    <w:left w:val="nil"/>
                  </w:tcBorders>
                  <w:shd w:val="clear" w:color="auto" w:fill="auto"/>
                  <w:vAlign w:val="center"/>
                </w:tcPr>
                <w:p w14:paraId="27D630D2">
                  <w:pPr>
                    <w:jc w:val="center"/>
                    <w:rPr>
                      <w:color w:val="auto"/>
                      <w:szCs w:val="21"/>
                    </w:rPr>
                  </w:pPr>
                </w:p>
              </w:tc>
              <w:tc>
                <w:tcPr>
                  <w:tcW w:w="2351" w:type="dxa"/>
                  <w:shd w:val="clear" w:color="auto" w:fill="auto"/>
                  <w:vAlign w:val="center"/>
                </w:tcPr>
                <w:p w14:paraId="7C72D258">
                  <w:pPr>
                    <w:jc w:val="center"/>
                    <w:rPr>
                      <w:color w:val="auto"/>
                      <w:szCs w:val="21"/>
                    </w:rPr>
                  </w:pPr>
                  <w:r>
                    <w:rPr>
                      <w:color w:val="auto"/>
                      <w:szCs w:val="21"/>
                    </w:rPr>
                    <w:t>W5</w:t>
                  </w:r>
                </w:p>
              </w:tc>
              <w:tc>
                <w:tcPr>
                  <w:tcW w:w="1825" w:type="dxa"/>
                  <w:shd w:val="clear" w:color="auto" w:fill="auto"/>
                  <w:vAlign w:val="center"/>
                </w:tcPr>
                <w:p w14:paraId="037AA940">
                  <w:pPr>
                    <w:jc w:val="center"/>
                    <w:rPr>
                      <w:color w:val="auto"/>
                      <w:szCs w:val="21"/>
                    </w:rPr>
                  </w:pPr>
                  <w:r>
                    <w:rPr>
                      <w:color w:val="auto"/>
                      <w:szCs w:val="21"/>
                    </w:rPr>
                    <w:t>设备冲洗废水</w:t>
                  </w:r>
                </w:p>
              </w:tc>
              <w:tc>
                <w:tcPr>
                  <w:tcW w:w="2433" w:type="dxa"/>
                  <w:tcBorders>
                    <w:right w:val="nil"/>
                  </w:tcBorders>
                  <w:shd w:val="clear" w:color="auto" w:fill="auto"/>
                  <w:vAlign w:val="center"/>
                </w:tcPr>
                <w:p w14:paraId="6F12B880">
                  <w:pPr>
                    <w:jc w:val="center"/>
                    <w:rPr>
                      <w:color w:val="auto"/>
                      <w:szCs w:val="21"/>
                    </w:rPr>
                  </w:pPr>
                  <w:r>
                    <w:rPr>
                      <w:color w:val="auto"/>
                      <w:szCs w:val="21"/>
                    </w:rPr>
                    <w:t>COD、</w:t>
                  </w:r>
                  <w:r>
                    <w:rPr>
                      <w:rFonts w:hint="eastAsia"/>
                      <w:color w:val="auto"/>
                      <w:szCs w:val="21"/>
                    </w:rPr>
                    <w:t>B</w:t>
                  </w:r>
                  <w:r>
                    <w:rPr>
                      <w:color w:val="auto"/>
                      <w:szCs w:val="21"/>
                    </w:rPr>
                    <w:t>OD</w:t>
                  </w:r>
                  <w:r>
                    <w:rPr>
                      <w:color w:val="auto"/>
                      <w:szCs w:val="21"/>
                      <w:vertAlign w:val="subscript"/>
                    </w:rPr>
                    <w:t>5</w:t>
                  </w:r>
                  <w:r>
                    <w:rPr>
                      <w:rFonts w:hint="eastAsia"/>
                      <w:color w:val="auto"/>
                      <w:szCs w:val="21"/>
                    </w:rPr>
                    <w:t>、S</w:t>
                  </w:r>
                  <w:r>
                    <w:rPr>
                      <w:color w:val="auto"/>
                      <w:szCs w:val="21"/>
                    </w:rPr>
                    <w:t>S</w:t>
                  </w:r>
                  <w:r>
                    <w:rPr>
                      <w:rFonts w:hint="eastAsia"/>
                      <w:color w:val="auto"/>
                      <w:szCs w:val="21"/>
                    </w:rPr>
                    <w:t>、</w:t>
                  </w:r>
                  <w:r>
                    <w:rPr>
                      <w:color w:val="auto"/>
                      <w:szCs w:val="21"/>
                    </w:rPr>
                    <w:t>氨氮、总氮</w:t>
                  </w:r>
                  <w:r>
                    <w:rPr>
                      <w:rFonts w:hint="eastAsia"/>
                      <w:color w:val="auto"/>
                      <w:szCs w:val="21"/>
                    </w:rPr>
                    <w:t>、</w:t>
                  </w:r>
                  <w:r>
                    <w:rPr>
                      <w:color w:val="auto"/>
                      <w:szCs w:val="21"/>
                    </w:rPr>
                    <w:t>总磷、动植物油</w:t>
                  </w:r>
                  <w:r>
                    <w:rPr>
                      <w:rFonts w:hint="eastAsia"/>
                      <w:color w:val="auto"/>
                      <w:szCs w:val="21"/>
                    </w:rPr>
                    <w:t>、L</w:t>
                  </w:r>
                  <w:r>
                    <w:rPr>
                      <w:color w:val="auto"/>
                      <w:szCs w:val="21"/>
                    </w:rPr>
                    <w:t>AS</w:t>
                  </w:r>
                </w:p>
              </w:tc>
            </w:tr>
            <w:tr w14:paraId="1BDAF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3" w:type="dxa"/>
                  <w:vMerge w:val="continue"/>
                  <w:tcBorders>
                    <w:left w:val="nil"/>
                  </w:tcBorders>
                  <w:shd w:val="clear" w:color="auto" w:fill="auto"/>
                  <w:vAlign w:val="center"/>
                </w:tcPr>
                <w:p w14:paraId="7B2E63E3">
                  <w:pPr>
                    <w:rPr>
                      <w:color w:val="auto"/>
                      <w:szCs w:val="21"/>
                    </w:rPr>
                  </w:pPr>
                </w:p>
              </w:tc>
              <w:tc>
                <w:tcPr>
                  <w:tcW w:w="2351" w:type="dxa"/>
                  <w:shd w:val="clear" w:color="auto" w:fill="auto"/>
                  <w:vAlign w:val="center"/>
                </w:tcPr>
                <w:p w14:paraId="07068569">
                  <w:pPr>
                    <w:jc w:val="center"/>
                    <w:rPr>
                      <w:color w:val="auto"/>
                      <w:szCs w:val="21"/>
                    </w:rPr>
                  </w:pPr>
                  <w:r>
                    <w:rPr>
                      <w:color w:val="auto"/>
                      <w:szCs w:val="21"/>
                    </w:rPr>
                    <w:t>W6</w:t>
                  </w:r>
                </w:p>
              </w:tc>
              <w:tc>
                <w:tcPr>
                  <w:tcW w:w="1825" w:type="dxa"/>
                  <w:shd w:val="clear" w:color="auto" w:fill="auto"/>
                  <w:vAlign w:val="center"/>
                </w:tcPr>
                <w:p w14:paraId="2E26B5D9">
                  <w:pPr>
                    <w:jc w:val="center"/>
                    <w:rPr>
                      <w:color w:val="auto"/>
                      <w:szCs w:val="21"/>
                    </w:rPr>
                  </w:pPr>
                  <w:r>
                    <w:rPr>
                      <w:color w:val="auto"/>
                      <w:szCs w:val="21"/>
                    </w:rPr>
                    <w:t>地面清洁废水</w:t>
                  </w:r>
                </w:p>
              </w:tc>
              <w:tc>
                <w:tcPr>
                  <w:tcW w:w="2433" w:type="dxa"/>
                  <w:tcBorders>
                    <w:right w:val="nil"/>
                  </w:tcBorders>
                  <w:shd w:val="clear" w:color="auto" w:fill="auto"/>
                  <w:vAlign w:val="center"/>
                </w:tcPr>
                <w:p w14:paraId="4A7A6C8B">
                  <w:pPr>
                    <w:jc w:val="center"/>
                    <w:rPr>
                      <w:color w:val="auto"/>
                      <w:szCs w:val="21"/>
                    </w:rPr>
                  </w:pPr>
                  <w:r>
                    <w:rPr>
                      <w:color w:val="auto"/>
                      <w:szCs w:val="21"/>
                    </w:rPr>
                    <w:t>COD、</w:t>
                  </w:r>
                  <w:r>
                    <w:rPr>
                      <w:rFonts w:hint="eastAsia"/>
                      <w:color w:val="auto"/>
                      <w:szCs w:val="21"/>
                    </w:rPr>
                    <w:t>B</w:t>
                  </w:r>
                  <w:r>
                    <w:rPr>
                      <w:color w:val="auto"/>
                      <w:szCs w:val="21"/>
                    </w:rPr>
                    <w:t>OD</w:t>
                  </w:r>
                  <w:r>
                    <w:rPr>
                      <w:color w:val="auto"/>
                      <w:szCs w:val="21"/>
                      <w:vertAlign w:val="subscript"/>
                    </w:rPr>
                    <w:t>5</w:t>
                  </w:r>
                  <w:r>
                    <w:rPr>
                      <w:rFonts w:hint="eastAsia"/>
                      <w:color w:val="auto"/>
                      <w:szCs w:val="21"/>
                    </w:rPr>
                    <w:t>、S</w:t>
                  </w:r>
                  <w:r>
                    <w:rPr>
                      <w:color w:val="auto"/>
                      <w:szCs w:val="21"/>
                    </w:rPr>
                    <w:t>S</w:t>
                  </w:r>
                  <w:r>
                    <w:rPr>
                      <w:rFonts w:hint="eastAsia"/>
                      <w:color w:val="auto"/>
                      <w:szCs w:val="21"/>
                    </w:rPr>
                    <w:t>、</w:t>
                  </w:r>
                  <w:r>
                    <w:rPr>
                      <w:color w:val="auto"/>
                      <w:szCs w:val="21"/>
                    </w:rPr>
                    <w:t>氨氮、总氮</w:t>
                  </w:r>
                  <w:r>
                    <w:rPr>
                      <w:rFonts w:hint="eastAsia"/>
                      <w:color w:val="auto"/>
                      <w:szCs w:val="21"/>
                    </w:rPr>
                    <w:t>、</w:t>
                  </w:r>
                  <w:r>
                    <w:rPr>
                      <w:color w:val="auto"/>
                      <w:szCs w:val="21"/>
                    </w:rPr>
                    <w:t>总磷</w:t>
                  </w:r>
                </w:p>
              </w:tc>
            </w:tr>
            <w:tr w14:paraId="2EF2F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3" w:type="dxa"/>
                  <w:vMerge w:val="restart"/>
                  <w:tcBorders>
                    <w:left w:val="nil"/>
                  </w:tcBorders>
                  <w:shd w:val="clear" w:color="auto" w:fill="auto"/>
                  <w:vAlign w:val="center"/>
                </w:tcPr>
                <w:p w14:paraId="15BFDEE7">
                  <w:pPr>
                    <w:jc w:val="center"/>
                    <w:rPr>
                      <w:color w:val="auto"/>
                      <w:szCs w:val="21"/>
                    </w:rPr>
                  </w:pPr>
                  <w:r>
                    <w:rPr>
                      <w:color w:val="auto"/>
                      <w:szCs w:val="21"/>
                    </w:rPr>
                    <w:t>废气</w:t>
                  </w:r>
                </w:p>
              </w:tc>
              <w:tc>
                <w:tcPr>
                  <w:tcW w:w="2351" w:type="dxa"/>
                  <w:shd w:val="clear" w:color="auto" w:fill="auto"/>
                  <w:vAlign w:val="center"/>
                </w:tcPr>
                <w:p w14:paraId="227B4E22">
                  <w:pPr>
                    <w:jc w:val="center"/>
                    <w:rPr>
                      <w:color w:val="auto"/>
                      <w:szCs w:val="21"/>
                    </w:rPr>
                  </w:pPr>
                  <w:r>
                    <w:rPr>
                      <w:color w:val="auto"/>
                      <w:szCs w:val="21"/>
                    </w:rPr>
                    <w:t>G1</w:t>
                  </w:r>
                </w:p>
              </w:tc>
              <w:tc>
                <w:tcPr>
                  <w:tcW w:w="1825" w:type="dxa"/>
                  <w:shd w:val="clear" w:color="auto" w:fill="auto"/>
                  <w:vAlign w:val="center"/>
                </w:tcPr>
                <w:p w14:paraId="61B3A278">
                  <w:pPr>
                    <w:jc w:val="center"/>
                    <w:rPr>
                      <w:color w:val="auto"/>
                      <w:szCs w:val="21"/>
                    </w:rPr>
                  </w:pPr>
                  <w:r>
                    <w:rPr>
                      <w:rFonts w:hint="eastAsia"/>
                      <w:color w:val="auto"/>
                      <w:szCs w:val="21"/>
                    </w:rPr>
                    <w:t>乙醇废气</w:t>
                  </w:r>
                </w:p>
              </w:tc>
              <w:tc>
                <w:tcPr>
                  <w:tcW w:w="2433" w:type="dxa"/>
                  <w:tcBorders>
                    <w:right w:val="nil"/>
                  </w:tcBorders>
                  <w:shd w:val="clear" w:color="auto" w:fill="auto"/>
                  <w:vAlign w:val="center"/>
                </w:tcPr>
                <w:p w14:paraId="78EC9DED">
                  <w:pPr>
                    <w:jc w:val="center"/>
                    <w:rPr>
                      <w:color w:val="auto"/>
                      <w:szCs w:val="21"/>
                    </w:rPr>
                  </w:pPr>
                  <w:r>
                    <w:rPr>
                      <w:rFonts w:hint="eastAsia"/>
                      <w:color w:val="auto"/>
                      <w:szCs w:val="21"/>
                    </w:rPr>
                    <w:t>非甲烷总烃</w:t>
                  </w:r>
                </w:p>
              </w:tc>
            </w:tr>
            <w:tr w14:paraId="20ED5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3" w:type="dxa"/>
                  <w:vMerge w:val="continue"/>
                  <w:tcBorders>
                    <w:left w:val="nil"/>
                  </w:tcBorders>
                  <w:shd w:val="clear" w:color="auto" w:fill="auto"/>
                  <w:vAlign w:val="center"/>
                </w:tcPr>
                <w:p w14:paraId="0606F101">
                  <w:pPr>
                    <w:jc w:val="center"/>
                    <w:rPr>
                      <w:color w:val="auto"/>
                      <w:szCs w:val="21"/>
                    </w:rPr>
                  </w:pPr>
                </w:p>
              </w:tc>
              <w:tc>
                <w:tcPr>
                  <w:tcW w:w="2351" w:type="dxa"/>
                  <w:shd w:val="clear" w:color="auto" w:fill="auto"/>
                  <w:vAlign w:val="center"/>
                </w:tcPr>
                <w:p w14:paraId="70B1D3E0">
                  <w:pPr>
                    <w:jc w:val="center"/>
                    <w:rPr>
                      <w:color w:val="auto"/>
                      <w:szCs w:val="21"/>
                    </w:rPr>
                  </w:pPr>
                  <w:r>
                    <w:rPr>
                      <w:color w:val="auto"/>
                      <w:szCs w:val="21"/>
                    </w:rPr>
                    <w:t>G2</w:t>
                  </w:r>
                </w:p>
              </w:tc>
              <w:tc>
                <w:tcPr>
                  <w:tcW w:w="1825" w:type="dxa"/>
                  <w:shd w:val="clear" w:color="auto" w:fill="auto"/>
                  <w:vAlign w:val="center"/>
                </w:tcPr>
                <w:p w14:paraId="0F84BB6C">
                  <w:pPr>
                    <w:jc w:val="center"/>
                    <w:rPr>
                      <w:color w:val="auto"/>
                      <w:szCs w:val="21"/>
                    </w:rPr>
                  </w:pPr>
                  <w:r>
                    <w:rPr>
                      <w:color w:val="auto"/>
                      <w:szCs w:val="21"/>
                    </w:rPr>
                    <w:t>污水处理站恶臭气体</w:t>
                  </w:r>
                </w:p>
              </w:tc>
              <w:tc>
                <w:tcPr>
                  <w:tcW w:w="2433" w:type="dxa"/>
                  <w:tcBorders>
                    <w:right w:val="nil"/>
                  </w:tcBorders>
                  <w:shd w:val="clear" w:color="auto" w:fill="auto"/>
                  <w:vAlign w:val="center"/>
                </w:tcPr>
                <w:p w14:paraId="30C1A676">
                  <w:pPr>
                    <w:jc w:val="center"/>
                    <w:rPr>
                      <w:color w:val="auto"/>
                      <w:szCs w:val="21"/>
                    </w:rPr>
                  </w:pPr>
                  <w:r>
                    <w:rPr>
                      <w:color w:val="auto"/>
                      <w:szCs w:val="21"/>
                    </w:rPr>
                    <w:t>氨、硫化氢</w:t>
                  </w:r>
                </w:p>
              </w:tc>
            </w:tr>
            <w:tr w14:paraId="61CBF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3" w:type="dxa"/>
                  <w:tcBorders>
                    <w:left w:val="nil"/>
                  </w:tcBorders>
                  <w:shd w:val="clear" w:color="auto" w:fill="auto"/>
                  <w:vAlign w:val="center"/>
                </w:tcPr>
                <w:p w14:paraId="43B59133">
                  <w:pPr>
                    <w:jc w:val="center"/>
                    <w:rPr>
                      <w:color w:val="auto"/>
                      <w:szCs w:val="21"/>
                    </w:rPr>
                  </w:pPr>
                  <w:r>
                    <w:rPr>
                      <w:color w:val="auto"/>
                      <w:szCs w:val="21"/>
                    </w:rPr>
                    <w:t>噪声</w:t>
                  </w:r>
                </w:p>
              </w:tc>
              <w:tc>
                <w:tcPr>
                  <w:tcW w:w="2351" w:type="dxa"/>
                  <w:shd w:val="clear" w:color="auto" w:fill="auto"/>
                  <w:vAlign w:val="center"/>
                </w:tcPr>
                <w:p w14:paraId="19EF777F">
                  <w:pPr>
                    <w:jc w:val="center"/>
                    <w:rPr>
                      <w:color w:val="auto"/>
                      <w:szCs w:val="21"/>
                    </w:rPr>
                  </w:pPr>
                  <w:r>
                    <w:rPr>
                      <w:color w:val="auto"/>
                      <w:szCs w:val="21"/>
                    </w:rPr>
                    <w:t>N</w:t>
                  </w:r>
                </w:p>
              </w:tc>
              <w:tc>
                <w:tcPr>
                  <w:tcW w:w="1825" w:type="dxa"/>
                  <w:shd w:val="clear" w:color="auto" w:fill="auto"/>
                  <w:vAlign w:val="center"/>
                </w:tcPr>
                <w:p w14:paraId="25F885BB">
                  <w:pPr>
                    <w:jc w:val="center"/>
                    <w:rPr>
                      <w:color w:val="auto"/>
                      <w:szCs w:val="21"/>
                    </w:rPr>
                  </w:pPr>
                  <w:r>
                    <w:rPr>
                      <w:color w:val="auto"/>
                      <w:szCs w:val="21"/>
                    </w:rPr>
                    <w:t>设备噪声</w:t>
                  </w:r>
                </w:p>
              </w:tc>
              <w:tc>
                <w:tcPr>
                  <w:tcW w:w="2433" w:type="dxa"/>
                  <w:tcBorders>
                    <w:right w:val="nil"/>
                  </w:tcBorders>
                  <w:shd w:val="clear" w:color="auto" w:fill="auto"/>
                  <w:vAlign w:val="center"/>
                </w:tcPr>
                <w:p w14:paraId="33DD25C9">
                  <w:pPr>
                    <w:jc w:val="center"/>
                    <w:rPr>
                      <w:color w:val="auto"/>
                      <w:szCs w:val="21"/>
                    </w:rPr>
                  </w:pPr>
                  <w:r>
                    <w:rPr>
                      <w:color w:val="auto"/>
                      <w:szCs w:val="21"/>
                    </w:rPr>
                    <w:t>噪声</w:t>
                  </w:r>
                </w:p>
              </w:tc>
            </w:tr>
            <w:tr w14:paraId="67F3B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3" w:type="dxa"/>
                  <w:vMerge w:val="restart"/>
                  <w:tcBorders>
                    <w:left w:val="nil"/>
                  </w:tcBorders>
                  <w:shd w:val="clear" w:color="auto" w:fill="auto"/>
                  <w:vAlign w:val="center"/>
                </w:tcPr>
                <w:p w14:paraId="37F4B2A0">
                  <w:pPr>
                    <w:jc w:val="center"/>
                    <w:rPr>
                      <w:color w:val="auto"/>
                      <w:szCs w:val="21"/>
                    </w:rPr>
                  </w:pPr>
                  <w:r>
                    <w:rPr>
                      <w:color w:val="auto"/>
                      <w:szCs w:val="21"/>
                    </w:rPr>
                    <w:t>固废</w:t>
                  </w:r>
                </w:p>
              </w:tc>
              <w:tc>
                <w:tcPr>
                  <w:tcW w:w="2351" w:type="dxa"/>
                  <w:shd w:val="clear" w:color="auto" w:fill="auto"/>
                  <w:vAlign w:val="center"/>
                </w:tcPr>
                <w:p w14:paraId="361C4B87">
                  <w:pPr>
                    <w:jc w:val="center"/>
                    <w:rPr>
                      <w:color w:val="auto"/>
                      <w:szCs w:val="21"/>
                    </w:rPr>
                  </w:pPr>
                  <w:r>
                    <w:rPr>
                      <w:color w:val="auto"/>
                      <w:szCs w:val="21"/>
                    </w:rPr>
                    <w:t>S1-1、S2-1</w:t>
                  </w:r>
                </w:p>
              </w:tc>
              <w:tc>
                <w:tcPr>
                  <w:tcW w:w="1825" w:type="dxa"/>
                  <w:shd w:val="clear" w:color="auto" w:fill="auto"/>
                  <w:vAlign w:val="center"/>
                </w:tcPr>
                <w:p w14:paraId="0037B88F">
                  <w:pPr>
                    <w:jc w:val="center"/>
                    <w:rPr>
                      <w:color w:val="auto"/>
                      <w:szCs w:val="21"/>
                    </w:rPr>
                  </w:pPr>
                  <w:r>
                    <w:rPr>
                      <w:color w:val="auto"/>
                      <w:szCs w:val="21"/>
                    </w:rPr>
                    <w:t>挑选原辅料</w:t>
                  </w:r>
                </w:p>
              </w:tc>
              <w:tc>
                <w:tcPr>
                  <w:tcW w:w="2433" w:type="dxa"/>
                  <w:tcBorders>
                    <w:right w:val="nil"/>
                  </w:tcBorders>
                  <w:shd w:val="clear" w:color="auto" w:fill="auto"/>
                  <w:vAlign w:val="center"/>
                </w:tcPr>
                <w:p w14:paraId="407A3D23">
                  <w:pPr>
                    <w:jc w:val="center"/>
                    <w:rPr>
                      <w:rFonts w:hint="eastAsia" w:eastAsia="宋体"/>
                      <w:color w:val="auto"/>
                      <w:szCs w:val="21"/>
                      <w:lang w:eastAsia="zh-CN"/>
                    </w:rPr>
                  </w:pPr>
                  <w:r>
                    <w:rPr>
                      <w:color w:val="auto"/>
                      <w:szCs w:val="21"/>
                    </w:rPr>
                    <w:t>废</w:t>
                  </w:r>
                  <w:r>
                    <w:rPr>
                      <w:rFonts w:hint="eastAsia"/>
                      <w:color w:val="auto"/>
                      <w:szCs w:val="21"/>
                      <w:lang w:eastAsia="zh-CN"/>
                    </w:rPr>
                    <w:t>原料</w:t>
                  </w:r>
                </w:p>
              </w:tc>
            </w:tr>
            <w:tr w14:paraId="6AB4A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3" w:type="dxa"/>
                  <w:vMerge w:val="continue"/>
                  <w:tcBorders>
                    <w:left w:val="nil"/>
                  </w:tcBorders>
                  <w:shd w:val="clear" w:color="auto" w:fill="auto"/>
                  <w:vAlign w:val="center"/>
                </w:tcPr>
                <w:p w14:paraId="62A01C69">
                  <w:pPr>
                    <w:rPr>
                      <w:color w:val="auto"/>
                      <w:szCs w:val="21"/>
                    </w:rPr>
                  </w:pPr>
                </w:p>
              </w:tc>
              <w:tc>
                <w:tcPr>
                  <w:tcW w:w="2351" w:type="dxa"/>
                  <w:shd w:val="clear" w:color="auto" w:fill="auto"/>
                  <w:vAlign w:val="center"/>
                </w:tcPr>
                <w:p w14:paraId="58B7B89A">
                  <w:pPr>
                    <w:jc w:val="center"/>
                    <w:rPr>
                      <w:color w:val="auto"/>
                      <w:szCs w:val="21"/>
                    </w:rPr>
                  </w:pPr>
                  <w:r>
                    <w:rPr>
                      <w:color w:val="auto"/>
                      <w:szCs w:val="21"/>
                    </w:rPr>
                    <w:t>S3</w:t>
                  </w:r>
                </w:p>
              </w:tc>
              <w:tc>
                <w:tcPr>
                  <w:tcW w:w="1825" w:type="dxa"/>
                  <w:shd w:val="clear" w:color="auto" w:fill="auto"/>
                  <w:vAlign w:val="center"/>
                </w:tcPr>
                <w:p w14:paraId="31BFEC51">
                  <w:pPr>
                    <w:jc w:val="center"/>
                    <w:rPr>
                      <w:color w:val="auto"/>
                      <w:szCs w:val="21"/>
                    </w:rPr>
                  </w:pPr>
                  <w:r>
                    <w:rPr>
                      <w:color w:val="auto"/>
                      <w:szCs w:val="21"/>
                    </w:rPr>
                    <w:t>原辅料包装</w:t>
                  </w:r>
                </w:p>
              </w:tc>
              <w:tc>
                <w:tcPr>
                  <w:tcW w:w="2433" w:type="dxa"/>
                  <w:tcBorders>
                    <w:right w:val="nil"/>
                  </w:tcBorders>
                  <w:shd w:val="clear" w:color="auto" w:fill="auto"/>
                  <w:vAlign w:val="center"/>
                </w:tcPr>
                <w:p w14:paraId="1A2A9697">
                  <w:pPr>
                    <w:jc w:val="center"/>
                    <w:rPr>
                      <w:color w:val="auto"/>
                      <w:szCs w:val="21"/>
                    </w:rPr>
                  </w:pPr>
                  <w:r>
                    <w:rPr>
                      <w:color w:val="auto"/>
                      <w:szCs w:val="21"/>
                    </w:rPr>
                    <w:t>废包装材料</w:t>
                  </w:r>
                </w:p>
              </w:tc>
            </w:tr>
            <w:tr w14:paraId="1196C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3" w:type="dxa"/>
                  <w:vMerge w:val="continue"/>
                  <w:tcBorders>
                    <w:left w:val="nil"/>
                    <w:bottom w:val="single" w:color="auto" w:sz="12" w:space="0"/>
                  </w:tcBorders>
                  <w:shd w:val="clear" w:color="auto" w:fill="auto"/>
                  <w:vAlign w:val="center"/>
                </w:tcPr>
                <w:p w14:paraId="490940DC">
                  <w:pPr>
                    <w:rPr>
                      <w:color w:val="auto"/>
                      <w:szCs w:val="21"/>
                    </w:rPr>
                  </w:pPr>
                </w:p>
              </w:tc>
              <w:tc>
                <w:tcPr>
                  <w:tcW w:w="2351" w:type="dxa"/>
                  <w:tcBorders>
                    <w:bottom w:val="single" w:color="auto" w:sz="12" w:space="0"/>
                  </w:tcBorders>
                  <w:shd w:val="clear" w:color="auto" w:fill="auto"/>
                  <w:vAlign w:val="center"/>
                </w:tcPr>
                <w:p w14:paraId="31DBF2BB">
                  <w:pPr>
                    <w:jc w:val="center"/>
                    <w:rPr>
                      <w:rFonts w:hint="eastAsia" w:eastAsia="宋体"/>
                      <w:color w:val="auto"/>
                      <w:szCs w:val="21"/>
                      <w:lang w:val="en-US" w:eastAsia="zh-CN"/>
                    </w:rPr>
                  </w:pPr>
                  <w:r>
                    <w:rPr>
                      <w:color w:val="auto"/>
                      <w:szCs w:val="21"/>
                    </w:rPr>
                    <w:t>S</w:t>
                  </w:r>
                  <w:r>
                    <w:rPr>
                      <w:rFonts w:hint="eastAsia"/>
                      <w:color w:val="auto"/>
                      <w:szCs w:val="21"/>
                      <w:lang w:val="en-US" w:eastAsia="zh-CN"/>
                    </w:rPr>
                    <w:t>4</w:t>
                  </w:r>
                </w:p>
              </w:tc>
              <w:tc>
                <w:tcPr>
                  <w:tcW w:w="1825" w:type="dxa"/>
                  <w:tcBorders>
                    <w:bottom w:val="single" w:color="auto" w:sz="12" w:space="0"/>
                  </w:tcBorders>
                  <w:shd w:val="clear" w:color="auto" w:fill="auto"/>
                  <w:vAlign w:val="center"/>
                </w:tcPr>
                <w:p w14:paraId="488ECB1A">
                  <w:pPr>
                    <w:jc w:val="center"/>
                    <w:rPr>
                      <w:color w:val="auto"/>
                      <w:szCs w:val="21"/>
                    </w:rPr>
                  </w:pPr>
                  <w:r>
                    <w:rPr>
                      <w:color w:val="auto"/>
                      <w:szCs w:val="21"/>
                    </w:rPr>
                    <w:t>员工生活</w:t>
                  </w:r>
                </w:p>
              </w:tc>
              <w:tc>
                <w:tcPr>
                  <w:tcW w:w="2433" w:type="dxa"/>
                  <w:tcBorders>
                    <w:bottom w:val="single" w:color="auto" w:sz="12" w:space="0"/>
                    <w:right w:val="nil"/>
                  </w:tcBorders>
                  <w:shd w:val="clear" w:color="auto" w:fill="auto"/>
                  <w:vAlign w:val="center"/>
                </w:tcPr>
                <w:p w14:paraId="00322F9F">
                  <w:pPr>
                    <w:jc w:val="center"/>
                    <w:rPr>
                      <w:color w:val="auto"/>
                      <w:szCs w:val="21"/>
                    </w:rPr>
                  </w:pPr>
                  <w:r>
                    <w:rPr>
                      <w:color w:val="auto"/>
                      <w:szCs w:val="21"/>
                    </w:rPr>
                    <w:t>生活垃圾</w:t>
                  </w:r>
                </w:p>
              </w:tc>
            </w:tr>
          </w:tbl>
          <w:p w14:paraId="2417C82C">
            <w:pPr>
              <w:widowControl/>
              <w:wordWrap w:val="0"/>
              <w:jc w:val="center"/>
              <w:textAlignment w:val="center"/>
              <w:rPr>
                <w:color w:val="auto"/>
              </w:rPr>
            </w:pPr>
          </w:p>
        </w:tc>
      </w:tr>
      <w:tr w14:paraId="5E5772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44" w:hRule="atLeast"/>
          <w:jc w:val="center"/>
        </w:trPr>
        <w:tc>
          <w:tcPr>
            <w:tcW w:w="362" w:type="dxa"/>
            <w:vAlign w:val="center"/>
          </w:tcPr>
          <w:p w14:paraId="2550128E">
            <w:pPr>
              <w:pStyle w:val="29"/>
              <w:adjustRightInd w:val="0"/>
              <w:snapToGrid w:val="0"/>
              <w:spacing w:before="0" w:beforeAutospacing="0" w:after="0" w:afterAutospacing="0"/>
              <w:jc w:val="center"/>
              <w:rPr>
                <w:rFonts w:ascii="Times New Roman" w:hAnsi="Times New Roman"/>
                <w:b/>
                <w:bCs/>
                <w:color w:val="auto"/>
                <w:sz w:val="21"/>
                <w:szCs w:val="21"/>
              </w:rPr>
            </w:pPr>
            <w:r>
              <w:rPr>
                <w:rFonts w:ascii="Times New Roman" w:hAnsi="Times New Roman"/>
                <w:color w:val="auto"/>
              </w:rPr>
              <w:br w:type="page"/>
            </w:r>
            <w:r>
              <w:rPr>
                <w:rFonts w:ascii="Times New Roman" w:hAnsi="Times New Roman"/>
                <w:color w:val="auto"/>
                <w:kern w:val="2"/>
                <w:sz w:val="21"/>
                <w:szCs w:val="24"/>
              </w:rPr>
              <w:br w:type="page"/>
            </w:r>
            <w:r>
              <w:rPr>
                <w:rFonts w:ascii="Times New Roman"/>
                <w:b/>
                <w:bCs/>
                <w:color w:val="auto"/>
                <w:kern w:val="2"/>
                <w:sz w:val="21"/>
                <w:szCs w:val="21"/>
              </w:rPr>
              <w:t>与项目有关的原有环境污染问题</w:t>
            </w:r>
          </w:p>
        </w:tc>
        <w:tc>
          <w:tcPr>
            <w:tcW w:w="8698" w:type="dxa"/>
          </w:tcPr>
          <w:p w14:paraId="7CFCB9A2">
            <w:pPr>
              <w:widowControl/>
              <w:adjustRightInd w:val="0"/>
              <w:snapToGrid w:val="0"/>
              <w:spacing w:before="120" w:beforeLines="50" w:line="360" w:lineRule="auto"/>
              <w:ind w:firstLine="482" w:firstLineChars="200"/>
              <w:rPr>
                <w:b/>
                <w:color w:val="auto"/>
                <w:sz w:val="24"/>
              </w:rPr>
            </w:pPr>
            <w:r>
              <w:rPr>
                <w:b/>
                <w:color w:val="auto"/>
                <w:sz w:val="24"/>
              </w:rPr>
              <w:t>1.</w:t>
            </w:r>
            <w:r>
              <w:rPr>
                <w:rFonts w:hAnsi="宋体"/>
                <w:b/>
                <w:color w:val="auto"/>
                <w:sz w:val="24"/>
              </w:rPr>
              <w:t>现有项目概况</w:t>
            </w:r>
          </w:p>
          <w:p w14:paraId="1FAC682F">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rPr>
              <w:t>江苏乐世食品有限公司成立于2021年4月29日，公司名称于</w:t>
            </w:r>
            <w:r>
              <w:rPr>
                <w:rFonts w:hint="eastAsia" w:ascii="Times New Roman" w:cs="Times New Roman"/>
                <w:color w:val="auto"/>
                <w:sz w:val="24"/>
                <w:lang w:eastAsia="zh-CN"/>
              </w:rPr>
              <w:t>2023年8月1日</w:t>
            </w:r>
            <w:r>
              <w:rPr>
                <w:rFonts w:hint="eastAsia" w:ascii="Times New Roman" w:hAnsi="Times New Roman" w:eastAsia="宋体" w:cs="Times New Roman"/>
                <w:color w:val="auto"/>
                <w:sz w:val="24"/>
              </w:rPr>
              <w:t>变更为盖世食品(江苏)有限公司</w:t>
            </w:r>
            <w:r>
              <w:rPr>
                <w:rFonts w:hint="eastAsia" w:ascii="Times New Roman" w:cs="Times New Roman"/>
                <w:color w:val="auto"/>
                <w:sz w:val="24"/>
                <w:lang w:eastAsia="zh-CN"/>
              </w:rPr>
              <w:t>。</w:t>
            </w:r>
            <w:r>
              <w:rPr>
                <w:rFonts w:hint="eastAsia" w:ascii="Times New Roman" w:hAnsi="Times New Roman" w:eastAsia="宋体" w:cs="Times New Roman"/>
                <w:color w:val="auto"/>
                <w:sz w:val="24"/>
              </w:rPr>
              <w:t>《江苏乐世食品有限公司年产1.5万吨预制凉菜智能制造（加工）项目、研发及检测中心建设项目环境影响报告表》，该项目于2022年</w:t>
            </w:r>
            <w:r>
              <w:rPr>
                <w:rFonts w:hint="default" w:ascii="Times New Roman" w:hAnsi="Times New Roman" w:eastAsia="宋体" w:cs="Times New Roman"/>
                <w:color w:val="auto"/>
                <w:sz w:val="24"/>
              </w:rPr>
              <w:t>4</w:t>
            </w:r>
            <w:r>
              <w:rPr>
                <w:rFonts w:hint="eastAsia" w:ascii="Times New Roman" w:hAnsi="Times New Roman" w:eastAsia="宋体" w:cs="Times New Roman"/>
                <w:color w:val="auto"/>
                <w:sz w:val="24"/>
              </w:rPr>
              <w:t>月</w:t>
            </w:r>
            <w:r>
              <w:rPr>
                <w:rFonts w:hint="default" w:ascii="Times New Roman" w:hAnsi="Times New Roman" w:eastAsia="宋体" w:cs="Times New Roman"/>
                <w:color w:val="auto"/>
                <w:sz w:val="24"/>
              </w:rPr>
              <w:t>13</w:t>
            </w:r>
            <w:r>
              <w:rPr>
                <w:rFonts w:hint="eastAsia" w:ascii="Times New Roman" w:hAnsi="Times New Roman" w:eastAsia="宋体" w:cs="Times New Roman"/>
                <w:color w:val="auto"/>
                <w:sz w:val="24"/>
              </w:rPr>
              <w:t>日取得淮安市生态环境局的环评批复（淮（涟）环表复〔2022〕</w:t>
            </w:r>
            <w:r>
              <w:rPr>
                <w:rFonts w:hint="default" w:ascii="Times New Roman" w:hAnsi="Times New Roman" w:eastAsia="宋体" w:cs="Times New Roman"/>
                <w:color w:val="auto"/>
                <w:sz w:val="24"/>
              </w:rPr>
              <w:t>24</w:t>
            </w:r>
            <w:r>
              <w:rPr>
                <w:rFonts w:hint="eastAsia" w:ascii="Times New Roman" w:hAnsi="Times New Roman" w:eastAsia="宋体" w:cs="Times New Roman"/>
                <w:color w:val="auto"/>
                <w:sz w:val="24"/>
              </w:rPr>
              <w:t>号）。</w:t>
            </w:r>
            <w:bookmarkStart w:id="11" w:name="_Hlk183077897"/>
            <w:r>
              <w:rPr>
                <w:rFonts w:hint="eastAsia" w:ascii="Times New Roman" w:hAnsi="Times New Roman" w:eastAsia="宋体" w:cs="Times New Roman"/>
                <w:color w:val="auto"/>
                <w:sz w:val="24"/>
              </w:rPr>
              <w:t>本项目于2022年7月11日开工建设，于2023年7月进行排污许可申请，编号为</w:t>
            </w:r>
            <w:r>
              <w:rPr>
                <w:rFonts w:hint="default" w:ascii="Times New Roman" w:hAnsi="Times New Roman" w:eastAsia="宋体" w:cs="Times New Roman"/>
                <w:color w:val="auto"/>
                <w:sz w:val="24"/>
              </w:rPr>
              <w:t>91320826MA25WCN334001Q</w:t>
            </w:r>
            <w:r>
              <w:rPr>
                <w:rFonts w:hint="eastAsia" w:ascii="Times New Roman" w:hAnsi="Times New Roman" w:eastAsia="宋体" w:cs="Times New Roman"/>
                <w:color w:val="auto"/>
                <w:sz w:val="24"/>
              </w:rPr>
              <w:t>，于202</w:t>
            </w:r>
            <w:r>
              <w:rPr>
                <w:rFonts w:hint="default" w:ascii="Times New Roman" w:hAnsi="Times New Roman" w:eastAsia="宋体" w:cs="Times New Roman"/>
                <w:color w:val="auto"/>
                <w:sz w:val="24"/>
              </w:rPr>
              <w:t>4</w:t>
            </w:r>
            <w:r>
              <w:rPr>
                <w:rFonts w:hint="eastAsia" w:ascii="Times New Roman" w:hAnsi="Times New Roman" w:eastAsia="宋体" w:cs="Times New Roman"/>
                <w:color w:val="auto"/>
                <w:sz w:val="24"/>
              </w:rPr>
              <w:t>年6月21日竣工，目前企业厂区运行情况良好，</w:t>
            </w:r>
            <w:r>
              <w:rPr>
                <w:rFonts w:hint="eastAsia" w:ascii="Times New Roman" w:hAnsi="Times New Roman" w:eastAsia="宋体" w:cs="Times New Roman"/>
                <w:color w:val="auto"/>
                <w:sz w:val="24"/>
                <w:lang w:eastAsia="zh-CN"/>
              </w:rPr>
              <w:t>已完成验收</w:t>
            </w:r>
            <w:bookmarkEnd w:id="11"/>
            <w:r>
              <w:rPr>
                <w:rFonts w:hint="default" w:ascii="Times New Roman" w:hAnsi="Times New Roman" w:eastAsia="宋体" w:cs="Times New Roman"/>
                <w:color w:val="auto"/>
                <w:sz w:val="24"/>
              </w:rPr>
              <w:t>。现有项目环保手续履行情况见下表2-</w:t>
            </w:r>
            <w:r>
              <w:rPr>
                <w:rFonts w:hint="eastAsia" w:ascii="Times New Roman" w:cs="Times New Roman"/>
                <w:color w:val="auto"/>
                <w:sz w:val="24"/>
                <w:lang w:val="en-US" w:eastAsia="zh-CN"/>
              </w:rPr>
              <w:t>8</w:t>
            </w:r>
            <w:r>
              <w:rPr>
                <w:rFonts w:hint="default" w:ascii="Times New Roman" w:hAnsi="Times New Roman" w:eastAsia="宋体" w:cs="Times New Roman"/>
                <w:color w:val="auto"/>
                <w:sz w:val="24"/>
              </w:rPr>
              <w:t>。</w:t>
            </w:r>
          </w:p>
          <w:p w14:paraId="4384BF10">
            <w:pPr>
              <w:widowControl/>
              <w:adjustRightInd w:val="0"/>
              <w:snapToGrid w:val="0"/>
              <w:jc w:val="center"/>
              <w:rPr>
                <w:b/>
                <w:color w:val="auto"/>
                <w:kern w:val="0"/>
                <w:sz w:val="24"/>
              </w:rPr>
            </w:pPr>
            <w:r>
              <w:rPr>
                <w:rFonts w:hAnsi="宋体"/>
                <w:b/>
                <w:bCs/>
                <w:color w:val="auto"/>
                <w:kern w:val="0"/>
                <w:sz w:val="24"/>
              </w:rPr>
              <w:t>表</w:t>
            </w:r>
            <w:r>
              <w:rPr>
                <w:b/>
                <w:bCs/>
                <w:color w:val="auto"/>
                <w:kern w:val="0"/>
                <w:sz w:val="24"/>
              </w:rPr>
              <w:t>2-</w:t>
            </w:r>
            <w:r>
              <w:rPr>
                <w:rFonts w:hint="eastAsia"/>
                <w:b/>
                <w:bCs/>
                <w:color w:val="auto"/>
                <w:kern w:val="0"/>
                <w:sz w:val="24"/>
                <w:lang w:val="en-US" w:eastAsia="zh-CN"/>
              </w:rPr>
              <w:t>8</w:t>
            </w:r>
            <w:r>
              <w:rPr>
                <w:rFonts w:hAnsi="宋体"/>
                <w:b/>
                <w:bCs/>
                <w:color w:val="auto"/>
                <w:kern w:val="0"/>
                <w:sz w:val="24"/>
              </w:rPr>
              <w:t>现有项目环保手续履行情况汇总</w:t>
            </w:r>
          </w:p>
          <w:tbl>
            <w:tblPr>
              <w:tblStyle w:val="32"/>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2124"/>
              <w:gridCol w:w="2278"/>
              <w:gridCol w:w="1293"/>
              <w:gridCol w:w="1111"/>
              <w:gridCol w:w="1187"/>
            </w:tblGrid>
            <w:tr w14:paraId="35EDF8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tblHeader/>
              </w:trPr>
              <w:tc>
                <w:tcPr>
                  <w:tcW w:w="253" w:type="pct"/>
                  <w:noWrap w:val="0"/>
                  <w:vAlign w:val="center"/>
                </w:tcPr>
                <w:p w14:paraId="05C7400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1261" w:type="pct"/>
                  <w:noWrap w:val="0"/>
                  <w:vAlign w:val="center"/>
                </w:tcPr>
                <w:p w14:paraId="6D8BE98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项目名称</w:t>
                  </w:r>
                </w:p>
              </w:tc>
              <w:tc>
                <w:tcPr>
                  <w:tcW w:w="1352" w:type="pct"/>
                  <w:noWrap w:val="0"/>
                  <w:vAlign w:val="center"/>
                </w:tcPr>
                <w:p w14:paraId="2A44789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环评手续</w:t>
                  </w:r>
                </w:p>
              </w:tc>
              <w:tc>
                <w:tcPr>
                  <w:tcW w:w="767" w:type="pct"/>
                  <w:noWrap w:val="0"/>
                  <w:vAlign w:val="center"/>
                </w:tcPr>
                <w:p w14:paraId="3F02D69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批复产能</w:t>
                  </w:r>
                </w:p>
              </w:tc>
              <w:tc>
                <w:tcPr>
                  <w:tcW w:w="659" w:type="pct"/>
                  <w:noWrap w:val="0"/>
                  <w:vAlign w:val="center"/>
                </w:tcPr>
                <w:p w14:paraId="1E5E10C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验收手续</w:t>
                  </w:r>
                </w:p>
              </w:tc>
              <w:tc>
                <w:tcPr>
                  <w:tcW w:w="704" w:type="pct"/>
                  <w:noWrap w:val="0"/>
                  <w:vAlign w:val="center"/>
                </w:tcPr>
                <w:p w14:paraId="55BE055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备注</w:t>
                  </w:r>
                </w:p>
              </w:tc>
            </w:tr>
            <w:tr w14:paraId="37CA6E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253" w:type="pct"/>
                  <w:noWrap w:val="0"/>
                  <w:vAlign w:val="center"/>
                </w:tcPr>
                <w:p w14:paraId="68621DC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w:t>
                  </w:r>
                </w:p>
              </w:tc>
              <w:tc>
                <w:tcPr>
                  <w:tcW w:w="1261" w:type="pct"/>
                  <w:noWrap w:val="0"/>
                  <w:vAlign w:val="center"/>
                </w:tcPr>
                <w:p w14:paraId="4DF0DFBC">
                  <w:pPr>
                    <w:pStyle w:val="4"/>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color w:val="auto"/>
                      <w:sz w:val="21"/>
                      <w:szCs w:val="21"/>
                    </w:rPr>
                    <w:t>江苏乐世食品有限公司食用菌及蔬菜等调味冷冻食品加工项目</w:t>
                  </w:r>
                </w:p>
              </w:tc>
              <w:tc>
                <w:tcPr>
                  <w:tcW w:w="1352" w:type="pct"/>
                  <w:noWrap w:val="0"/>
                  <w:vAlign w:val="center"/>
                </w:tcPr>
                <w:p w14:paraId="581C8C29">
                  <w:pPr>
                    <w:pStyle w:val="4"/>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color w:val="auto"/>
                      <w:sz w:val="21"/>
                      <w:szCs w:val="21"/>
                    </w:rPr>
                    <w:t>2021年9月10日取得淮安涟水生态环境局的批复意见（淮（涟）环表复</w:t>
                  </w:r>
                  <w:r>
                    <w:rPr>
                      <w:rFonts w:hint="eastAsia" w:cs="Times New Roman"/>
                      <w:b w:val="0"/>
                      <w:bCs/>
                      <w:color w:val="auto"/>
                      <w:sz w:val="21"/>
                      <w:szCs w:val="21"/>
                      <w:lang w:eastAsia="zh-CN"/>
                    </w:rPr>
                    <w:t>〔2021〕75号</w:t>
                  </w:r>
                  <w:r>
                    <w:rPr>
                      <w:rFonts w:hint="default" w:ascii="Times New Roman" w:hAnsi="Times New Roman" w:eastAsia="宋体" w:cs="Times New Roman"/>
                      <w:b w:val="0"/>
                      <w:bCs/>
                      <w:color w:val="auto"/>
                      <w:sz w:val="21"/>
                      <w:szCs w:val="21"/>
                    </w:rPr>
                    <w:t>）</w:t>
                  </w:r>
                  <w:r>
                    <w:rPr>
                      <w:rFonts w:hint="default" w:ascii="Times New Roman" w:hAnsi="Times New Roman" w:eastAsia="宋体" w:cs="Times New Roman"/>
                      <w:color w:val="auto"/>
                      <w:sz w:val="21"/>
                      <w:szCs w:val="21"/>
                      <w:lang w:val="en-US" w:eastAsia="zh-CN"/>
                    </w:rPr>
                    <w:t>）</w:t>
                  </w:r>
                </w:p>
              </w:tc>
              <w:tc>
                <w:tcPr>
                  <w:tcW w:w="767" w:type="pct"/>
                  <w:noWrap w:val="0"/>
                  <w:vAlign w:val="center"/>
                </w:tcPr>
                <w:p w14:paraId="4D83F11B">
                  <w:pPr>
                    <w:pStyle w:val="4"/>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pacing w:val="-3"/>
                      <w:sz w:val="21"/>
                      <w:szCs w:val="21"/>
                      <w:lang w:val="en-US" w:eastAsia="zh-CN"/>
                    </w:rPr>
                  </w:pPr>
                  <w:r>
                    <w:rPr>
                      <w:rFonts w:hint="default" w:ascii="Times New Roman" w:hAnsi="Times New Roman" w:eastAsia="宋体" w:cs="Times New Roman"/>
                      <w:b w:val="0"/>
                      <w:bCs/>
                      <w:color w:val="auto"/>
                      <w:sz w:val="21"/>
                      <w:szCs w:val="21"/>
                    </w:rPr>
                    <w:t>年产1万吨加工食用菌及蔬菜等调味冷冻食品</w:t>
                  </w:r>
                </w:p>
              </w:tc>
              <w:tc>
                <w:tcPr>
                  <w:tcW w:w="659" w:type="pct"/>
                  <w:noWrap w:val="0"/>
                  <w:vAlign w:val="center"/>
                </w:tcPr>
                <w:p w14:paraId="26A5F68B">
                  <w:pPr>
                    <w:pStyle w:val="4"/>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未验收</w:t>
                  </w:r>
                </w:p>
              </w:tc>
              <w:tc>
                <w:tcPr>
                  <w:tcW w:w="704" w:type="pct"/>
                  <w:noWrap w:val="0"/>
                  <w:vAlign w:val="center"/>
                </w:tcPr>
                <w:p w14:paraId="7F298778">
                  <w:pPr>
                    <w:pStyle w:val="4"/>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未建设</w:t>
                  </w:r>
                </w:p>
              </w:tc>
            </w:tr>
            <w:tr w14:paraId="326BFF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253" w:type="pct"/>
                  <w:noWrap w:val="0"/>
                  <w:vAlign w:val="center"/>
                </w:tcPr>
                <w:p w14:paraId="58DA8BD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w:t>
                  </w:r>
                </w:p>
              </w:tc>
              <w:tc>
                <w:tcPr>
                  <w:tcW w:w="1261" w:type="pct"/>
                  <w:noWrap w:val="0"/>
                  <w:vAlign w:val="center"/>
                </w:tcPr>
                <w:p w14:paraId="720F9206">
                  <w:pPr>
                    <w:pStyle w:val="4"/>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color w:val="auto"/>
                      <w:sz w:val="21"/>
                      <w:szCs w:val="21"/>
                    </w:rPr>
                    <w:t>江苏乐世食品有限公司年产1.5万吨预制凉菜智能制造（加工）项目、研发及检测中心建设项目</w:t>
                  </w:r>
                </w:p>
              </w:tc>
              <w:tc>
                <w:tcPr>
                  <w:tcW w:w="1352" w:type="pct"/>
                  <w:noWrap w:val="0"/>
                  <w:vAlign w:val="center"/>
                </w:tcPr>
                <w:p w14:paraId="1618B73C">
                  <w:pPr>
                    <w:pStyle w:val="4"/>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b w:val="0"/>
                      <w:color w:val="auto"/>
                      <w:sz w:val="21"/>
                      <w:szCs w:val="21"/>
                    </w:rPr>
                    <w:t>2022年4月13日取得淮安市生态环境局的环评批复（淮（涟）环表复〔2022〕24号</w:t>
                  </w:r>
                </w:p>
              </w:tc>
              <w:tc>
                <w:tcPr>
                  <w:tcW w:w="767" w:type="pct"/>
                  <w:noWrap w:val="0"/>
                  <w:vAlign w:val="center"/>
                </w:tcPr>
                <w:p w14:paraId="1D5A4E9C">
                  <w:pPr>
                    <w:pStyle w:val="4"/>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pacing w:val="-3"/>
                      <w:sz w:val="21"/>
                      <w:szCs w:val="21"/>
                      <w:lang w:val="en-US" w:eastAsia="zh-CN"/>
                    </w:rPr>
                  </w:pPr>
                  <w:r>
                    <w:rPr>
                      <w:rFonts w:hint="default" w:ascii="Times New Roman" w:hAnsi="Times New Roman" w:eastAsia="宋体" w:cs="Times New Roman"/>
                      <w:b w:val="0"/>
                      <w:bCs/>
                      <w:color w:val="auto"/>
                      <w:sz w:val="21"/>
                      <w:szCs w:val="21"/>
                    </w:rPr>
                    <w:t>年产1.5万吨预制凉菜智能制造（加工）项目</w:t>
                  </w:r>
                </w:p>
              </w:tc>
              <w:tc>
                <w:tcPr>
                  <w:tcW w:w="659" w:type="pct"/>
                  <w:noWrap w:val="0"/>
                  <w:vAlign w:val="center"/>
                </w:tcPr>
                <w:p w14:paraId="0B71BE73">
                  <w:pPr>
                    <w:pStyle w:val="4"/>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2025.5完成验收</w:t>
                  </w:r>
                </w:p>
              </w:tc>
              <w:tc>
                <w:tcPr>
                  <w:tcW w:w="704" w:type="pct"/>
                  <w:noWrap w:val="0"/>
                  <w:vAlign w:val="center"/>
                </w:tcPr>
                <w:p w14:paraId="60D08905">
                  <w:pPr>
                    <w:pStyle w:val="4"/>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bl>
          <w:p w14:paraId="62A84374">
            <w:pPr>
              <w:autoSpaceDE w:val="0"/>
              <w:autoSpaceDN w:val="0"/>
              <w:adjustRightInd w:val="0"/>
              <w:snapToGrid w:val="0"/>
              <w:spacing w:before="120" w:beforeLines="50" w:line="360" w:lineRule="auto"/>
              <w:ind w:firstLine="482" w:firstLineChars="200"/>
              <w:rPr>
                <w:rFonts w:hAnsi="宋体"/>
                <w:b/>
                <w:color w:val="auto"/>
                <w:kern w:val="0"/>
                <w:sz w:val="24"/>
              </w:rPr>
            </w:pPr>
            <w:r>
              <w:rPr>
                <w:b/>
                <w:color w:val="auto"/>
                <w:kern w:val="0"/>
                <w:sz w:val="24"/>
              </w:rPr>
              <w:t>2.</w:t>
            </w:r>
            <w:r>
              <w:rPr>
                <w:rFonts w:hAnsi="宋体"/>
                <w:b/>
                <w:color w:val="auto"/>
                <w:kern w:val="0"/>
                <w:sz w:val="24"/>
              </w:rPr>
              <w:t>现有项目工艺流程及产污环节图</w:t>
            </w:r>
          </w:p>
          <w:p w14:paraId="3A5D68A2">
            <w:pPr>
              <w:widowControl/>
              <w:adjustRightInd w:val="0"/>
              <w:snapToGrid w:val="0"/>
              <w:spacing w:line="360" w:lineRule="auto"/>
              <w:ind w:firstLine="420" w:firstLineChars="200"/>
              <w:jc w:val="center"/>
              <w:rPr>
                <w:color w:val="auto"/>
              </w:rPr>
            </w:pPr>
            <w:r>
              <w:rPr>
                <w:rFonts w:ascii="Times New Roman" w:hAnsi="Times New Roman" w:eastAsia="宋体" w:cs="Times New Roman"/>
                <w:color w:val="auto"/>
              </w:rPr>
              <w:object>
                <v:shape id="_x0000_i1030" o:spt="75" type="#_x0000_t75" style="height:523.25pt;width:310.6pt;" o:ole="t" filled="f" o:preferrelative="t" stroked="f" coordsize="21600,21600">
                  <v:path/>
                  <v:fill on="f" focussize="0,0"/>
                  <v:stroke on="f" joinstyle="miter"/>
                  <v:imagedata r:id="rId22" o:title=""/>
                  <o:lock v:ext="edit" aspectratio="t"/>
                  <w10:wrap type="none"/>
                  <w10:anchorlock/>
                </v:shape>
                <o:OLEObject Type="Embed" ProgID="Visio.Drawing.11" ShapeID="_x0000_i1030" DrawAspect="Content" ObjectID="_1468075730" r:id="rId21">
                  <o:LockedField>false</o:LockedField>
                </o:OLEObject>
              </w:object>
            </w:r>
          </w:p>
          <w:p w14:paraId="39B6461C">
            <w:pPr>
              <w:widowControl/>
              <w:adjustRightInd w:val="0"/>
              <w:snapToGrid w:val="0"/>
              <w:spacing w:line="360" w:lineRule="auto"/>
              <w:ind w:firstLine="482" w:firstLineChars="200"/>
              <w:jc w:val="center"/>
              <w:rPr>
                <w:rFonts w:hint="default" w:ascii="Times New Roman" w:hAnsi="Times New Roman" w:eastAsia="宋体" w:cs="Times New Roman"/>
                <w:b/>
                <w:bCs/>
                <w:color w:val="auto"/>
                <w:kern w:val="0"/>
                <w:sz w:val="24"/>
              </w:rPr>
            </w:pPr>
            <w:r>
              <w:rPr>
                <w:rFonts w:hint="default" w:ascii="Times New Roman" w:hAnsi="Times New Roman" w:eastAsia="宋体" w:cs="Times New Roman"/>
                <w:b/>
                <w:color w:val="auto"/>
                <w:sz w:val="24"/>
              </w:rPr>
              <w:t>图2-</w:t>
            </w:r>
            <w:r>
              <w:rPr>
                <w:rFonts w:hint="eastAsia" w:cs="Times New Roman"/>
                <w:b/>
                <w:color w:val="auto"/>
                <w:sz w:val="24"/>
                <w:lang w:val="en-US" w:eastAsia="zh-CN"/>
              </w:rPr>
              <w:t>6</w:t>
            </w:r>
            <w:r>
              <w:rPr>
                <w:rFonts w:hint="default" w:ascii="Times New Roman" w:hAnsi="Times New Roman" w:eastAsia="宋体" w:cs="Times New Roman"/>
                <w:b/>
                <w:color w:val="auto"/>
                <w:sz w:val="24"/>
              </w:rPr>
              <w:t>现有</w:t>
            </w:r>
            <w:r>
              <w:rPr>
                <w:rFonts w:hint="default" w:ascii="Times New Roman" w:hAnsi="Times New Roman" w:eastAsia="宋体" w:cs="Times New Roman"/>
                <w:b/>
                <w:color w:val="auto"/>
                <w:sz w:val="24"/>
                <w:lang w:eastAsia="zh-CN"/>
              </w:rPr>
              <w:t>项目</w:t>
            </w:r>
            <w:r>
              <w:rPr>
                <w:rFonts w:hint="default" w:ascii="Times New Roman" w:hAnsi="Times New Roman" w:eastAsia="宋体" w:cs="Times New Roman"/>
                <w:b/>
                <w:color w:val="auto"/>
                <w:sz w:val="24"/>
              </w:rPr>
              <w:t>工艺流程及产污环节图</w:t>
            </w:r>
          </w:p>
          <w:p w14:paraId="1C10DA11">
            <w:pPr>
              <w:widowControl/>
              <w:spacing w:line="360" w:lineRule="auto"/>
              <w:ind w:firstLine="482" w:firstLineChars="200"/>
              <w:rPr>
                <w:rFonts w:hint="default" w:ascii="Times New Roman" w:hAnsi="Times New Roman" w:eastAsia="宋体" w:cs="Times New Roman"/>
                <w:b/>
                <w:color w:val="auto"/>
                <w:kern w:val="0"/>
                <w:sz w:val="24"/>
              </w:rPr>
            </w:pPr>
            <w:r>
              <w:rPr>
                <w:rFonts w:hint="default" w:ascii="Times New Roman" w:hAnsi="Times New Roman" w:eastAsia="宋体" w:cs="Times New Roman"/>
                <w:b/>
                <w:color w:val="auto"/>
                <w:kern w:val="0"/>
                <w:sz w:val="24"/>
              </w:rPr>
              <w:t>现有项目工艺流程简述：</w:t>
            </w:r>
          </w:p>
          <w:p w14:paraId="22BE85E8">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 1 \* GB3 </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①</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消毒</w:t>
            </w:r>
          </w:p>
          <w:p w14:paraId="73E219C4">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使用75%的酒精在生产厂房各入口处利用自动杀菌净手器（5L）对员工手部消毒；生产之前在生产区域对切段机、切片机、蒸煮机、脱水机等生产设备进行人工擦拭消毒；在杀菌间对工器具进行人工擦拭消毒。此过程会产生乙醇废气G4。</w:t>
            </w:r>
          </w:p>
          <w:p w14:paraId="1C2FBFB7">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 2 \* GB3 </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②</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挑选</w:t>
            </w:r>
          </w:p>
          <w:p w14:paraId="6D774F66">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对购进的蔬菜鲜品（杏鲍菇、莲藕、芥兰、黄豆）由人工进行挑选、去</w:t>
            </w:r>
            <w:r>
              <w:rPr>
                <w:rFonts w:hint="eastAsia" w:ascii="Times New Roman" w:cs="Times New Roman"/>
                <w:color w:val="auto"/>
                <w:sz w:val="24"/>
                <w:lang w:eastAsia="zh-CN"/>
              </w:rPr>
              <w:t>根</w:t>
            </w:r>
            <w:r>
              <w:rPr>
                <w:rFonts w:hint="default" w:ascii="Times New Roman" w:hAnsi="Times New Roman" w:eastAsia="宋体" w:cs="Times New Roman"/>
                <w:color w:val="auto"/>
                <w:sz w:val="24"/>
              </w:rPr>
              <w:t>去杂、把不合格的挑选出来。此过程会产生废蔬菜S1-1。</w:t>
            </w:r>
          </w:p>
          <w:p w14:paraId="428A76CD">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 3 \* GB3 </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③</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切断</w:t>
            </w:r>
          </w:p>
          <w:p w14:paraId="0DD18206">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利用切断机切断蔬菜，处理好的原料通过</w:t>
            </w:r>
            <w:r>
              <w:rPr>
                <w:rFonts w:hint="eastAsia" w:ascii="Times New Roman" w:cs="Times New Roman"/>
                <w:color w:val="auto"/>
                <w:sz w:val="24"/>
                <w:lang w:eastAsia="zh-CN"/>
              </w:rPr>
              <w:t>传送带</w:t>
            </w:r>
            <w:r>
              <w:rPr>
                <w:rFonts w:hint="default" w:ascii="Times New Roman" w:hAnsi="Times New Roman" w:eastAsia="宋体" w:cs="Times New Roman"/>
                <w:color w:val="auto"/>
                <w:sz w:val="24"/>
              </w:rPr>
              <w:t>输送至切件工序进一步加工。此过程会产生机械噪声N1-1。</w:t>
            </w:r>
          </w:p>
          <w:p w14:paraId="7B096558">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 4 \* GB3 </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④</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清洗</w:t>
            </w:r>
          </w:p>
          <w:p w14:paraId="1A72096C">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利用蔬菜清洗机，加入自来水清洗切断的蔬菜。此过程会产生清洗废水W1-1。</w:t>
            </w:r>
          </w:p>
          <w:p w14:paraId="4D59209B">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 5 \* GB3 </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⑤</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蒸煮冷却</w:t>
            </w:r>
          </w:p>
          <w:p w14:paraId="6A71ABF7">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将清洗好的蔬菜放入蒸煮机中，利用管道蒸汽加热至95℃的温度下蒸煮6分钟。此过程会产生蒸煮废水W1-2。蒸煮好的蔬菜冷却一段时间。</w:t>
            </w:r>
          </w:p>
          <w:p w14:paraId="7DA2A8B1">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 6 \* GB3 </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⑥</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切片</w:t>
            </w:r>
          </w:p>
          <w:p w14:paraId="6FA4E06E">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利用切片机将冷却好的蔬菜切成片状。此过程会产生机械噪声N1-2。</w:t>
            </w:r>
          </w:p>
          <w:p w14:paraId="195F9004">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 7 \* GB3 </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⑦</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脱水</w:t>
            </w:r>
          </w:p>
          <w:p w14:paraId="1C282ADE">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利用脱水机将切成片状的蔬菜进行脱水。此过程会产生脱水废水W1-3和机械噪声N1-3。</w:t>
            </w:r>
          </w:p>
          <w:p w14:paraId="492E9AD0">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 8 \* GB3 </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⑧</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调味搅拌</w:t>
            </w:r>
          </w:p>
          <w:p w14:paraId="50DC716E">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自制辅料：利用人工将新鲜的葱、姜、蒜清洗切碎后，通过称量配料后，加入食盐、糖、香油、植物油使用蒸汽对夹层锅进行加热并炒制配料。炒制工序设置2个灶头。此过程会产生油烟废气G1、废辅料S1-2、清洗废水W1-4、机械噪声N1-4。</w:t>
            </w:r>
          </w:p>
          <w:p w14:paraId="1F4C99EB">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将炒制好的辅料和切碎后的红绿辣椒加入脱水后的蔬菜，在搅拌锅中混合均匀。</w:t>
            </w:r>
          </w:p>
          <w:p w14:paraId="5242516B">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 9 \* GB3 </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⑨</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称量、袋装封口</w:t>
            </w:r>
          </w:p>
          <w:p w14:paraId="54FDB17C">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将混合后的调味蔬菜称量后包装成袋、利用封口机密封封口，并使用食品真空包装机将封口的调味蔬菜抽成真空。</w:t>
            </w:r>
          </w:p>
          <w:p w14:paraId="0D1ED2EB">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⑩金属探测</w:t>
            </w:r>
          </w:p>
          <w:p w14:paraId="7F2B7DB3">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利用金属探测仪检测是否含铁及不锈钢。如检测到金属，挑选出异物后的产品回到生产线再利用。</w:t>
            </w:r>
          </w:p>
          <w:p w14:paraId="727CC3C4">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eq \o\ac(○,</w:instrText>
            </w:r>
            <w:r>
              <w:rPr>
                <w:rFonts w:hint="default" w:ascii="Times New Roman" w:hAnsi="Times New Roman" w:eastAsia="宋体" w:cs="Times New Roman"/>
                <w:color w:val="auto"/>
                <w:position w:val="3"/>
                <w:sz w:val="16"/>
              </w:rPr>
              <w:instrText xml:space="preserve">11</w:instrText>
            </w:r>
            <w:r>
              <w:rPr>
                <w:rFonts w:hint="default" w:ascii="Times New Roman" w:hAnsi="Times New Roman" w:eastAsia="宋体" w:cs="Times New Roman"/>
                <w:color w:val="auto"/>
                <w:sz w:val="24"/>
              </w:rPr>
              <w:instrText xml:space="preserve">)</w:instrTex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巴氏杀菌、速冻入库</w:t>
            </w:r>
          </w:p>
          <w:p w14:paraId="2729D59F">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使用杀菌机，利用蒸汽加热到75℃，采用巴氏杀菌，杀菌30分钟。杀菌后的产品，进入速冻间利用速冻机速冻4h小时以上，将速冻后的产品用纸箱包装后进入冷冻库房待发货。</w:t>
            </w:r>
          </w:p>
          <w:p w14:paraId="0EAF71CB">
            <w:pPr>
              <w:pStyle w:val="45"/>
              <w:spacing w:before="24" w:after="24" w:line="360" w:lineRule="auto"/>
              <w:ind w:firstLine="482" w:firstLineChars="200"/>
              <w:jc w:val="left"/>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（2）食用菌冷冻品生产工艺</w:t>
            </w:r>
          </w:p>
          <w:p w14:paraId="344E8520">
            <w:pPr>
              <w:pStyle w:val="45"/>
              <w:spacing w:beforeLines="0" w:afterLines="0"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object>
                <v:shape id="_x0000_i1031" o:spt="75" type="#_x0000_t75" style="height:410.25pt;width:318.15pt;" o:ole="t" filled="f" o:preferrelative="t" stroked="f" coordsize="21600,21600">
                  <v:path/>
                  <v:fill on="f" focussize="0,0"/>
                  <v:stroke on="f" joinstyle="miter"/>
                  <v:imagedata r:id="rId24" o:title=""/>
                  <o:lock v:ext="edit" aspectratio="t"/>
                  <w10:wrap type="none"/>
                  <w10:anchorlock/>
                </v:shape>
                <o:OLEObject Type="Embed" ProgID="Visio.Drawing.11" ShapeID="_x0000_i1031" DrawAspect="Content" ObjectID="_1468075731" r:id="rId23">
                  <o:LockedField>false</o:LockedField>
                </o:OLEObject>
              </w:object>
            </w:r>
          </w:p>
          <w:p w14:paraId="0635EAB9">
            <w:pPr>
              <w:pStyle w:val="45"/>
              <w:spacing w:beforeLines="0" w:afterLines="0" w:line="240" w:lineRule="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图2-</w:t>
            </w:r>
            <w:r>
              <w:rPr>
                <w:rFonts w:hint="eastAsia" w:ascii="Times New Roman" w:cs="Times New Roman"/>
                <w:b/>
                <w:color w:val="auto"/>
                <w:sz w:val="24"/>
                <w:lang w:val="en-US" w:eastAsia="zh-CN"/>
              </w:rPr>
              <w:t>7</w:t>
            </w:r>
            <w:r>
              <w:rPr>
                <w:rFonts w:hint="default" w:ascii="Times New Roman" w:hAnsi="Times New Roman" w:eastAsia="宋体" w:cs="Times New Roman"/>
                <w:b/>
                <w:color w:val="auto"/>
                <w:sz w:val="24"/>
              </w:rPr>
              <w:t xml:space="preserve">  食用菌冷冻品生产工艺流程及产污环节图</w:t>
            </w:r>
          </w:p>
          <w:p w14:paraId="40A12B44">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 1 \* GB3 </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①</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消毒</w:t>
            </w:r>
          </w:p>
          <w:p w14:paraId="5CE9180B">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使用75%的酒精在生产厂房各入口处利用自动杀菌净手器（5L）对员工手部消毒；生产之前在生产区域对切段机、切片机、蒸煮机、脱水机等生产设备进行人工擦拭消毒；在杀菌间对工器具进行人工擦拭消毒。此过程会产生乙醇废气G5。</w:t>
            </w:r>
          </w:p>
          <w:p w14:paraId="6B6C2AAE">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 2 \* GB3 </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②</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挑选</w:t>
            </w:r>
          </w:p>
          <w:p w14:paraId="5BDAB2C9">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对购进的食用菌鲜品（金针菇、双孢菇、蟹味菇）由人工进行挑选、去</w:t>
            </w:r>
            <w:r>
              <w:rPr>
                <w:rFonts w:hint="eastAsia" w:ascii="Times New Roman" w:cs="Times New Roman"/>
                <w:color w:val="auto"/>
                <w:sz w:val="24"/>
                <w:lang w:eastAsia="zh-CN"/>
              </w:rPr>
              <w:t>根</w:t>
            </w:r>
            <w:r>
              <w:rPr>
                <w:rFonts w:hint="default" w:ascii="Times New Roman" w:hAnsi="Times New Roman" w:eastAsia="宋体" w:cs="Times New Roman"/>
                <w:color w:val="auto"/>
                <w:sz w:val="24"/>
              </w:rPr>
              <w:t>去杂、把不合格的挑选出来。此过程会产生废食用菌S2-1。</w:t>
            </w:r>
          </w:p>
          <w:p w14:paraId="31D83A77">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 3 \* GB3 </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③</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清洗</w:t>
            </w:r>
          </w:p>
          <w:p w14:paraId="24D1703E">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利用清洗机，加入自来水清洗食用菌。此过程会产生清洗废水W2-1。</w:t>
            </w:r>
          </w:p>
          <w:p w14:paraId="7B736F16">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 4 \* GB3 </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④</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蒸煮冷却</w:t>
            </w:r>
          </w:p>
          <w:p w14:paraId="51C76887">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将清洗好的食用菌放入蒸煮机中，利用管道蒸汽加热至95℃的温度下蒸煮6分钟。此过程会产生蒸煮废水W2-2。蒸煮好的蔬菜冷却一段时间。</w:t>
            </w:r>
          </w:p>
          <w:p w14:paraId="38EE5DD6">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 5 \* GB3 </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⑤</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脱水</w:t>
            </w:r>
          </w:p>
          <w:p w14:paraId="6A9BE4AD">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利用脱水机将冷却后的食用菌脱水。此过程会产生脱水废水W2-3和机械噪声N2。</w:t>
            </w:r>
          </w:p>
          <w:p w14:paraId="11A713B3">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 6 \* GB3 </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⑥</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速冻</w:t>
            </w:r>
          </w:p>
          <w:p w14:paraId="6EAE3EBD">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进入速冻间利用速冻机（液氨制冷）速冻15min。</w:t>
            </w:r>
          </w:p>
          <w:p w14:paraId="582D6872">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 7 \* GB3 </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⑦</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称量、袋装封口</w:t>
            </w:r>
          </w:p>
          <w:p w14:paraId="1AAF6F5D">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将速冻后的食用菌称量后包装成袋、利用封口机密封封口，并使用食品真空包装机将封口的冷冻食用菌抽成真空。</w:t>
            </w:r>
          </w:p>
          <w:p w14:paraId="453077F3">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 8 \* GB3 </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⑧</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金属探测</w:t>
            </w:r>
          </w:p>
          <w:p w14:paraId="22214156">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利用金属探测仪检测是否含铁及不锈钢。如检测到金属，挑选出异物后的产品回到生产线再利用。</w:t>
            </w:r>
          </w:p>
          <w:p w14:paraId="1F47C88B">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 9 \* GB3 </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⑨</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包装入库</w:t>
            </w:r>
          </w:p>
          <w:p w14:paraId="117D34A0">
            <w:pPr>
              <w:pStyle w:val="45"/>
              <w:spacing w:beforeLines="0" w:afterLines="0"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利用纸箱将金属探测后的产品包装后进入冷冻库房待发货。</w:t>
            </w:r>
          </w:p>
          <w:p w14:paraId="4230D362">
            <w:pPr>
              <w:pStyle w:val="40"/>
              <w:numPr>
                <w:ilvl w:val="0"/>
                <w:numId w:val="5"/>
              </w:numPr>
              <w:spacing w:line="360" w:lineRule="auto"/>
              <w:ind w:firstLine="482" w:firstLineChars="0"/>
              <w:rPr>
                <w:rFonts w:hint="default" w:ascii="Times New Roman" w:hAnsi="Times New Roman" w:eastAsia="宋体" w:cs="Times New Roman"/>
                <w:color w:val="auto"/>
              </w:rPr>
            </w:pPr>
            <w:r>
              <w:rPr>
                <w:rFonts w:hint="default" w:ascii="Times New Roman" w:hAnsi="Times New Roman" w:eastAsia="宋体" w:cs="Times New Roman"/>
                <w:color w:val="auto"/>
              </w:rPr>
              <w:t>现有项目污染物产生、治理及达标排放情况</w:t>
            </w:r>
          </w:p>
          <w:p w14:paraId="03D22B7B">
            <w:pPr>
              <w:pStyle w:val="40"/>
              <w:numPr>
                <w:ilvl w:val="0"/>
                <w:numId w:val="6"/>
              </w:numPr>
              <w:spacing w:line="360" w:lineRule="auto"/>
              <w:ind w:firstLineChars="0"/>
              <w:rPr>
                <w:rFonts w:hint="default" w:ascii="Times New Roman" w:hAnsi="Times New Roman" w:eastAsia="宋体" w:cs="Times New Roman"/>
                <w:b w:val="0"/>
                <w:bCs/>
                <w:color w:val="auto"/>
                <w:kern w:val="2"/>
                <w:sz w:val="24"/>
                <w:szCs w:val="24"/>
                <w:lang w:val="en-US" w:eastAsia="zh-CN" w:bidi="ar-SA"/>
              </w:rPr>
            </w:pPr>
            <w:r>
              <w:rPr>
                <w:rFonts w:hint="default" w:ascii="Times New Roman" w:hAnsi="Times New Roman" w:eastAsia="宋体" w:cs="Times New Roman"/>
                <w:b w:val="0"/>
                <w:bCs/>
                <w:color w:val="auto"/>
                <w:kern w:val="2"/>
                <w:sz w:val="24"/>
                <w:szCs w:val="24"/>
                <w:lang w:val="en-US" w:eastAsia="zh-CN" w:bidi="ar-SA"/>
              </w:rPr>
              <w:t>废水</w:t>
            </w:r>
          </w:p>
          <w:p w14:paraId="50D9889C">
            <w:pPr>
              <w:spacing w:line="360" w:lineRule="auto"/>
              <w:ind w:firstLine="480" w:firstLineChars="200"/>
              <w:rPr>
                <w:rFonts w:hint="default" w:ascii="Times New Roman" w:hAnsi="Times New Roman" w:eastAsia="宋体" w:cs="Times New Roman"/>
                <w:b w:val="0"/>
                <w:bCs/>
                <w:color w:val="auto"/>
                <w:kern w:val="2"/>
                <w:sz w:val="24"/>
                <w:szCs w:val="24"/>
                <w:lang w:val="en-US" w:eastAsia="zh-CN" w:bidi="ar-SA"/>
              </w:rPr>
            </w:pPr>
            <w:r>
              <w:rPr>
                <w:rFonts w:hint="default" w:ascii="Times New Roman" w:hAnsi="Times New Roman" w:eastAsia="宋体" w:cs="Times New Roman"/>
                <w:color w:val="auto"/>
                <w:sz w:val="24"/>
              </w:rPr>
              <w:t>现有项目污水主要为</w:t>
            </w:r>
            <w:r>
              <w:rPr>
                <w:rFonts w:hint="default" w:ascii="Times New Roman" w:hAnsi="Times New Roman" w:eastAsia="宋体" w:cs="Times New Roman"/>
                <w:color w:val="auto"/>
                <w:sz w:val="24"/>
                <w:szCs w:val="24"/>
              </w:rPr>
              <w:t>生活废水、食堂废水、生产用水、设备清洗废水、生产车间地面清洁废水、化验室废水</w:t>
            </w:r>
          </w:p>
          <w:p w14:paraId="6370349F">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根据2024年10月23日委托</w:t>
            </w:r>
            <w:r>
              <w:rPr>
                <w:rFonts w:hint="default" w:ascii="Times New Roman" w:hAnsi="Times New Roman" w:eastAsia="宋体" w:cs="Times New Roman"/>
                <w:color w:val="auto"/>
                <w:sz w:val="24"/>
                <w:szCs w:val="24"/>
              </w:rPr>
              <w:t>南京万全检测技术有限公司</w:t>
            </w:r>
            <w:r>
              <w:rPr>
                <w:rFonts w:hint="default" w:ascii="Times New Roman" w:hAnsi="Times New Roman" w:eastAsia="宋体" w:cs="Times New Roman"/>
                <w:color w:val="auto"/>
                <w:sz w:val="24"/>
                <w:lang w:val="en-US" w:eastAsia="zh-CN"/>
              </w:rPr>
              <w:t>对废水验收监测，报告编号：H250317</w:t>
            </w:r>
            <w:r>
              <w:rPr>
                <w:rFonts w:hint="default" w:ascii="Times New Roman" w:hAnsi="Times New Roman" w:eastAsia="宋体" w:cs="Times New Roman"/>
                <w:color w:val="auto"/>
                <w:sz w:val="24"/>
                <w:szCs w:val="24"/>
              </w:rPr>
              <w:t>NVTT-2024-Y0312</w:t>
            </w:r>
            <w:r>
              <w:rPr>
                <w:rFonts w:hint="default" w:ascii="Times New Roman" w:hAnsi="Times New Roman" w:eastAsia="宋体" w:cs="Times New Roman"/>
                <w:color w:val="auto"/>
                <w:sz w:val="24"/>
                <w:lang w:val="en-US" w:eastAsia="zh-CN"/>
              </w:rPr>
              <w:t>，各类污染物浓度可满足涟水经济开发区污水处理厂接管标准。具体监测数据见下表。</w:t>
            </w:r>
          </w:p>
          <w:p w14:paraId="4567696D">
            <w:pPr>
              <w:pStyle w:val="2"/>
              <w:keepNext w:val="0"/>
              <w:keepLines w:val="0"/>
              <w:pageBreakBefore w:val="0"/>
              <w:widowControl w:val="0"/>
              <w:kinsoku/>
              <w:wordWrap/>
              <w:overflowPunct/>
              <w:topLinePunct w:val="0"/>
              <w:autoSpaceDE/>
              <w:autoSpaceDN/>
              <w:bidi w:val="0"/>
              <w:adjustRightInd/>
              <w:snapToGrid/>
              <w:spacing w:after="0"/>
              <w:ind w:left="0" w:leftChars="0" w:firstLine="482"/>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表2-</w:t>
            </w:r>
            <w:r>
              <w:rPr>
                <w:rFonts w:hint="eastAsia" w:cs="Times New Roman"/>
                <w:b/>
                <w:bCs/>
                <w:color w:val="auto"/>
                <w:sz w:val="24"/>
                <w:szCs w:val="24"/>
                <w:lang w:val="en-US" w:eastAsia="zh-CN"/>
              </w:rPr>
              <w:t>9</w:t>
            </w:r>
            <w:r>
              <w:rPr>
                <w:rFonts w:hint="default" w:ascii="Times New Roman" w:hAnsi="Times New Roman" w:eastAsia="宋体" w:cs="Times New Roman"/>
                <w:b/>
                <w:bCs/>
                <w:color w:val="auto"/>
                <w:sz w:val="24"/>
                <w:szCs w:val="24"/>
              </w:rPr>
              <w:t>现有项目废水验收监测结果</w:t>
            </w:r>
          </w:p>
          <w:tbl>
            <w:tblPr>
              <w:tblStyle w:val="32"/>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950"/>
              <w:gridCol w:w="1013"/>
              <w:gridCol w:w="1659"/>
              <w:gridCol w:w="830"/>
              <w:gridCol w:w="696"/>
              <w:gridCol w:w="696"/>
              <w:gridCol w:w="562"/>
              <w:gridCol w:w="735"/>
              <w:gridCol w:w="432"/>
              <w:gridCol w:w="850"/>
            </w:tblGrid>
            <w:tr w14:paraId="3C3DBF1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c>
                <w:tcPr>
                  <w:tcW w:w="950" w:type="dxa"/>
                  <w:vMerge w:val="restart"/>
                  <w:shd w:val="clear" w:color="auto" w:fill="auto"/>
                  <w:vAlign w:val="center"/>
                </w:tcPr>
                <w:p w14:paraId="1198410D">
                  <w:pPr>
                    <w:adjustRightInd/>
                    <w:snapToGrid/>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采样日期</w:t>
                  </w:r>
                </w:p>
              </w:tc>
              <w:tc>
                <w:tcPr>
                  <w:tcW w:w="1060" w:type="dxa"/>
                  <w:vMerge w:val="restart"/>
                  <w:shd w:val="clear" w:color="auto" w:fill="auto"/>
                  <w:vAlign w:val="center"/>
                </w:tcPr>
                <w:p w14:paraId="541CC76A">
                  <w:pPr>
                    <w:adjustRightInd/>
                    <w:snapToGrid/>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采样点位</w:t>
                  </w:r>
                </w:p>
              </w:tc>
              <w:tc>
                <w:tcPr>
                  <w:tcW w:w="1701" w:type="dxa"/>
                  <w:vMerge w:val="restart"/>
                  <w:shd w:val="clear" w:color="auto" w:fill="auto"/>
                  <w:vAlign w:val="center"/>
                </w:tcPr>
                <w:p w14:paraId="747CD932">
                  <w:pPr>
                    <w:adjustRightInd/>
                    <w:snapToGrid/>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检测项目</w:t>
                  </w:r>
                </w:p>
              </w:tc>
              <w:tc>
                <w:tcPr>
                  <w:tcW w:w="3570" w:type="dxa"/>
                  <w:gridSpan w:val="5"/>
                  <w:shd w:val="clear" w:color="auto" w:fill="auto"/>
                  <w:vAlign w:val="center"/>
                </w:tcPr>
                <w:p w14:paraId="51F2F71F">
                  <w:pPr>
                    <w:adjustRightInd/>
                    <w:snapToGrid/>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检测结果</w:t>
                  </w:r>
                </w:p>
              </w:tc>
              <w:tc>
                <w:tcPr>
                  <w:tcW w:w="432" w:type="dxa"/>
                  <w:vMerge w:val="restart"/>
                  <w:shd w:val="clear" w:color="auto" w:fill="auto"/>
                  <w:noWrap/>
                  <w:vAlign w:val="center"/>
                </w:tcPr>
                <w:p w14:paraId="5DD86010">
                  <w:pPr>
                    <w:adjustRightInd/>
                    <w:snapToGrid/>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标准</w:t>
                  </w:r>
                </w:p>
              </w:tc>
              <w:tc>
                <w:tcPr>
                  <w:tcW w:w="849" w:type="dxa"/>
                  <w:vMerge w:val="restart"/>
                  <w:shd w:val="clear" w:color="auto" w:fill="auto"/>
                  <w:noWrap/>
                  <w:vAlign w:val="center"/>
                </w:tcPr>
                <w:p w14:paraId="2FD39442">
                  <w:pPr>
                    <w:adjustRightInd/>
                    <w:snapToGrid/>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评价结果</w:t>
                  </w:r>
                </w:p>
              </w:tc>
            </w:tr>
            <w:tr w14:paraId="6D721BE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c>
                <w:tcPr>
                  <w:tcW w:w="950" w:type="dxa"/>
                  <w:vMerge w:val="continue"/>
                  <w:vAlign w:val="center"/>
                </w:tcPr>
                <w:p w14:paraId="54979142">
                  <w:pPr>
                    <w:adjustRightInd/>
                    <w:snapToGrid/>
                    <w:spacing w:after="0"/>
                    <w:rPr>
                      <w:rFonts w:hint="default" w:ascii="Times New Roman" w:hAnsi="Times New Roman" w:eastAsia="宋体" w:cs="Times New Roman"/>
                      <w:b/>
                      <w:bCs/>
                      <w:color w:val="auto"/>
                      <w:sz w:val="21"/>
                      <w:szCs w:val="21"/>
                    </w:rPr>
                  </w:pPr>
                </w:p>
              </w:tc>
              <w:tc>
                <w:tcPr>
                  <w:tcW w:w="1060" w:type="dxa"/>
                  <w:vMerge w:val="continue"/>
                  <w:vAlign w:val="center"/>
                </w:tcPr>
                <w:p w14:paraId="366DA4B5">
                  <w:pPr>
                    <w:adjustRightInd/>
                    <w:snapToGrid/>
                    <w:spacing w:after="0"/>
                    <w:rPr>
                      <w:rFonts w:hint="default" w:ascii="Times New Roman" w:hAnsi="Times New Roman" w:eastAsia="宋体" w:cs="Times New Roman"/>
                      <w:b/>
                      <w:bCs/>
                      <w:color w:val="auto"/>
                      <w:sz w:val="21"/>
                      <w:szCs w:val="21"/>
                    </w:rPr>
                  </w:pPr>
                </w:p>
              </w:tc>
              <w:tc>
                <w:tcPr>
                  <w:tcW w:w="1701" w:type="dxa"/>
                  <w:vMerge w:val="continue"/>
                  <w:vAlign w:val="center"/>
                </w:tcPr>
                <w:p w14:paraId="41A4B78E">
                  <w:pPr>
                    <w:adjustRightInd/>
                    <w:snapToGrid/>
                    <w:spacing w:after="0"/>
                    <w:rPr>
                      <w:rFonts w:hint="default" w:ascii="Times New Roman" w:hAnsi="Times New Roman" w:eastAsia="宋体" w:cs="Times New Roman"/>
                      <w:b/>
                      <w:bCs/>
                      <w:color w:val="auto"/>
                      <w:sz w:val="21"/>
                      <w:szCs w:val="21"/>
                    </w:rPr>
                  </w:pPr>
                </w:p>
              </w:tc>
              <w:tc>
                <w:tcPr>
                  <w:tcW w:w="850" w:type="dxa"/>
                  <w:shd w:val="clear" w:color="auto" w:fill="auto"/>
                  <w:vAlign w:val="center"/>
                </w:tcPr>
                <w:p w14:paraId="4B7F98F3">
                  <w:pPr>
                    <w:adjustRightInd/>
                    <w:snapToGrid/>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1</w:t>
                  </w:r>
                </w:p>
              </w:tc>
              <w:tc>
                <w:tcPr>
                  <w:tcW w:w="709" w:type="dxa"/>
                  <w:shd w:val="clear" w:color="auto" w:fill="auto"/>
                  <w:vAlign w:val="center"/>
                </w:tcPr>
                <w:p w14:paraId="0CCAAA61">
                  <w:pPr>
                    <w:adjustRightInd/>
                    <w:snapToGrid/>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w:t>
                  </w:r>
                </w:p>
              </w:tc>
              <w:tc>
                <w:tcPr>
                  <w:tcW w:w="709" w:type="dxa"/>
                  <w:shd w:val="clear" w:color="auto" w:fill="auto"/>
                  <w:vAlign w:val="center"/>
                </w:tcPr>
                <w:p w14:paraId="60C8EA51">
                  <w:pPr>
                    <w:adjustRightInd/>
                    <w:snapToGrid/>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3</w:t>
                  </w:r>
                </w:p>
              </w:tc>
              <w:tc>
                <w:tcPr>
                  <w:tcW w:w="567" w:type="dxa"/>
                  <w:shd w:val="clear" w:color="auto" w:fill="auto"/>
                  <w:vAlign w:val="center"/>
                </w:tcPr>
                <w:p w14:paraId="69BD23A4">
                  <w:pPr>
                    <w:adjustRightInd/>
                    <w:snapToGrid/>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4</w:t>
                  </w:r>
                </w:p>
              </w:tc>
              <w:tc>
                <w:tcPr>
                  <w:tcW w:w="735" w:type="dxa"/>
                  <w:shd w:val="clear" w:color="auto" w:fill="auto"/>
                  <w:noWrap/>
                  <w:vAlign w:val="center"/>
                </w:tcPr>
                <w:p w14:paraId="4A72BADE">
                  <w:pPr>
                    <w:adjustRightInd/>
                    <w:snapToGrid/>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均值</w:t>
                  </w:r>
                </w:p>
              </w:tc>
              <w:tc>
                <w:tcPr>
                  <w:tcW w:w="432" w:type="dxa"/>
                  <w:vMerge w:val="continue"/>
                  <w:vAlign w:val="center"/>
                </w:tcPr>
                <w:p w14:paraId="1A751DC5">
                  <w:pPr>
                    <w:adjustRightInd/>
                    <w:snapToGrid/>
                    <w:spacing w:after="0"/>
                    <w:rPr>
                      <w:rFonts w:hint="default" w:ascii="Times New Roman" w:hAnsi="Times New Roman" w:eastAsia="宋体" w:cs="Times New Roman"/>
                      <w:b/>
                      <w:bCs/>
                      <w:color w:val="auto"/>
                      <w:sz w:val="21"/>
                      <w:szCs w:val="21"/>
                    </w:rPr>
                  </w:pPr>
                </w:p>
              </w:tc>
              <w:tc>
                <w:tcPr>
                  <w:tcW w:w="849" w:type="dxa"/>
                  <w:vMerge w:val="continue"/>
                  <w:vAlign w:val="center"/>
                </w:tcPr>
                <w:p w14:paraId="4FD4A043">
                  <w:pPr>
                    <w:adjustRightInd/>
                    <w:snapToGrid/>
                    <w:spacing w:after="0"/>
                    <w:rPr>
                      <w:rFonts w:hint="default" w:ascii="Times New Roman" w:hAnsi="Times New Roman" w:eastAsia="宋体" w:cs="Times New Roman"/>
                      <w:b/>
                      <w:bCs/>
                      <w:color w:val="auto"/>
                      <w:sz w:val="21"/>
                      <w:szCs w:val="21"/>
                    </w:rPr>
                  </w:pPr>
                </w:p>
              </w:tc>
            </w:tr>
            <w:tr w14:paraId="29517CB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c>
                <w:tcPr>
                  <w:tcW w:w="950" w:type="dxa"/>
                  <w:vMerge w:val="restart"/>
                  <w:shd w:val="clear" w:color="auto" w:fill="auto"/>
                  <w:vAlign w:val="center"/>
                </w:tcPr>
                <w:p w14:paraId="33317416">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2024.10.23</w:t>
                  </w:r>
                </w:p>
              </w:tc>
              <w:tc>
                <w:tcPr>
                  <w:tcW w:w="1060" w:type="dxa"/>
                  <w:vMerge w:val="restart"/>
                  <w:shd w:val="clear" w:color="auto" w:fill="auto"/>
                  <w:vAlign w:val="center"/>
                </w:tcPr>
                <w:p w14:paraId="14176D73">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污水处理站总排口</w:t>
                  </w:r>
                </w:p>
              </w:tc>
              <w:tc>
                <w:tcPr>
                  <w:tcW w:w="1701" w:type="dxa"/>
                  <w:shd w:val="clear" w:color="auto" w:fill="auto"/>
                  <w:vAlign w:val="center"/>
                </w:tcPr>
                <w:p w14:paraId="70EE22D5">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pH值（无量纲）</w:t>
                  </w:r>
                </w:p>
              </w:tc>
              <w:tc>
                <w:tcPr>
                  <w:tcW w:w="850" w:type="dxa"/>
                  <w:shd w:val="clear" w:color="auto" w:fill="auto"/>
                  <w:vAlign w:val="center"/>
                </w:tcPr>
                <w:p w14:paraId="458C6FA6">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7.3</w:t>
                  </w:r>
                </w:p>
              </w:tc>
              <w:tc>
                <w:tcPr>
                  <w:tcW w:w="709" w:type="dxa"/>
                  <w:shd w:val="clear" w:color="auto" w:fill="auto"/>
                  <w:vAlign w:val="center"/>
                </w:tcPr>
                <w:p w14:paraId="6A76DAE6">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7.4</w:t>
                  </w:r>
                </w:p>
              </w:tc>
              <w:tc>
                <w:tcPr>
                  <w:tcW w:w="709" w:type="dxa"/>
                  <w:shd w:val="clear" w:color="auto" w:fill="auto"/>
                  <w:vAlign w:val="center"/>
                </w:tcPr>
                <w:p w14:paraId="371F6A7D">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7.4</w:t>
                  </w:r>
                </w:p>
              </w:tc>
              <w:tc>
                <w:tcPr>
                  <w:tcW w:w="567" w:type="dxa"/>
                  <w:shd w:val="clear" w:color="auto" w:fill="auto"/>
                  <w:vAlign w:val="center"/>
                </w:tcPr>
                <w:p w14:paraId="03B396A9">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7.4</w:t>
                  </w:r>
                </w:p>
              </w:tc>
              <w:tc>
                <w:tcPr>
                  <w:tcW w:w="735" w:type="dxa"/>
                  <w:shd w:val="clear" w:color="auto" w:fill="auto"/>
                  <w:noWrap/>
                  <w:vAlign w:val="center"/>
                </w:tcPr>
                <w:p w14:paraId="7261590C">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7.375</w:t>
                  </w:r>
                </w:p>
              </w:tc>
              <w:tc>
                <w:tcPr>
                  <w:tcW w:w="432" w:type="dxa"/>
                  <w:shd w:val="clear" w:color="auto" w:fill="auto"/>
                  <w:noWrap/>
                  <w:vAlign w:val="center"/>
                </w:tcPr>
                <w:p w14:paraId="1B006117">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6~9</w:t>
                  </w:r>
                </w:p>
              </w:tc>
              <w:tc>
                <w:tcPr>
                  <w:tcW w:w="849" w:type="dxa"/>
                  <w:shd w:val="clear" w:color="auto" w:fill="auto"/>
                  <w:noWrap/>
                  <w:vAlign w:val="center"/>
                </w:tcPr>
                <w:p w14:paraId="1A28B690">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5DCA2C6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c>
                <w:tcPr>
                  <w:tcW w:w="950" w:type="dxa"/>
                  <w:vMerge w:val="continue"/>
                  <w:vAlign w:val="center"/>
                </w:tcPr>
                <w:p w14:paraId="4F50E8D6">
                  <w:pPr>
                    <w:adjustRightInd/>
                    <w:snapToGrid/>
                    <w:spacing w:after="0"/>
                    <w:rPr>
                      <w:rFonts w:hint="default" w:ascii="Times New Roman" w:hAnsi="Times New Roman" w:eastAsia="宋体" w:cs="Times New Roman"/>
                      <w:color w:val="auto"/>
                      <w:sz w:val="21"/>
                      <w:szCs w:val="21"/>
                    </w:rPr>
                  </w:pPr>
                </w:p>
              </w:tc>
              <w:tc>
                <w:tcPr>
                  <w:tcW w:w="1060" w:type="dxa"/>
                  <w:vMerge w:val="continue"/>
                  <w:vAlign w:val="center"/>
                </w:tcPr>
                <w:p w14:paraId="30F82073">
                  <w:pPr>
                    <w:adjustRightInd/>
                    <w:snapToGrid/>
                    <w:spacing w:after="0"/>
                    <w:rPr>
                      <w:rFonts w:hint="default" w:ascii="Times New Roman" w:hAnsi="Times New Roman" w:eastAsia="宋体" w:cs="Times New Roman"/>
                      <w:color w:val="auto"/>
                      <w:sz w:val="21"/>
                      <w:szCs w:val="21"/>
                    </w:rPr>
                  </w:pPr>
                </w:p>
              </w:tc>
              <w:tc>
                <w:tcPr>
                  <w:tcW w:w="1701" w:type="dxa"/>
                  <w:shd w:val="clear" w:color="auto" w:fill="auto"/>
                  <w:vAlign w:val="center"/>
                </w:tcPr>
                <w:p w14:paraId="329D4EA1">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化学需氧量</w:t>
                  </w:r>
                </w:p>
              </w:tc>
              <w:tc>
                <w:tcPr>
                  <w:tcW w:w="850" w:type="dxa"/>
                  <w:shd w:val="clear" w:color="auto" w:fill="auto"/>
                  <w:vAlign w:val="center"/>
                </w:tcPr>
                <w:p w14:paraId="12EFB8F9">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w:t>
                  </w:r>
                </w:p>
              </w:tc>
              <w:tc>
                <w:tcPr>
                  <w:tcW w:w="709" w:type="dxa"/>
                  <w:shd w:val="clear" w:color="auto" w:fill="auto"/>
                  <w:vAlign w:val="center"/>
                </w:tcPr>
                <w:p w14:paraId="6A966350">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709" w:type="dxa"/>
                  <w:shd w:val="clear" w:color="auto" w:fill="auto"/>
                  <w:vAlign w:val="center"/>
                </w:tcPr>
                <w:p w14:paraId="3BAC0CAF">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w:t>
                  </w:r>
                </w:p>
              </w:tc>
              <w:tc>
                <w:tcPr>
                  <w:tcW w:w="567" w:type="dxa"/>
                  <w:shd w:val="clear" w:color="auto" w:fill="auto"/>
                  <w:vAlign w:val="center"/>
                </w:tcPr>
                <w:p w14:paraId="7DA89FA3">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w:t>
                  </w:r>
                </w:p>
              </w:tc>
              <w:tc>
                <w:tcPr>
                  <w:tcW w:w="735" w:type="dxa"/>
                  <w:shd w:val="clear" w:color="auto" w:fill="auto"/>
                  <w:noWrap/>
                  <w:vAlign w:val="center"/>
                </w:tcPr>
                <w:p w14:paraId="3FE20172">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16.5</w:t>
                  </w:r>
                </w:p>
              </w:tc>
              <w:tc>
                <w:tcPr>
                  <w:tcW w:w="432" w:type="dxa"/>
                  <w:shd w:val="clear" w:color="auto" w:fill="auto"/>
                  <w:vAlign w:val="center"/>
                </w:tcPr>
                <w:p w14:paraId="415D53B4">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w:t>
                  </w:r>
                </w:p>
              </w:tc>
              <w:tc>
                <w:tcPr>
                  <w:tcW w:w="849" w:type="dxa"/>
                  <w:shd w:val="clear" w:color="auto" w:fill="auto"/>
                  <w:noWrap/>
                  <w:vAlign w:val="center"/>
                </w:tcPr>
                <w:p w14:paraId="1905B934">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0B297E0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c>
                <w:tcPr>
                  <w:tcW w:w="950" w:type="dxa"/>
                  <w:vMerge w:val="continue"/>
                  <w:vAlign w:val="center"/>
                </w:tcPr>
                <w:p w14:paraId="160D44D4">
                  <w:pPr>
                    <w:adjustRightInd/>
                    <w:snapToGrid/>
                    <w:spacing w:after="0"/>
                    <w:rPr>
                      <w:rFonts w:hint="default" w:ascii="Times New Roman" w:hAnsi="Times New Roman" w:eastAsia="宋体" w:cs="Times New Roman"/>
                      <w:color w:val="auto"/>
                      <w:sz w:val="21"/>
                      <w:szCs w:val="21"/>
                    </w:rPr>
                  </w:pPr>
                </w:p>
              </w:tc>
              <w:tc>
                <w:tcPr>
                  <w:tcW w:w="1060" w:type="dxa"/>
                  <w:vMerge w:val="continue"/>
                  <w:vAlign w:val="center"/>
                </w:tcPr>
                <w:p w14:paraId="656D4211">
                  <w:pPr>
                    <w:adjustRightInd/>
                    <w:snapToGrid/>
                    <w:spacing w:after="0"/>
                    <w:rPr>
                      <w:rFonts w:hint="default" w:ascii="Times New Roman" w:hAnsi="Times New Roman" w:eastAsia="宋体" w:cs="Times New Roman"/>
                      <w:color w:val="auto"/>
                      <w:sz w:val="21"/>
                      <w:szCs w:val="21"/>
                    </w:rPr>
                  </w:pPr>
                </w:p>
              </w:tc>
              <w:tc>
                <w:tcPr>
                  <w:tcW w:w="1701" w:type="dxa"/>
                  <w:shd w:val="clear" w:color="auto" w:fill="auto"/>
                  <w:vAlign w:val="center"/>
                </w:tcPr>
                <w:p w14:paraId="03D253B5">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五日生化需氧量（BOD</w:t>
                  </w:r>
                  <w:r>
                    <w:rPr>
                      <w:rFonts w:hint="default" w:ascii="Times New Roman" w:hAnsi="Times New Roman" w:eastAsia="宋体" w:cs="Times New Roman"/>
                      <w:color w:val="auto"/>
                      <w:sz w:val="21"/>
                      <w:szCs w:val="21"/>
                      <w:vertAlign w:val="subscript"/>
                    </w:rPr>
                    <w:t>5</w:t>
                  </w:r>
                  <w:r>
                    <w:rPr>
                      <w:rFonts w:hint="default" w:ascii="Times New Roman" w:hAnsi="Times New Roman" w:eastAsia="宋体" w:cs="Times New Roman"/>
                      <w:color w:val="auto"/>
                      <w:sz w:val="21"/>
                      <w:szCs w:val="21"/>
                    </w:rPr>
                    <w:t>）</w:t>
                  </w:r>
                </w:p>
              </w:tc>
              <w:tc>
                <w:tcPr>
                  <w:tcW w:w="850" w:type="dxa"/>
                  <w:shd w:val="clear" w:color="auto" w:fill="auto"/>
                  <w:vAlign w:val="center"/>
                </w:tcPr>
                <w:p w14:paraId="00C7CED8">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w:t>
                  </w:r>
                </w:p>
              </w:tc>
              <w:tc>
                <w:tcPr>
                  <w:tcW w:w="709" w:type="dxa"/>
                  <w:shd w:val="clear" w:color="auto" w:fill="auto"/>
                  <w:vAlign w:val="center"/>
                </w:tcPr>
                <w:p w14:paraId="25B47E23">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3.1</w:t>
                  </w:r>
                </w:p>
              </w:tc>
              <w:tc>
                <w:tcPr>
                  <w:tcW w:w="709" w:type="dxa"/>
                  <w:shd w:val="clear" w:color="auto" w:fill="auto"/>
                  <w:vAlign w:val="center"/>
                </w:tcPr>
                <w:p w14:paraId="05A19C73">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3.3</w:t>
                  </w:r>
                </w:p>
              </w:tc>
              <w:tc>
                <w:tcPr>
                  <w:tcW w:w="567" w:type="dxa"/>
                  <w:shd w:val="clear" w:color="auto" w:fill="auto"/>
                  <w:vAlign w:val="center"/>
                </w:tcPr>
                <w:p w14:paraId="30B9CB0F">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w:t>
                  </w:r>
                </w:p>
              </w:tc>
              <w:tc>
                <w:tcPr>
                  <w:tcW w:w="735" w:type="dxa"/>
                  <w:shd w:val="clear" w:color="auto" w:fill="auto"/>
                  <w:noWrap/>
                  <w:vAlign w:val="center"/>
                </w:tcPr>
                <w:p w14:paraId="2DDABFE5">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3.45</w:t>
                  </w:r>
                </w:p>
              </w:tc>
              <w:tc>
                <w:tcPr>
                  <w:tcW w:w="432" w:type="dxa"/>
                  <w:shd w:val="clear" w:color="auto" w:fill="auto"/>
                  <w:vAlign w:val="center"/>
                </w:tcPr>
                <w:p w14:paraId="2B13E3FB">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180</w:t>
                  </w:r>
                </w:p>
              </w:tc>
              <w:tc>
                <w:tcPr>
                  <w:tcW w:w="849" w:type="dxa"/>
                  <w:shd w:val="clear" w:color="auto" w:fill="auto"/>
                  <w:noWrap/>
                  <w:vAlign w:val="center"/>
                </w:tcPr>
                <w:p w14:paraId="44CE49BD">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785C8B8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c>
                <w:tcPr>
                  <w:tcW w:w="950" w:type="dxa"/>
                  <w:vMerge w:val="continue"/>
                  <w:vAlign w:val="center"/>
                </w:tcPr>
                <w:p w14:paraId="5A637024">
                  <w:pPr>
                    <w:adjustRightInd/>
                    <w:snapToGrid/>
                    <w:spacing w:after="0"/>
                    <w:rPr>
                      <w:rFonts w:hint="default" w:ascii="Times New Roman" w:hAnsi="Times New Roman" w:eastAsia="宋体" w:cs="Times New Roman"/>
                      <w:color w:val="auto"/>
                      <w:sz w:val="21"/>
                      <w:szCs w:val="21"/>
                    </w:rPr>
                  </w:pPr>
                </w:p>
              </w:tc>
              <w:tc>
                <w:tcPr>
                  <w:tcW w:w="1060" w:type="dxa"/>
                  <w:vMerge w:val="continue"/>
                  <w:vAlign w:val="center"/>
                </w:tcPr>
                <w:p w14:paraId="4A187519">
                  <w:pPr>
                    <w:adjustRightInd/>
                    <w:snapToGrid/>
                    <w:spacing w:after="0"/>
                    <w:rPr>
                      <w:rFonts w:hint="default" w:ascii="Times New Roman" w:hAnsi="Times New Roman" w:eastAsia="宋体" w:cs="Times New Roman"/>
                      <w:color w:val="auto"/>
                      <w:sz w:val="21"/>
                      <w:szCs w:val="21"/>
                    </w:rPr>
                  </w:pPr>
                </w:p>
              </w:tc>
              <w:tc>
                <w:tcPr>
                  <w:tcW w:w="1701" w:type="dxa"/>
                  <w:shd w:val="clear" w:color="auto" w:fill="auto"/>
                  <w:vAlign w:val="center"/>
                </w:tcPr>
                <w:p w14:paraId="42B31F82">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悬浮物</w:t>
                  </w:r>
                </w:p>
              </w:tc>
              <w:tc>
                <w:tcPr>
                  <w:tcW w:w="850" w:type="dxa"/>
                  <w:shd w:val="clear" w:color="auto" w:fill="auto"/>
                  <w:vAlign w:val="center"/>
                </w:tcPr>
                <w:p w14:paraId="3E87A8F9">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28</w:t>
                  </w:r>
                </w:p>
              </w:tc>
              <w:tc>
                <w:tcPr>
                  <w:tcW w:w="709" w:type="dxa"/>
                  <w:shd w:val="clear" w:color="auto" w:fill="auto"/>
                  <w:vAlign w:val="center"/>
                </w:tcPr>
                <w:p w14:paraId="53DB5054">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w:t>
                  </w:r>
                </w:p>
              </w:tc>
              <w:tc>
                <w:tcPr>
                  <w:tcW w:w="709" w:type="dxa"/>
                  <w:shd w:val="clear" w:color="auto" w:fill="auto"/>
                  <w:vAlign w:val="center"/>
                </w:tcPr>
                <w:p w14:paraId="2153CF05">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29</w:t>
                  </w:r>
                </w:p>
              </w:tc>
              <w:tc>
                <w:tcPr>
                  <w:tcW w:w="567" w:type="dxa"/>
                  <w:shd w:val="clear" w:color="auto" w:fill="auto"/>
                  <w:vAlign w:val="center"/>
                </w:tcPr>
                <w:p w14:paraId="263D7846">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29</w:t>
                  </w:r>
                </w:p>
              </w:tc>
              <w:tc>
                <w:tcPr>
                  <w:tcW w:w="735" w:type="dxa"/>
                  <w:shd w:val="clear" w:color="auto" w:fill="auto"/>
                  <w:noWrap/>
                  <w:vAlign w:val="center"/>
                </w:tcPr>
                <w:p w14:paraId="0C834144">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28</w:t>
                  </w:r>
                </w:p>
              </w:tc>
              <w:tc>
                <w:tcPr>
                  <w:tcW w:w="432" w:type="dxa"/>
                  <w:shd w:val="clear" w:color="auto" w:fill="auto"/>
                  <w:vAlign w:val="center"/>
                </w:tcPr>
                <w:p w14:paraId="4E1A0F15">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400</w:t>
                  </w:r>
                </w:p>
              </w:tc>
              <w:tc>
                <w:tcPr>
                  <w:tcW w:w="849" w:type="dxa"/>
                  <w:shd w:val="clear" w:color="auto" w:fill="auto"/>
                  <w:noWrap/>
                  <w:vAlign w:val="center"/>
                </w:tcPr>
                <w:p w14:paraId="4AA91F78">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07E9326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c>
                <w:tcPr>
                  <w:tcW w:w="950" w:type="dxa"/>
                  <w:vMerge w:val="continue"/>
                  <w:vAlign w:val="center"/>
                </w:tcPr>
                <w:p w14:paraId="000BDB95">
                  <w:pPr>
                    <w:adjustRightInd/>
                    <w:snapToGrid/>
                    <w:spacing w:after="0"/>
                    <w:rPr>
                      <w:rFonts w:hint="default" w:ascii="Times New Roman" w:hAnsi="Times New Roman" w:eastAsia="宋体" w:cs="Times New Roman"/>
                      <w:color w:val="auto"/>
                      <w:sz w:val="21"/>
                      <w:szCs w:val="21"/>
                    </w:rPr>
                  </w:pPr>
                </w:p>
              </w:tc>
              <w:tc>
                <w:tcPr>
                  <w:tcW w:w="1060" w:type="dxa"/>
                  <w:vMerge w:val="continue"/>
                  <w:vAlign w:val="center"/>
                </w:tcPr>
                <w:p w14:paraId="4F5090A2">
                  <w:pPr>
                    <w:adjustRightInd/>
                    <w:snapToGrid/>
                    <w:spacing w:after="0"/>
                    <w:rPr>
                      <w:rFonts w:hint="default" w:ascii="Times New Roman" w:hAnsi="Times New Roman" w:eastAsia="宋体" w:cs="Times New Roman"/>
                      <w:color w:val="auto"/>
                      <w:sz w:val="21"/>
                      <w:szCs w:val="21"/>
                    </w:rPr>
                  </w:pPr>
                </w:p>
              </w:tc>
              <w:tc>
                <w:tcPr>
                  <w:tcW w:w="1701" w:type="dxa"/>
                  <w:shd w:val="clear" w:color="auto" w:fill="auto"/>
                  <w:vAlign w:val="center"/>
                </w:tcPr>
                <w:p w14:paraId="24E39910">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总氮</w:t>
                  </w:r>
                </w:p>
              </w:tc>
              <w:tc>
                <w:tcPr>
                  <w:tcW w:w="850" w:type="dxa"/>
                  <w:shd w:val="clear" w:color="auto" w:fill="auto"/>
                  <w:vAlign w:val="center"/>
                </w:tcPr>
                <w:p w14:paraId="14D84791">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1.17</w:t>
                  </w:r>
                </w:p>
              </w:tc>
              <w:tc>
                <w:tcPr>
                  <w:tcW w:w="709" w:type="dxa"/>
                  <w:shd w:val="clear" w:color="auto" w:fill="auto"/>
                  <w:vAlign w:val="center"/>
                </w:tcPr>
                <w:p w14:paraId="494D9D27">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1.61</w:t>
                  </w:r>
                </w:p>
              </w:tc>
              <w:tc>
                <w:tcPr>
                  <w:tcW w:w="709" w:type="dxa"/>
                  <w:shd w:val="clear" w:color="auto" w:fill="auto"/>
                  <w:vAlign w:val="center"/>
                </w:tcPr>
                <w:p w14:paraId="2542CE42">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1.24</w:t>
                  </w:r>
                </w:p>
              </w:tc>
              <w:tc>
                <w:tcPr>
                  <w:tcW w:w="567" w:type="dxa"/>
                  <w:shd w:val="clear" w:color="auto" w:fill="auto"/>
                  <w:vAlign w:val="center"/>
                </w:tcPr>
                <w:p w14:paraId="419C2AEB">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0.91</w:t>
                  </w:r>
                </w:p>
              </w:tc>
              <w:tc>
                <w:tcPr>
                  <w:tcW w:w="735" w:type="dxa"/>
                  <w:shd w:val="clear" w:color="auto" w:fill="auto"/>
                  <w:noWrap/>
                  <w:vAlign w:val="center"/>
                </w:tcPr>
                <w:p w14:paraId="20780C0E">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1.233</w:t>
                  </w:r>
                </w:p>
              </w:tc>
              <w:tc>
                <w:tcPr>
                  <w:tcW w:w="432" w:type="dxa"/>
                  <w:shd w:val="clear" w:color="auto" w:fill="auto"/>
                  <w:vAlign w:val="center"/>
                </w:tcPr>
                <w:p w14:paraId="02BEA1BE">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w:t>
                  </w:r>
                </w:p>
              </w:tc>
              <w:tc>
                <w:tcPr>
                  <w:tcW w:w="849" w:type="dxa"/>
                  <w:shd w:val="clear" w:color="auto" w:fill="auto"/>
                  <w:noWrap/>
                  <w:vAlign w:val="center"/>
                </w:tcPr>
                <w:p w14:paraId="7500556E">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4F82750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c>
                <w:tcPr>
                  <w:tcW w:w="950" w:type="dxa"/>
                  <w:vMerge w:val="continue"/>
                  <w:vAlign w:val="center"/>
                </w:tcPr>
                <w:p w14:paraId="3921E68E">
                  <w:pPr>
                    <w:adjustRightInd/>
                    <w:snapToGrid/>
                    <w:spacing w:after="0"/>
                    <w:rPr>
                      <w:rFonts w:hint="default" w:ascii="Times New Roman" w:hAnsi="Times New Roman" w:eastAsia="宋体" w:cs="Times New Roman"/>
                      <w:color w:val="auto"/>
                      <w:sz w:val="21"/>
                      <w:szCs w:val="21"/>
                    </w:rPr>
                  </w:pPr>
                </w:p>
              </w:tc>
              <w:tc>
                <w:tcPr>
                  <w:tcW w:w="1060" w:type="dxa"/>
                  <w:vMerge w:val="continue"/>
                  <w:vAlign w:val="center"/>
                </w:tcPr>
                <w:p w14:paraId="4363CB3B">
                  <w:pPr>
                    <w:adjustRightInd/>
                    <w:snapToGrid/>
                    <w:spacing w:after="0"/>
                    <w:rPr>
                      <w:rFonts w:hint="default" w:ascii="Times New Roman" w:hAnsi="Times New Roman" w:eastAsia="宋体" w:cs="Times New Roman"/>
                      <w:color w:val="auto"/>
                      <w:sz w:val="21"/>
                      <w:szCs w:val="21"/>
                    </w:rPr>
                  </w:pPr>
                </w:p>
              </w:tc>
              <w:tc>
                <w:tcPr>
                  <w:tcW w:w="1701" w:type="dxa"/>
                  <w:shd w:val="clear" w:color="auto" w:fill="auto"/>
                  <w:vAlign w:val="center"/>
                </w:tcPr>
                <w:p w14:paraId="00961F81">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氨氮</w:t>
                  </w:r>
                </w:p>
              </w:tc>
              <w:tc>
                <w:tcPr>
                  <w:tcW w:w="850" w:type="dxa"/>
                  <w:shd w:val="clear" w:color="auto" w:fill="auto"/>
                  <w:vAlign w:val="center"/>
                </w:tcPr>
                <w:p w14:paraId="172A09B4">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0.646</w:t>
                  </w:r>
                </w:p>
              </w:tc>
              <w:tc>
                <w:tcPr>
                  <w:tcW w:w="709" w:type="dxa"/>
                  <w:shd w:val="clear" w:color="auto" w:fill="auto"/>
                  <w:vAlign w:val="center"/>
                </w:tcPr>
                <w:p w14:paraId="177063AA">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0.768</w:t>
                  </w:r>
                </w:p>
              </w:tc>
              <w:tc>
                <w:tcPr>
                  <w:tcW w:w="709" w:type="dxa"/>
                  <w:shd w:val="clear" w:color="auto" w:fill="auto"/>
                  <w:vAlign w:val="center"/>
                </w:tcPr>
                <w:p w14:paraId="481900A3">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0.697</w:t>
                  </w:r>
                </w:p>
              </w:tc>
              <w:tc>
                <w:tcPr>
                  <w:tcW w:w="567" w:type="dxa"/>
                  <w:shd w:val="clear" w:color="auto" w:fill="auto"/>
                  <w:vAlign w:val="center"/>
                </w:tcPr>
                <w:p w14:paraId="73F61B33">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0.58</w:t>
                  </w:r>
                </w:p>
              </w:tc>
              <w:tc>
                <w:tcPr>
                  <w:tcW w:w="735" w:type="dxa"/>
                  <w:shd w:val="clear" w:color="auto" w:fill="auto"/>
                  <w:noWrap/>
                  <w:vAlign w:val="center"/>
                </w:tcPr>
                <w:p w14:paraId="116A0BFF">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0.673</w:t>
                  </w:r>
                </w:p>
              </w:tc>
              <w:tc>
                <w:tcPr>
                  <w:tcW w:w="432" w:type="dxa"/>
                  <w:shd w:val="clear" w:color="auto" w:fill="auto"/>
                  <w:vAlign w:val="center"/>
                </w:tcPr>
                <w:p w14:paraId="13918837">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w:t>
                  </w:r>
                </w:p>
              </w:tc>
              <w:tc>
                <w:tcPr>
                  <w:tcW w:w="849" w:type="dxa"/>
                  <w:shd w:val="clear" w:color="auto" w:fill="auto"/>
                  <w:noWrap/>
                  <w:vAlign w:val="center"/>
                </w:tcPr>
                <w:p w14:paraId="3F46972C">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3BA51D7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c>
                <w:tcPr>
                  <w:tcW w:w="950" w:type="dxa"/>
                  <w:vMerge w:val="continue"/>
                  <w:vAlign w:val="center"/>
                </w:tcPr>
                <w:p w14:paraId="4D9C474C">
                  <w:pPr>
                    <w:adjustRightInd/>
                    <w:snapToGrid/>
                    <w:spacing w:after="0"/>
                    <w:rPr>
                      <w:rFonts w:hint="default" w:ascii="Times New Roman" w:hAnsi="Times New Roman" w:eastAsia="宋体" w:cs="Times New Roman"/>
                      <w:color w:val="auto"/>
                      <w:sz w:val="21"/>
                      <w:szCs w:val="21"/>
                    </w:rPr>
                  </w:pPr>
                </w:p>
              </w:tc>
              <w:tc>
                <w:tcPr>
                  <w:tcW w:w="1060" w:type="dxa"/>
                  <w:vMerge w:val="continue"/>
                  <w:vAlign w:val="center"/>
                </w:tcPr>
                <w:p w14:paraId="38DEA07D">
                  <w:pPr>
                    <w:adjustRightInd/>
                    <w:snapToGrid/>
                    <w:spacing w:after="0"/>
                    <w:rPr>
                      <w:rFonts w:hint="default" w:ascii="Times New Roman" w:hAnsi="Times New Roman" w:eastAsia="宋体" w:cs="Times New Roman"/>
                      <w:color w:val="auto"/>
                      <w:sz w:val="21"/>
                      <w:szCs w:val="21"/>
                    </w:rPr>
                  </w:pPr>
                </w:p>
              </w:tc>
              <w:tc>
                <w:tcPr>
                  <w:tcW w:w="1701" w:type="dxa"/>
                  <w:shd w:val="clear" w:color="auto" w:fill="auto"/>
                  <w:vAlign w:val="center"/>
                </w:tcPr>
                <w:p w14:paraId="1A6B3B63">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总磷</w:t>
                  </w:r>
                </w:p>
              </w:tc>
              <w:tc>
                <w:tcPr>
                  <w:tcW w:w="850" w:type="dxa"/>
                  <w:shd w:val="clear" w:color="auto" w:fill="auto"/>
                  <w:vAlign w:val="center"/>
                </w:tcPr>
                <w:p w14:paraId="79E6AC03">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0.30</w:t>
                  </w:r>
                </w:p>
              </w:tc>
              <w:tc>
                <w:tcPr>
                  <w:tcW w:w="709" w:type="dxa"/>
                  <w:shd w:val="clear" w:color="auto" w:fill="auto"/>
                  <w:vAlign w:val="center"/>
                </w:tcPr>
                <w:p w14:paraId="4685EC47">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0.32</w:t>
                  </w:r>
                </w:p>
              </w:tc>
              <w:tc>
                <w:tcPr>
                  <w:tcW w:w="709" w:type="dxa"/>
                  <w:shd w:val="clear" w:color="auto" w:fill="auto"/>
                  <w:vAlign w:val="center"/>
                </w:tcPr>
                <w:p w14:paraId="21815962">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0.27</w:t>
                  </w:r>
                </w:p>
              </w:tc>
              <w:tc>
                <w:tcPr>
                  <w:tcW w:w="567" w:type="dxa"/>
                  <w:shd w:val="clear" w:color="auto" w:fill="auto"/>
                  <w:vAlign w:val="center"/>
                </w:tcPr>
                <w:p w14:paraId="088E9AC9">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0.28</w:t>
                  </w:r>
                </w:p>
              </w:tc>
              <w:tc>
                <w:tcPr>
                  <w:tcW w:w="735" w:type="dxa"/>
                  <w:shd w:val="clear" w:color="auto" w:fill="auto"/>
                  <w:noWrap/>
                  <w:vAlign w:val="center"/>
                </w:tcPr>
                <w:p w14:paraId="18CC650A">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0.293</w:t>
                  </w:r>
                </w:p>
              </w:tc>
              <w:tc>
                <w:tcPr>
                  <w:tcW w:w="432" w:type="dxa"/>
                  <w:shd w:val="clear" w:color="auto" w:fill="auto"/>
                  <w:vAlign w:val="center"/>
                </w:tcPr>
                <w:p w14:paraId="0A13C6EA">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849" w:type="dxa"/>
                  <w:shd w:val="clear" w:color="auto" w:fill="auto"/>
                  <w:noWrap/>
                  <w:vAlign w:val="center"/>
                </w:tcPr>
                <w:p w14:paraId="600FE8BC">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0ABBA7C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c>
                <w:tcPr>
                  <w:tcW w:w="950" w:type="dxa"/>
                  <w:vMerge w:val="continue"/>
                  <w:vAlign w:val="center"/>
                </w:tcPr>
                <w:p w14:paraId="48B45DB2">
                  <w:pPr>
                    <w:adjustRightInd/>
                    <w:snapToGrid/>
                    <w:spacing w:after="0"/>
                    <w:rPr>
                      <w:rFonts w:hint="default" w:ascii="Times New Roman" w:hAnsi="Times New Roman" w:eastAsia="宋体" w:cs="Times New Roman"/>
                      <w:color w:val="auto"/>
                      <w:sz w:val="21"/>
                      <w:szCs w:val="21"/>
                    </w:rPr>
                  </w:pPr>
                </w:p>
              </w:tc>
              <w:tc>
                <w:tcPr>
                  <w:tcW w:w="1060" w:type="dxa"/>
                  <w:vMerge w:val="continue"/>
                  <w:vAlign w:val="center"/>
                </w:tcPr>
                <w:p w14:paraId="390A80F7">
                  <w:pPr>
                    <w:adjustRightInd/>
                    <w:snapToGrid/>
                    <w:spacing w:after="0"/>
                    <w:rPr>
                      <w:rFonts w:hint="default" w:ascii="Times New Roman" w:hAnsi="Times New Roman" w:eastAsia="宋体" w:cs="Times New Roman"/>
                      <w:color w:val="auto"/>
                      <w:sz w:val="21"/>
                      <w:szCs w:val="21"/>
                    </w:rPr>
                  </w:pPr>
                </w:p>
              </w:tc>
              <w:tc>
                <w:tcPr>
                  <w:tcW w:w="1701" w:type="dxa"/>
                  <w:shd w:val="clear" w:color="auto" w:fill="auto"/>
                  <w:vAlign w:val="center"/>
                </w:tcPr>
                <w:p w14:paraId="6282653E">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阴离子表面活性剂</w:t>
                  </w:r>
                </w:p>
              </w:tc>
              <w:tc>
                <w:tcPr>
                  <w:tcW w:w="850" w:type="dxa"/>
                  <w:shd w:val="clear" w:color="auto" w:fill="auto"/>
                  <w:vAlign w:val="center"/>
                </w:tcPr>
                <w:p w14:paraId="04678C10">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ND</w:t>
                  </w:r>
                </w:p>
              </w:tc>
              <w:tc>
                <w:tcPr>
                  <w:tcW w:w="709" w:type="dxa"/>
                  <w:shd w:val="clear" w:color="auto" w:fill="auto"/>
                  <w:vAlign w:val="center"/>
                </w:tcPr>
                <w:p w14:paraId="04061889">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ND</w:t>
                  </w:r>
                </w:p>
              </w:tc>
              <w:tc>
                <w:tcPr>
                  <w:tcW w:w="709" w:type="dxa"/>
                  <w:shd w:val="clear" w:color="auto" w:fill="auto"/>
                  <w:vAlign w:val="center"/>
                </w:tcPr>
                <w:p w14:paraId="49537458">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ND</w:t>
                  </w:r>
                </w:p>
              </w:tc>
              <w:tc>
                <w:tcPr>
                  <w:tcW w:w="567" w:type="dxa"/>
                  <w:shd w:val="clear" w:color="auto" w:fill="auto"/>
                  <w:vAlign w:val="center"/>
                </w:tcPr>
                <w:p w14:paraId="5F045F13">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ND</w:t>
                  </w:r>
                </w:p>
              </w:tc>
              <w:tc>
                <w:tcPr>
                  <w:tcW w:w="735" w:type="dxa"/>
                  <w:shd w:val="clear" w:color="auto" w:fill="auto"/>
                  <w:noWrap/>
                  <w:vAlign w:val="center"/>
                </w:tcPr>
                <w:p w14:paraId="3E56DD72">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ND</w:t>
                  </w:r>
                </w:p>
              </w:tc>
              <w:tc>
                <w:tcPr>
                  <w:tcW w:w="432" w:type="dxa"/>
                  <w:shd w:val="clear" w:color="auto" w:fill="auto"/>
                  <w:vAlign w:val="center"/>
                </w:tcPr>
                <w:p w14:paraId="2944745B">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849" w:type="dxa"/>
                  <w:shd w:val="clear" w:color="auto" w:fill="auto"/>
                  <w:noWrap/>
                  <w:vAlign w:val="center"/>
                </w:tcPr>
                <w:p w14:paraId="14B6A4C7">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11677D6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c>
                <w:tcPr>
                  <w:tcW w:w="950" w:type="dxa"/>
                  <w:vMerge w:val="continue"/>
                  <w:vAlign w:val="center"/>
                </w:tcPr>
                <w:p w14:paraId="7BA6EC17">
                  <w:pPr>
                    <w:adjustRightInd/>
                    <w:snapToGrid/>
                    <w:spacing w:after="0"/>
                    <w:rPr>
                      <w:rFonts w:hint="default" w:ascii="Times New Roman" w:hAnsi="Times New Roman" w:eastAsia="宋体" w:cs="Times New Roman"/>
                      <w:color w:val="auto"/>
                      <w:sz w:val="21"/>
                      <w:szCs w:val="21"/>
                    </w:rPr>
                  </w:pPr>
                </w:p>
              </w:tc>
              <w:tc>
                <w:tcPr>
                  <w:tcW w:w="1060" w:type="dxa"/>
                  <w:vMerge w:val="continue"/>
                  <w:vAlign w:val="center"/>
                </w:tcPr>
                <w:p w14:paraId="320C9693">
                  <w:pPr>
                    <w:adjustRightInd/>
                    <w:snapToGrid/>
                    <w:spacing w:after="0"/>
                    <w:rPr>
                      <w:rFonts w:hint="default" w:ascii="Times New Roman" w:hAnsi="Times New Roman" w:eastAsia="宋体" w:cs="Times New Roman"/>
                      <w:color w:val="auto"/>
                      <w:sz w:val="21"/>
                      <w:szCs w:val="21"/>
                    </w:rPr>
                  </w:pPr>
                </w:p>
              </w:tc>
              <w:tc>
                <w:tcPr>
                  <w:tcW w:w="1701" w:type="dxa"/>
                  <w:shd w:val="clear" w:color="auto" w:fill="auto"/>
                  <w:vAlign w:val="center"/>
                </w:tcPr>
                <w:p w14:paraId="3DD8AD9B">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动植物油</w:t>
                  </w:r>
                </w:p>
              </w:tc>
              <w:tc>
                <w:tcPr>
                  <w:tcW w:w="850" w:type="dxa"/>
                  <w:shd w:val="clear" w:color="auto" w:fill="auto"/>
                  <w:vAlign w:val="center"/>
                </w:tcPr>
                <w:p w14:paraId="3DAC4473">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ND</w:t>
                  </w:r>
                </w:p>
              </w:tc>
              <w:tc>
                <w:tcPr>
                  <w:tcW w:w="709" w:type="dxa"/>
                  <w:shd w:val="clear" w:color="auto" w:fill="auto"/>
                  <w:vAlign w:val="center"/>
                </w:tcPr>
                <w:p w14:paraId="7CEC8886">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ND</w:t>
                  </w:r>
                </w:p>
              </w:tc>
              <w:tc>
                <w:tcPr>
                  <w:tcW w:w="709" w:type="dxa"/>
                  <w:shd w:val="clear" w:color="auto" w:fill="auto"/>
                  <w:vAlign w:val="center"/>
                </w:tcPr>
                <w:p w14:paraId="3FDF1E0F">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ND</w:t>
                  </w:r>
                </w:p>
              </w:tc>
              <w:tc>
                <w:tcPr>
                  <w:tcW w:w="567" w:type="dxa"/>
                  <w:shd w:val="clear" w:color="auto" w:fill="auto"/>
                  <w:vAlign w:val="center"/>
                </w:tcPr>
                <w:p w14:paraId="63294DB0">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ND</w:t>
                  </w:r>
                </w:p>
              </w:tc>
              <w:tc>
                <w:tcPr>
                  <w:tcW w:w="735" w:type="dxa"/>
                  <w:shd w:val="clear" w:color="auto" w:fill="auto"/>
                  <w:noWrap/>
                  <w:vAlign w:val="center"/>
                </w:tcPr>
                <w:p w14:paraId="6E9543D5">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ND</w:t>
                  </w:r>
                </w:p>
              </w:tc>
              <w:tc>
                <w:tcPr>
                  <w:tcW w:w="432" w:type="dxa"/>
                  <w:shd w:val="clear" w:color="auto" w:fill="auto"/>
                  <w:vAlign w:val="center"/>
                </w:tcPr>
                <w:p w14:paraId="65DB5459">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w:t>
                  </w:r>
                </w:p>
              </w:tc>
              <w:tc>
                <w:tcPr>
                  <w:tcW w:w="849" w:type="dxa"/>
                  <w:shd w:val="clear" w:color="auto" w:fill="auto"/>
                  <w:noWrap/>
                  <w:vAlign w:val="center"/>
                </w:tcPr>
                <w:p w14:paraId="332938A0">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79C6A6B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c>
                <w:tcPr>
                  <w:tcW w:w="950" w:type="dxa"/>
                  <w:vMerge w:val="restart"/>
                  <w:shd w:val="clear" w:color="auto" w:fill="auto"/>
                  <w:vAlign w:val="center"/>
                </w:tcPr>
                <w:p w14:paraId="3263959E">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2024.10.24</w:t>
                  </w:r>
                </w:p>
              </w:tc>
              <w:tc>
                <w:tcPr>
                  <w:tcW w:w="1060" w:type="dxa"/>
                  <w:vMerge w:val="restart"/>
                  <w:shd w:val="clear" w:color="auto" w:fill="auto"/>
                  <w:vAlign w:val="center"/>
                </w:tcPr>
                <w:p w14:paraId="645BA5CF">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污水处理站总排口</w:t>
                  </w:r>
                </w:p>
              </w:tc>
              <w:tc>
                <w:tcPr>
                  <w:tcW w:w="1701" w:type="dxa"/>
                  <w:shd w:val="clear" w:color="auto" w:fill="auto"/>
                  <w:vAlign w:val="center"/>
                </w:tcPr>
                <w:p w14:paraId="067C58D8">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pH值（无量纲）</w:t>
                  </w:r>
                </w:p>
              </w:tc>
              <w:tc>
                <w:tcPr>
                  <w:tcW w:w="850" w:type="dxa"/>
                  <w:shd w:val="clear" w:color="auto" w:fill="auto"/>
                  <w:vAlign w:val="center"/>
                </w:tcPr>
                <w:p w14:paraId="45DDCBB5">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7.4</w:t>
                  </w:r>
                </w:p>
              </w:tc>
              <w:tc>
                <w:tcPr>
                  <w:tcW w:w="709" w:type="dxa"/>
                  <w:shd w:val="clear" w:color="auto" w:fill="auto"/>
                  <w:vAlign w:val="center"/>
                </w:tcPr>
                <w:p w14:paraId="6CA659BA">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7.4</w:t>
                  </w:r>
                </w:p>
              </w:tc>
              <w:tc>
                <w:tcPr>
                  <w:tcW w:w="709" w:type="dxa"/>
                  <w:shd w:val="clear" w:color="auto" w:fill="auto"/>
                  <w:vAlign w:val="center"/>
                </w:tcPr>
                <w:p w14:paraId="003AC1D4">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7.4</w:t>
                  </w:r>
                </w:p>
              </w:tc>
              <w:tc>
                <w:tcPr>
                  <w:tcW w:w="567" w:type="dxa"/>
                  <w:shd w:val="clear" w:color="auto" w:fill="auto"/>
                  <w:vAlign w:val="center"/>
                </w:tcPr>
                <w:p w14:paraId="6C2F9FF5">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7.4</w:t>
                  </w:r>
                </w:p>
              </w:tc>
              <w:tc>
                <w:tcPr>
                  <w:tcW w:w="735" w:type="dxa"/>
                  <w:shd w:val="clear" w:color="auto" w:fill="auto"/>
                  <w:noWrap/>
                  <w:vAlign w:val="center"/>
                </w:tcPr>
                <w:p w14:paraId="03BF6B4C">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7.4</w:t>
                  </w:r>
                </w:p>
              </w:tc>
              <w:tc>
                <w:tcPr>
                  <w:tcW w:w="432" w:type="dxa"/>
                  <w:shd w:val="clear" w:color="auto" w:fill="auto"/>
                  <w:noWrap/>
                  <w:vAlign w:val="center"/>
                </w:tcPr>
                <w:p w14:paraId="6A41DDE9">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6~9</w:t>
                  </w:r>
                </w:p>
              </w:tc>
              <w:tc>
                <w:tcPr>
                  <w:tcW w:w="849" w:type="dxa"/>
                  <w:shd w:val="clear" w:color="auto" w:fill="auto"/>
                  <w:noWrap/>
                  <w:vAlign w:val="center"/>
                </w:tcPr>
                <w:p w14:paraId="344FD79E">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63ECF25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c>
                <w:tcPr>
                  <w:tcW w:w="950" w:type="dxa"/>
                  <w:vMerge w:val="continue"/>
                  <w:vAlign w:val="center"/>
                </w:tcPr>
                <w:p w14:paraId="34C01693">
                  <w:pPr>
                    <w:adjustRightInd/>
                    <w:snapToGrid/>
                    <w:spacing w:after="0"/>
                    <w:rPr>
                      <w:rFonts w:hint="default" w:ascii="Times New Roman" w:hAnsi="Times New Roman" w:eastAsia="宋体" w:cs="Times New Roman"/>
                      <w:color w:val="auto"/>
                      <w:sz w:val="21"/>
                      <w:szCs w:val="21"/>
                    </w:rPr>
                  </w:pPr>
                </w:p>
              </w:tc>
              <w:tc>
                <w:tcPr>
                  <w:tcW w:w="1060" w:type="dxa"/>
                  <w:vMerge w:val="continue"/>
                  <w:vAlign w:val="center"/>
                </w:tcPr>
                <w:p w14:paraId="1C0E7F79">
                  <w:pPr>
                    <w:adjustRightInd/>
                    <w:snapToGrid/>
                    <w:spacing w:after="0"/>
                    <w:rPr>
                      <w:rFonts w:hint="default" w:ascii="Times New Roman" w:hAnsi="Times New Roman" w:eastAsia="宋体" w:cs="Times New Roman"/>
                      <w:color w:val="auto"/>
                      <w:sz w:val="21"/>
                      <w:szCs w:val="21"/>
                    </w:rPr>
                  </w:pPr>
                </w:p>
              </w:tc>
              <w:tc>
                <w:tcPr>
                  <w:tcW w:w="1701" w:type="dxa"/>
                  <w:shd w:val="clear" w:color="auto" w:fill="auto"/>
                  <w:vAlign w:val="center"/>
                </w:tcPr>
                <w:p w14:paraId="469F72D8">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化学需氧量</w:t>
                  </w:r>
                </w:p>
              </w:tc>
              <w:tc>
                <w:tcPr>
                  <w:tcW w:w="850" w:type="dxa"/>
                  <w:shd w:val="clear" w:color="auto" w:fill="auto"/>
                  <w:vAlign w:val="center"/>
                </w:tcPr>
                <w:p w14:paraId="7BAF1034">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w:t>
                  </w:r>
                </w:p>
              </w:tc>
              <w:tc>
                <w:tcPr>
                  <w:tcW w:w="709" w:type="dxa"/>
                  <w:shd w:val="clear" w:color="auto" w:fill="auto"/>
                  <w:vAlign w:val="center"/>
                </w:tcPr>
                <w:p w14:paraId="4A1F0FDC">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w:t>
                  </w:r>
                </w:p>
              </w:tc>
              <w:tc>
                <w:tcPr>
                  <w:tcW w:w="709" w:type="dxa"/>
                  <w:shd w:val="clear" w:color="auto" w:fill="auto"/>
                  <w:vAlign w:val="center"/>
                </w:tcPr>
                <w:p w14:paraId="7DD23A3D">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w:t>
                  </w:r>
                </w:p>
              </w:tc>
              <w:tc>
                <w:tcPr>
                  <w:tcW w:w="567" w:type="dxa"/>
                  <w:shd w:val="clear" w:color="auto" w:fill="auto"/>
                  <w:vAlign w:val="center"/>
                </w:tcPr>
                <w:p w14:paraId="2A77E6A4">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735" w:type="dxa"/>
                  <w:shd w:val="clear" w:color="auto" w:fill="auto"/>
                  <w:noWrap/>
                  <w:vAlign w:val="center"/>
                </w:tcPr>
                <w:p w14:paraId="7FDB991B">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w:t>
                  </w:r>
                </w:p>
              </w:tc>
              <w:tc>
                <w:tcPr>
                  <w:tcW w:w="432" w:type="dxa"/>
                  <w:shd w:val="clear" w:color="auto" w:fill="auto"/>
                  <w:noWrap/>
                  <w:vAlign w:val="center"/>
                </w:tcPr>
                <w:p w14:paraId="06040A9D">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w:t>
                  </w:r>
                </w:p>
              </w:tc>
              <w:tc>
                <w:tcPr>
                  <w:tcW w:w="849" w:type="dxa"/>
                  <w:shd w:val="clear" w:color="auto" w:fill="auto"/>
                  <w:noWrap/>
                  <w:vAlign w:val="center"/>
                </w:tcPr>
                <w:p w14:paraId="493CF1C6">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08C20BA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c>
                <w:tcPr>
                  <w:tcW w:w="950" w:type="dxa"/>
                  <w:vMerge w:val="continue"/>
                  <w:vAlign w:val="center"/>
                </w:tcPr>
                <w:p w14:paraId="33485313">
                  <w:pPr>
                    <w:adjustRightInd/>
                    <w:snapToGrid/>
                    <w:spacing w:after="0"/>
                    <w:rPr>
                      <w:rFonts w:hint="default" w:ascii="Times New Roman" w:hAnsi="Times New Roman" w:eastAsia="宋体" w:cs="Times New Roman"/>
                      <w:color w:val="auto"/>
                      <w:sz w:val="21"/>
                      <w:szCs w:val="21"/>
                    </w:rPr>
                  </w:pPr>
                </w:p>
              </w:tc>
              <w:tc>
                <w:tcPr>
                  <w:tcW w:w="1060" w:type="dxa"/>
                  <w:vMerge w:val="continue"/>
                  <w:vAlign w:val="center"/>
                </w:tcPr>
                <w:p w14:paraId="513D65E6">
                  <w:pPr>
                    <w:adjustRightInd/>
                    <w:snapToGrid/>
                    <w:spacing w:after="0"/>
                    <w:rPr>
                      <w:rFonts w:hint="default" w:ascii="Times New Roman" w:hAnsi="Times New Roman" w:eastAsia="宋体" w:cs="Times New Roman"/>
                      <w:color w:val="auto"/>
                      <w:sz w:val="21"/>
                      <w:szCs w:val="21"/>
                    </w:rPr>
                  </w:pPr>
                </w:p>
              </w:tc>
              <w:tc>
                <w:tcPr>
                  <w:tcW w:w="1701" w:type="dxa"/>
                  <w:shd w:val="clear" w:color="auto" w:fill="auto"/>
                  <w:vAlign w:val="center"/>
                </w:tcPr>
                <w:p w14:paraId="1EEEC934">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五日生化需氧量（BOD</w:t>
                  </w:r>
                  <w:r>
                    <w:rPr>
                      <w:rFonts w:hint="default" w:ascii="Times New Roman" w:hAnsi="Times New Roman" w:eastAsia="宋体" w:cs="Times New Roman"/>
                      <w:color w:val="auto"/>
                      <w:sz w:val="21"/>
                      <w:szCs w:val="21"/>
                      <w:vertAlign w:val="subscript"/>
                    </w:rPr>
                    <w:t>5</w:t>
                  </w:r>
                  <w:r>
                    <w:rPr>
                      <w:rFonts w:hint="default" w:ascii="Times New Roman" w:hAnsi="Times New Roman" w:eastAsia="宋体" w:cs="Times New Roman"/>
                      <w:color w:val="auto"/>
                      <w:sz w:val="21"/>
                      <w:szCs w:val="21"/>
                    </w:rPr>
                    <w:t>）</w:t>
                  </w:r>
                </w:p>
              </w:tc>
              <w:tc>
                <w:tcPr>
                  <w:tcW w:w="850" w:type="dxa"/>
                  <w:shd w:val="clear" w:color="auto" w:fill="auto"/>
                  <w:vAlign w:val="center"/>
                </w:tcPr>
                <w:p w14:paraId="4B44D9B8">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3.8</w:t>
                  </w:r>
                </w:p>
              </w:tc>
              <w:tc>
                <w:tcPr>
                  <w:tcW w:w="709" w:type="dxa"/>
                  <w:shd w:val="clear" w:color="auto" w:fill="auto"/>
                  <w:vAlign w:val="center"/>
                </w:tcPr>
                <w:p w14:paraId="0755A595">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w:t>
                  </w:r>
                </w:p>
              </w:tc>
              <w:tc>
                <w:tcPr>
                  <w:tcW w:w="709" w:type="dxa"/>
                  <w:shd w:val="clear" w:color="auto" w:fill="auto"/>
                  <w:vAlign w:val="center"/>
                </w:tcPr>
                <w:p w14:paraId="7F60977B">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w:t>
                  </w:r>
                </w:p>
              </w:tc>
              <w:tc>
                <w:tcPr>
                  <w:tcW w:w="567" w:type="dxa"/>
                  <w:shd w:val="clear" w:color="auto" w:fill="auto"/>
                  <w:vAlign w:val="center"/>
                </w:tcPr>
                <w:p w14:paraId="649F24EF">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3.2</w:t>
                  </w:r>
                </w:p>
              </w:tc>
              <w:tc>
                <w:tcPr>
                  <w:tcW w:w="735" w:type="dxa"/>
                  <w:shd w:val="clear" w:color="auto" w:fill="auto"/>
                  <w:noWrap/>
                  <w:vAlign w:val="center"/>
                </w:tcPr>
                <w:p w14:paraId="71726769">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3.375</w:t>
                  </w:r>
                </w:p>
              </w:tc>
              <w:tc>
                <w:tcPr>
                  <w:tcW w:w="432" w:type="dxa"/>
                  <w:shd w:val="clear" w:color="auto" w:fill="auto"/>
                  <w:noWrap/>
                  <w:vAlign w:val="center"/>
                </w:tcPr>
                <w:p w14:paraId="04AAD811">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180</w:t>
                  </w:r>
                </w:p>
              </w:tc>
              <w:tc>
                <w:tcPr>
                  <w:tcW w:w="849" w:type="dxa"/>
                  <w:shd w:val="clear" w:color="auto" w:fill="auto"/>
                  <w:noWrap/>
                  <w:vAlign w:val="center"/>
                </w:tcPr>
                <w:p w14:paraId="4D8B35F1">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4E07262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c>
                <w:tcPr>
                  <w:tcW w:w="950" w:type="dxa"/>
                  <w:vMerge w:val="continue"/>
                  <w:vAlign w:val="center"/>
                </w:tcPr>
                <w:p w14:paraId="11554ADC">
                  <w:pPr>
                    <w:adjustRightInd/>
                    <w:snapToGrid/>
                    <w:spacing w:after="0"/>
                    <w:rPr>
                      <w:rFonts w:hint="default" w:ascii="Times New Roman" w:hAnsi="Times New Roman" w:eastAsia="宋体" w:cs="Times New Roman"/>
                      <w:color w:val="auto"/>
                      <w:sz w:val="21"/>
                      <w:szCs w:val="21"/>
                    </w:rPr>
                  </w:pPr>
                </w:p>
              </w:tc>
              <w:tc>
                <w:tcPr>
                  <w:tcW w:w="1060" w:type="dxa"/>
                  <w:vMerge w:val="continue"/>
                  <w:vAlign w:val="center"/>
                </w:tcPr>
                <w:p w14:paraId="6E2669C7">
                  <w:pPr>
                    <w:adjustRightInd/>
                    <w:snapToGrid/>
                    <w:spacing w:after="0"/>
                    <w:rPr>
                      <w:rFonts w:hint="default" w:ascii="Times New Roman" w:hAnsi="Times New Roman" w:eastAsia="宋体" w:cs="Times New Roman"/>
                      <w:color w:val="auto"/>
                      <w:sz w:val="21"/>
                      <w:szCs w:val="21"/>
                    </w:rPr>
                  </w:pPr>
                </w:p>
              </w:tc>
              <w:tc>
                <w:tcPr>
                  <w:tcW w:w="1701" w:type="dxa"/>
                  <w:shd w:val="clear" w:color="auto" w:fill="auto"/>
                  <w:vAlign w:val="center"/>
                </w:tcPr>
                <w:p w14:paraId="33A9CED8">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悬浮物</w:t>
                  </w:r>
                </w:p>
              </w:tc>
              <w:tc>
                <w:tcPr>
                  <w:tcW w:w="850" w:type="dxa"/>
                  <w:shd w:val="clear" w:color="auto" w:fill="auto"/>
                  <w:vAlign w:val="center"/>
                </w:tcPr>
                <w:p w14:paraId="6476F863">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27</w:t>
                  </w:r>
                </w:p>
              </w:tc>
              <w:tc>
                <w:tcPr>
                  <w:tcW w:w="709" w:type="dxa"/>
                  <w:shd w:val="clear" w:color="auto" w:fill="auto"/>
                  <w:vAlign w:val="center"/>
                </w:tcPr>
                <w:p w14:paraId="7CFD9F90">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28</w:t>
                  </w:r>
                </w:p>
              </w:tc>
              <w:tc>
                <w:tcPr>
                  <w:tcW w:w="709" w:type="dxa"/>
                  <w:shd w:val="clear" w:color="auto" w:fill="auto"/>
                  <w:vAlign w:val="center"/>
                </w:tcPr>
                <w:p w14:paraId="29C54E92">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28</w:t>
                  </w:r>
                </w:p>
              </w:tc>
              <w:tc>
                <w:tcPr>
                  <w:tcW w:w="567" w:type="dxa"/>
                  <w:shd w:val="clear" w:color="auto" w:fill="auto"/>
                  <w:vAlign w:val="center"/>
                </w:tcPr>
                <w:p w14:paraId="442EEAA5">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w:t>
                  </w:r>
                </w:p>
              </w:tc>
              <w:tc>
                <w:tcPr>
                  <w:tcW w:w="735" w:type="dxa"/>
                  <w:shd w:val="clear" w:color="auto" w:fill="auto"/>
                  <w:noWrap/>
                  <w:vAlign w:val="center"/>
                </w:tcPr>
                <w:p w14:paraId="4962E4E8">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27.25</w:t>
                  </w:r>
                </w:p>
              </w:tc>
              <w:tc>
                <w:tcPr>
                  <w:tcW w:w="432" w:type="dxa"/>
                  <w:shd w:val="clear" w:color="auto" w:fill="auto"/>
                  <w:noWrap/>
                  <w:vAlign w:val="center"/>
                </w:tcPr>
                <w:p w14:paraId="24F75A07">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400</w:t>
                  </w:r>
                </w:p>
              </w:tc>
              <w:tc>
                <w:tcPr>
                  <w:tcW w:w="849" w:type="dxa"/>
                  <w:shd w:val="clear" w:color="auto" w:fill="auto"/>
                  <w:noWrap/>
                  <w:vAlign w:val="center"/>
                </w:tcPr>
                <w:p w14:paraId="55A5AE25">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3E1BA2E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c>
                <w:tcPr>
                  <w:tcW w:w="950" w:type="dxa"/>
                  <w:vMerge w:val="continue"/>
                  <w:vAlign w:val="center"/>
                </w:tcPr>
                <w:p w14:paraId="5D8FE1AB">
                  <w:pPr>
                    <w:adjustRightInd/>
                    <w:snapToGrid/>
                    <w:spacing w:after="0"/>
                    <w:rPr>
                      <w:rFonts w:hint="default" w:ascii="Times New Roman" w:hAnsi="Times New Roman" w:eastAsia="宋体" w:cs="Times New Roman"/>
                      <w:color w:val="auto"/>
                      <w:sz w:val="21"/>
                      <w:szCs w:val="21"/>
                    </w:rPr>
                  </w:pPr>
                </w:p>
              </w:tc>
              <w:tc>
                <w:tcPr>
                  <w:tcW w:w="1060" w:type="dxa"/>
                  <w:vMerge w:val="continue"/>
                  <w:vAlign w:val="center"/>
                </w:tcPr>
                <w:p w14:paraId="4E54D904">
                  <w:pPr>
                    <w:adjustRightInd/>
                    <w:snapToGrid/>
                    <w:spacing w:after="0"/>
                    <w:rPr>
                      <w:rFonts w:hint="default" w:ascii="Times New Roman" w:hAnsi="Times New Roman" w:eastAsia="宋体" w:cs="Times New Roman"/>
                      <w:color w:val="auto"/>
                      <w:sz w:val="21"/>
                      <w:szCs w:val="21"/>
                    </w:rPr>
                  </w:pPr>
                </w:p>
              </w:tc>
              <w:tc>
                <w:tcPr>
                  <w:tcW w:w="1701" w:type="dxa"/>
                  <w:shd w:val="clear" w:color="auto" w:fill="auto"/>
                  <w:vAlign w:val="center"/>
                </w:tcPr>
                <w:p w14:paraId="7ABF5443">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总氮</w:t>
                  </w:r>
                </w:p>
              </w:tc>
              <w:tc>
                <w:tcPr>
                  <w:tcW w:w="850" w:type="dxa"/>
                  <w:shd w:val="clear" w:color="auto" w:fill="auto"/>
                  <w:vAlign w:val="center"/>
                </w:tcPr>
                <w:p w14:paraId="033520D3">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w:t>
                  </w:r>
                </w:p>
              </w:tc>
              <w:tc>
                <w:tcPr>
                  <w:tcW w:w="709" w:type="dxa"/>
                  <w:shd w:val="clear" w:color="auto" w:fill="auto"/>
                  <w:vAlign w:val="center"/>
                </w:tcPr>
                <w:p w14:paraId="4A9AC10F">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w:t>
                  </w:r>
                </w:p>
              </w:tc>
              <w:tc>
                <w:tcPr>
                  <w:tcW w:w="709" w:type="dxa"/>
                  <w:shd w:val="clear" w:color="auto" w:fill="auto"/>
                  <w:vAlign w:val="center"/>
                </w:tcPr>
                <w:p w14:paraId="16A0B490">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1.13</w:t>
                  </w:r>
                </w:p>
              </w:tc>
              <w:tc>
                <w:tcPr>
                  <w:tcW w:w="567" w:type="dxa"/>
                  <w:shd w:val="clear" w:color="auto" w:fill="auto"/>
                  <w:vAlign w:val="center"/>
                </w:tcPr>
                <w:p w14:paraId="3A54BBC4">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1.44</w:t>
                  </w:r>
                </w:p>
              </w:tc>
              <w:tc>
                <w:tcPr>
                  <w:tcW w:w="735" w:type="dxa"/>
                  <w:shd w:val="clear" w:color="auto" w:fill="auto"/>
                  <w:noWrap/>
                  <w:vAlign w:val="center"/>
                </w:tcPr>
                <w:p w14:paraId="17E79018">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1.218</w:t>
                  </w:r>
                </w:p>
              </w:tc>
              <w:tc>
                <w:tcPr>
                  <w:tcW w:w="432" w:type="dxa"/>
                  <w:shd w:val="clear" w:color="auto" w:fill="auto"/>
                  <w:noWrap/>
                  <w:vAlign w:val="center"/>
                </w:tcPr>
                <w:p w14:paraId="54C67E5F">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w:t>
                  </w:r>
                </w:p>
              </w:tc>
              <w:tc>
                <w:tcPr>
                  <w:tcW w:w="849" w:type="dxa"/>
                  <w:shd w:val="clear" w:color="auto" w:fill="auto"/>
                  <w:noWrap/>
                  <w:vAlign w:val="center"/>
                </w:tcPr>
                <w:p w14:paraId="217A1773">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75594D0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c>
                <w:tcPr>
                  <w:tcW w:w="950" w:type="dxa"/>
                  <w:vMerge w:val="continue"/>
                  <w:vAlign w:val="center"/>
                </w:tcPr>
                <w:p w14:paraId="6F95483E">
                  <w:pPr>
                    <w:adjustRightInd/>
                    <w:snapToGrid/>
                    <w:spacing w:after="0"/>
                    <w:rPr>
                      <w:rFonts w:hint="default" w:ascii="Times New Roman" w:hAnsi="Times New Roman" w:eastAsia="宋体" w:cs="Times New Roman"/>
                      <w:color w:val="auto"/>
                      <w:sz w:val="21"/>
                      <w:szCs w:val="21"/>
                    </w:rPr>
                  </w:pPr>
                </w:p>
              </w:tc>
              <w:tc>
                <w:tcPr>
                  <w:tcW w:w="1060" w:type="dxa"/>
                  <w:vMerge w:val="continue"/>
                  <w:vAlign w:val="center"/>
                </w:tcPr>
                <w:p w14:paraId="61FB3E27">
                  <w:pPr>
                    <w:adjustRightInd/>
                    <w:snapToGrid/>
                    <w:spacing w:after="0"/>
                    <w:rPr>
                      <w:rFonts w:hint="default" w:ascii="Times New Roman" w:hAnsi="Times New Roman" w:eastAsia="宋体" w:cs="Times New Roman"/>
                      <w:color w:val="auto"/>
                      <w:sz w:val="21"/>
                      <w:szCs w:val="21"/>
                    </w:rPr>
                  </w:pPr>
                </w:p>
              </w:tc>
              <w:tc>
                <w:tcPr>
                  <w:tcW w:w="1701" w:type="dxa"/>
                  <w:shd w:val="clear" w:color="auto" w:fill="auto"/>
                  <w:vAlign w:val="center"/>
                </w:tcPr>
                <w:p w14:paraId="767C47BB">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氨氮</w:t>
                  </w:r>
                </w:p>
              </w:tc>
              <w:tc>
                <w:tcPr>
                  <w:tcW w:w="850" w:type="dxa"/>
                  <w:shd w:val="clear" w:color="auto" w:fill="auto"/>
                  <w:vAlign w:val="center"/>
                </w:tcPr>
                <w:p w14:paraId="2C9A496E">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0.514</w:t>
                  </w:r>
                </w:p>
              </w:tc>
              <w:tc>
                <w:tcPr>
                  <w:tcW w:w="709" w:type="dxa"/>
                  <w:shd w:val="clear" w:color="auto" w:fill="auto"/>
                  <w:vAlign w:val="center"/>
                </w:tcPr>
                <w:p w14:paraId="17C491C1">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0.660</w:t>
                  </w:r>
                </w:p>
              </w:tc>
              <w:tc>
                <w:tcPr>
                  <w:tcW w:w="709" w:type="dxa"/>
                  <w:shd w:val="clear" w:color="auto" w:fill="auto"/>
                  <w:vAlign w:val="center"/>
                </w:tcPr>
                <w:p w14:paraId="00E6C6A8">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0.611</w:t>
                  </w:r>
                </w:p>
              </w:tc>
              <w:tc>
                <w:tcPr>
                  <w:tcW w:w="567" w:type="dxa"/>
                  <w:shd w:val="clear" w:color="auto" w:fill="auto"/>
                  <w:vAlign w:val="center"/>
                </w:tcPr>
                <w:p w14:paraId="3F6A8EE5">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0.743</w:t>
                  </w:r>
                </w:p>
              </w:tc>
              <w:tc>
                <w:tcPr>
                  <w:tcW w:w="735" w:type="dxa"/>
                  <w:shd w:val="clear" w:color="auto" w:fill="auto"/>
                  <w:noWrap/>
                  <w:vAlign w:val="center"/>
                </w:tcPr>
                <w:p w14:paraId="26D6B5E6">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0.632</w:t>
                  </w:r>
                </w:p>
              </w:tc>
              <w:tc>
                <w:tcPr>
                  <w:tcW w:w="432" w:type="dxa"/>
                  <w:shd w:val="clear" w:color="auto" w:fill="auto"/>
                  <w:noWrap/>
                  <w:vAlign w:val="center"/>
                </w:tcPr>
                <w:p w14:paraId="2C181568">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w:t>
                  </w:r>
                </w:p>
              </w:tc>
              <w:tc>
                <w:tcPr>
                  <w:tcW w:w="849" w:type="dxa"/>
                  <w:shd w:val="clear" w:color="auto" w:fill="auto"/>
                  <w:noWrap/>
                  <w:vAlign w:val="center"/>
                </w:tcPr>
                <w:p w14:paraId="3EC64327">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57F68DE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c>
                <w:tcPr>
                  <w:tcW w:w="950" w:type="dxa"/>
                  <w:vMerge w:val="continue"/>
                  <w:vAlign w:val="center"/>
                </w:tcPr>
                <w:p w14:paraId="11ED17E0">
                  <w:pPr>
                    <w:adjustRightInd/>
                    <w:snapToGrid/>
                    <w:spacing w:after="0"/>
                    <w:rPr>
                      <w:rFonts w:hint="default" w:ascii="Times New Roman" w:hAnsi="Times New Roman" w:eastAsia="宋体" w:cs="Times New Roman"/>
                      <w:color w:val="auto"/>
                      <w:sz w:val="21"/>
                      <w:szCs w:val="21"/>
                    </w:rPr>
                  </w:pPr>
                </w:p>
              </w:tc>
              <w:tc>
                <w:tcPr>
                  <w:tcW w:w="1060" w:type="dxa"/>
                  <w:vMerge w:val="continue"/>
                  <w:vAlign w:val="center"/>
                </w:tcPr>
                <w:p w14:paraId="1C0E83DC">
                  <w:pPr>
                    <w:adjustRightInd/>
                    <w:snapToGrid/>
                    <w:spacing w:after="0"/>
                    <w:rPr>
                      <w:rFonts w:hint="default" w:ascii="Times New Roman" w:hAnsi="Times New Roman" w:eastAsia="宋体" w:cs="Times New Roman"/>
                      <w:color w:val="auto"/>
                      <w:sz w:val="21"/>
                      <w:szCs w:val="21"/>
                    </w:rPr>
                  </w:pPr>
                </w:p>
              </w:tc>
              <w:tc>
                <w:tcPr>
                  <w:tcW w:w="1701" w:type="dxa"/>
                  <w:shd w:val="clear" w:color="auto" w:fill="auto"/>
                  <w:vAlign w:val="center"/>
                </w:tcPr>
                <w:p w14:paraId="15D4CCC4">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总磷</w:t>
                  </w:r>
                </w:p>
              </w:tc>
              <w:tc>
                <w:tcPr>
                  <w:tcW w:w="850" w:type="dxa"/>
                  <w:shd w:val="clear" w:color="auto" w:fill="auto"/>
                  <w:vAlign w:val="center"/>
                </w:tcPr>
                <w:p w14:paraId="58F7E62C">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0.31</w:t>
                  </w:r>
                </w:p>
              </w:tc>
              <w:tc>
                <w:tcPr>
                  <w:tcW w:w="709" w:type="dxa"/>
                  <w:shd w:val="clear" w:color="auto" w:fill="auto"/>
                  <w:vAlign w:val="center"/>
                </w:tcPr>
                <w:p w14:paraId="71145D38">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0.29</w:t>
                  </w:r>
                </w:p>
              </w:tc>
              <w:tc>
                <w:tcPr>
                  <w:tcW w:w="709" w:type="dxa"/>
                  <w:shd w:val="clear" w:color="auto" w:fill="auto"/>
                  <w:vAlign w:val="center"/>
                </w:tcPr>
                <w:p w14:paraId="17B7CC68">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0.33</w:t>
                  </w:r>
                </w:p>
              </w:tc>
              <w:tc>
                <w:tcPr>
                  <w:tcW w:w="567" w:type="dxa"/>
                  <w:shd w:val="clear" w:color="auto" w:fill="auto"/>
                  <w:vAlign w:val="center"/>
                </w:tcPr>
                <w:p w14:paraId="38ABF184">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0.31</w:t>
                  </w:r>
                </w:p>
              </w:tc>
              <w:tc>
                <w:tcPr>
                  <w:tcW w:w="735" w:type="dxa"/>
                  <w:shd w:val="clear" w:color="auto" w:fill="auto"/>
                  <w:noWrap/>
                  <w:vAlign w:val="center"/>
                </w:tcPr>
                <w:p w14:paraId="3FB8903D">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0.31</w:t>
                  </w:r>
                </w:p>
              </w:tc>
              <w:tc>
                <w:tcPr>
                  <w:tcW w:w="432" w:type="dxa"/>
                  <w:shd w:val="clear" w:color="auto" w:fill="auto"/>
                  <w:noWrap/>
                  <w:vAlign w:val="center"/>
                </w:tcPr>
                <w:p w14:paraId="47B347C5">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849" w:type="dxa"/>
                  <w:shd w:val="clear" w:color="auto" w:fill="auto"/>
                  <w:noWrap/>
                  <w:vAlign w:val="center"/>
                </w:tcPr>
                <w:p w14:paraId="7C78D8A2">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7075C39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c>
                <w:tcPr>
                  <w:tcW w:w="950" w:type="dxa"/>
                  <w:vMerge w:val="continue"/>
                  <w:vAlign w:val="center"/>
                </w:tcPr>
                <w:p w14:paraId="1B53AA9B">
                  <w:pPr>
                    <w:adjustRightInd/>
                    <w:snapToGrid/>
                    <w:spacing w:after="0"/>
                    <w:rPr>
                      <w:rFonts w:hint="default" w:ascii="Times New Roman" w:hAnsi="Times New Roman" w:eastAsia="宋体" w:cs="Times New Roman"/>
                      <w:color w:val="auto"/>
                      <w:sz w:val="21"/>
                      <w:szCs w:val="21"/>
                    </w:rPr>
                  </w:pPr>
                </w:p>
              </w:tc>
              <w:tc>
                <w:tcPr>
                  <w:tcW w:w="1060" w:type="dxa"/>
                  <w:vMerge w:val="continue"/>
                  <w:vAlign w:val="center"/>
                </w:tcPr>
                <w:p w14:paraId="08437818">
                  <w:pPr>
                    <w:adjustRightInd/>
                    <w:snapToGrid/>
                    <w:spacing w:after="0"/>
                    <w:rPr>
                      <w:rFonts w:hint="default" w:ascii="Times New Roman" w:hAnsi="Times New Roman" w:eastAsia="宋体" w:cs="Times New Roman"/>
                      <w:color w:val="auto"/>
                      <w:sz w:val="21"/>
                      <w:szCs w:val="21"/>
                    </w:rPr>
                  </w:pPr>
                </w:p>
              </w:tc>
              <w:tc>
                <w:tcPr>
                  <w:tcW w:w="1701" w:type="dxa"/>
                  <w:shd w:val="clear" w:color="auto" w:fill="auto"/>
                  <w:vAlign w:val="center"/>
                </w:tcPr>
                <w:p w14:paraId="6A2F1751">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阴离子表面活性剂</w:t>
                  </w:r>
                </w:p>
              </w:tc>
              <w:tc>
                <w:tcPr>
                  <w:tcW w:w="850" w:type="dxa"/>
                  <w:shd w:val="clear" w:color="auto" w:fill="auto"/>
                  <w:vAlign w:val="center"/>
                </w:tcPr>
                <w:p w14:paraId="611A48C7">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ND</w:t>
                  </w:r>
                </w:p>
              </w:tc>
              <w:tc>
                <w:tcPr>
                  <w:tcW w:w="709" w:type="dxa"/>
                  <w:shd w:val="clear" w:color="auto" w:fill="auto"/>
                  <w:vAlign w:val="center"/>
                </w:tcPr>
                <w:p w14:paraId="730FD72A">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ND</w:t>
                  </w:r>
                </w:p>
              </w:tc>
              <w:tc>
                <w:tcPr>
                  <w:tcW w:w="709" w:type="dxa"/>
                  <w:shd w:val="clear" w:color="auto" w:fill="auto"/>
                  <w:vAlign w:val="center"/>
                </w:tcPr>
                <w:p w14:paraId="1B10B719">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ND</w:t>
                  </w:r>
                </w:p>
              </w:tc>
              <w:tc>
                <w:tcPr>
                  <w:tcW w:w="567" w:type="dxa"/>
                  <w:shd w:val="clear" w:color="auto" w:fill="auto"/>
                  <w:vAlign w:val="center"/>
                </w:tcPr>
                <w:p w14:paraId="52AC4707">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ND</w:t>
                  </w:r>
                </w:p>
              </w:tc>
              <w:tc>
                <w:tcPr>
                  <w:tcW w:w="735" w:type="dxa"/>
                  <w:shd w:val="clear" w:color="auto" w:fill="auto"/>
                  <w:noWrap/>
                  <w:vAlign w:val="center"/>
                </w:tcPr>
                <w:p w14:paraId="108EE843">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ND</w:t>
                  </w:r>
                </w:p>
              </w:tc>
              <w:tc>
                <w:tcPr>
                  <w:tcW w:w="432" w:type="dxa"/>
                  <w:shd w:val="clear" w:color="auto" w:fill="auto"/>
                  <w:noWrap/>
                  <w:vAlign w:val="center"/>
                </w:tcPr>
                <w:p w14:paraId="28D2602F">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849" w:type="dxa"/>
                  <w:shd w:val="clear" w:color="auto" w:fill="auto"/>
                  <w:noWrap/>
                  <w:vAlign w:val="center"/>
                </w:tcPr>
                <w:p w14:paraId="42DBE651">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44B1BB5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c>
                <w:tcPr>
                  <w:tcW w:w="950" w:type="dxa"/>
                  <w:vMerge w:val="continue"/>
                  <w:vAlign w:val="center"/>
                </w:tcPr>
                <w:p w14:paraId="1ED95AB2">
                  <w:pPr>
                    <w:adjustRightInd/>
                    <w:snapToGrid/>
                    <w:spacing w:after="0"/>
                    <w:rPr>
                      <w:rFonts w:hint="default" w:ascii="Times New Roman" w:hAnsi="Times New Roman" w:eastAsia="宋体" w:cs="Times New Roman"/>
                      <w:color w:val="auto"/>
                      <w:sz w:val="21"/>
                      <w:szCs w:val="21"/>
                    </w:rPr>
                  </w:pPr>
                </w:p>
              </w:tc>
              <w:tc>
                <w:tcPr>
                  <w:tcW w:w="1060" w:type="dxa"/>
                  <w:vMerge w:val="continue"/>
                  <w:vAlign w:val="center"/>
                </w:tcPr>
                <w:p w14:paraId="2E377A4D">
                  <w:pPr>
                    <w:adjustRightInd/>
                    <w:snapToGrid/>
                    <w:spacing w:after="0"/>
                    <w:rPr>
                      <w:rFonts w:hint="default" w:ascii="Times New Roman" w:hAnsi="Times New Roman" w:eastAsia="宋体" w:cs="Times New Roman"/>
                      <w:color w:val="auto"/>
                      <w:sz w:val="21"/>
                      <w:szCs w:val="21"/>
                    </w:rPr>
                  </w:pPr>
                </w:p>
              </w:tc>
              <w:tc>
                <w:tcPr>
                  <w:tcW w:w="1701" w:type="dxa"/>
                  <w:shd w:val="clear" w:color="auto" w:fill="auto"/>
                  <w:vAlign w:val="center"/>
                </w:tcPr>
                <w:p w14:paraId="34005D09">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动植物油</w:t>
                  </w:r>
                </w:p>
              </w:tc>
              <w:tc>
                <w:tcPr>
                  <w:tcW w:w="850" w:type="dxa"/>
                  <w:shd w:val="clear" w:color="auto" w:fill="auto"/>
                  <w:vAlign w:val="center"/>
                </w:tcPr>
                <w:p w14:paraId="31B55F68">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ND</w:t>
                  </w:r>
                </w:p>
              </w:tc>
              <w:tc>
                <w:tcPr>
                  <w:tcW w:w="709" w:type="dxa"/>
                  <w:shd w:val="clear" w:color="auto" w:fill="auto"/>
                  <w:vAlign w:val="center"/>
                </w:tcPr>
                <w:p w14:paraId="6FB79194">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ND</w:t>
                  </w:r>
                </w:p>
              </w:tc>
              <w:tc>
                <w:tcPr>
                  <w:tcW w:w="709" w:type="dxa"/>
                  <w:shd w:val="clear" w:color="auto" w:fill="auto"/>
                  <w:vAlign w:val="center"/>
                </w:tcPr>
                <w:p w14:paraId="769E428C">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ND</w:t>
                  </w:r>
                </w:p>
              </w:tc>
              <w:tc>
                <w:tcPr>
                  <w:tcW w:w="567" w:type="dxa"/>
                  <w:shd w:val="clear" w:color="auto" w:fill="auto"/>
                  <w:vAlign w:val="center"/>
                </w:tcPr>
                <w:p w14:paraId="66673679">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ND</w:t>
                  </w:r>
                </w:p>
              </w:tc>
              <w:tc>
                <w:tcPr>
                  <w:tcW w:w="735" w:type="dxa"/>
                  <w:shd w:val="clear" w:color="auto" w:fill="auto"/>
                  <w:noWrap/>
                  <w:vAlign w:val="center"/>
                </w:tcPr>
                <w:p w14:paraId="0B058CF4">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ND</w:t>
                  </w:r>
                </w:p>
              </w:tc>
              <w:tc>
                <w:tcPr>
                  <w:tcW w:w="432" w:type="dxa"/>
                  <w:shd w:val="clear" w:color="auto" w:fill="auto"/>
                  <w:noWrap/>
                  <w:vAlign w:val="center"/>
                </w:tcPr>
                <w:p w14:paraId="5DB53484">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w:t>
                  </w:r>
                </w:p>
              </w:tc>
              <w:tc>
                <w:tcPr>
                  <w:tcW w:w="849" w:type="dxa"/>
                  <w:shd w:val="clear" w:color="auto" w:fill="auto"/>
                  <w:noWrap/>
                  <w:vAlign w:val="center"/>
                </w:tcPr>
                <w:p w14:paraId="227204F2">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bl>
          <w:p w14:paraId="773513BA">
            <w:pPr>
              <w:widowControl w:val="0"/>
              <w:spacing w:after="0"/>
              <w:ind w:firstLine="482" w:firstLineChars="200"/>
              <w:jc w:val="center"/>
              <w:rPr>
                <w:rFonts w:ascii="Times New Roman" w:hAnsi="Times New Roman" w:eastAsia="仿宋"/>
                <w:b/>
                <w:color w:val="auto"/>
                <w:sz w:val="24"/>
                <w:szCs w:val="21"/>
              </w:rPr>
            </w:pPr>
            <w:r>
              <w:rPr>
                <w:rFonts w:ascii="Times New Roman" w:hAnsi="Times New Roman" w:eastAsia="仿宋"/>
                <w:b/>
                <w:color w:val="auto"/>
                <w:sz w:val="24"/>
                <w:szCs w:val="21"/>
              </w:rPr>
              <w:t>表</w:t>
            </w:r>
            <w:r>
              <w:rPr>
                <w:rFonts w:hint="eastAsia" w:ascii="Times New Roman" w:hAnsi="Times New Roman" w:eastAsia="仿宋"/>
                <w:b/>
                <w:color w:val="auto"/>
                <w:sz w:val="24"/>
                <w:szCs w:val="21"/>
                <w:lang w:val="en-US" w:eastAsia="zh-CN"/>
              </w:rPr>
              <w:t>2-10</w:t>
            </w:r>
            <w:r>
              <w:rPr>
                <w:rFonts w:hint="eastAsia" w:ascii="Times New Roman" w:hAnsi="Times New Roman" w:eastAsia="仿宋"/>
                <w:b/>
                <w:color w:val="auto"/>
                <w:sz w:val="24"/>
                <w:szCs w:val="21"/>
              </w:rPr>
              <w:t xml:space="preserve">  </w:t>
            </w:r>
            <w:r>
              <w:rPr>
                <w:rFonts w:ascii="Times New Roman" w:hAnsi="Times New Roman" w:eastAsia="仿宋"/>
                <w:b/>
                <w:color w:val="auto"/>
                <w:sz w:val="24"/>
                <w:szCs w:val="21"/>
              </w:rPr>
              <w:t>废</w:t>
            </w:r>
            <w:r>
              <w:rPr>
                <w:rFonts w:hint="eastAsia" w:ascii="Times New Roman" w:hAnsi="Times New Roman" w:eastAsia="仿宋"/>
                <w:b/>
                <w:color w:val="auto"/>
                <w:sz w:val="24"/>
                <w:szCs w:val="21"/>
              </w:rPr>
              <w:t>水</w:t>
            </w:r>
            <w:r>
              <w:rPr>
                <w:rFonts w:ascii="Times New Roman" w:hAnsi="Times New Roman" w:eastAsia="仿宋"/>
                <w:b/>
                <w:color w:val="auto"/>
                <w:sz w:val="24"/>
                <w:szCs w:val="21"/>
              </w:rPr>
              <w:t>处理效率统计</w:t>
            </w:r>
          </w:p>
          <w:tbl>
            <w:tblPr>
              <w:tblStyle w:val="32"/>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544"/>
              <w:gridCol w:w="1331"/>
              <w:gridCol w:w="1457"/>
              <w:gridCol w:w="1031"/>
              <w:gridCol w:w="1031"/>
              <w:gridCol w:w="1029"/>
            </w:tblGrid>
            <w:tr w14:paraId="6711F0F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10" w:type="pct"/>
                  <w:shd w:val="clear" w:color="auto" w:fill="auto"/>
                  <w:noWrap/>
                  <w:vAlign w:val="center"/>
                </w:tcPr>
                <w:p w14:paraId="032FD2E0">
                  <w:pPr>
                    <w:adjustRightInd/>
                    <w:snapToGrid/>
                    <w:spacing w:after="0"/>
                    <w:jc w:val="center"/>
                    <w:rPr>
                      <w:rFonts w:ascii="Times New Roman" w:hAnsi="Times New Roman" w:eastAsia="仿宋"/>
                      <w:b/>
                      <w:bCs/>
                      <w:color w:val="auto"/>
                      <w:sz w:val="21"/>
                      <w:szCs w:val="21"/>
                    </w:rPr>
                  </w:pPr>
                  <w:r>
                    <w:rPr>
                      <w:rFonts w:hint="eastAsia" w:ascii="Times New Roman" w:hAnsi="Times New Roman" w:eastAsia="仿宋"/>
                      <w:b/>
                      <w:bCs/>
                      <w:color w:val="auto"/>
                      <w:sz w:val="21"/>
                      <w:szCs w:val="21"/>
                    </w:rPr>
                    <w:t>设施名称</w:t>
                  </w:r>
                </w:p>
              </w:tc>
              <w:tc>
                <w:tcPr>
                  <w:tcW w:w="790" w:type="pct"/>
                  <w:shd w:val="clear" w:color="auto" w:fill="auto"/>
                  <w:noWrap/>
                  <w:vAlign w:val="center"/>
                </w:tcPr>
                <w:p w14:paraId="10DD85DA">
                  <w:pPr>
                    <w:adjustRightInd/>
                    <w:snapToGrid/>
                    <w:spacing w:after="0"/>
                    <w:jc w:val="center"/>
                    <w:rPr>
                      <w:rFonts w:ascii="Times New Roman" w:hAnsi="Times New Roman" w:eastAsia="仿宋"/>
                      <w:b/>
                      <w:bCs/>
                      <w:color w:val="auto"/>
                      <w:sz w:val="21"/>
                      <w:szCs w:val="21"/>
                    </w:rPr>
                  </w:pPr>
                  <w:r>
                    <w:rPr>
                      <w:rFonts w:hint="eastAsia" w:ascii="Times New Roman" w:hAnsi="Times New Roman" w:eastAsia="仿宋"/>
                      <w:b/>
                      <w:bCs/>
                      <w:color w:val="auto"/>
                      <w:sz w:val="21"/>
                      <w:szCs w:val="21"/>
                    </w:rPr>
                    <w:t>监测日期</w:t>
                  </w:r>
                </w:p>
              </w:tc>
              <w:tc>
                <w:tcPr>
                  <w:tcW w:w="865" w:type="pct"/>
                  <w:shd w:val="clear" w:color="auto" w:fill="auto"/>
                  <w:noWrap/>
                  <w:vAlign w:val="center"/>
                </w:tcPr>
                <w:p w14:paraId="454B2979">
                  <w:pPr>
                    <w:adjustRightInd/>
                    <w:snapToGrid/>
                    <w:spacing w:after="0"/>
                    <w:jc w:val="center"/>
                    <w:rPr>
                      <w:rFonts w:ascii="Times New Roman" w:hAnsi="Times New Roman" w:eastAsia="仿宋"/>
                      <w:b/>
                      <w:bCs/>
                      <w:color w:val="auto"/>
                      <w:sz w:val="21"/>
                      <w:szCs w:val="21"/>
                    </w:rPr>
                  </w:pPr>
                  <w:r>
                    <w:rPr>
                      <w:rFonts w:ascii="Times New Roman" w:hAnsi="Times New Roman" w:eastAsia="仿宋"/>
                      <w:b/>
                      <w:bCs/>
                      <w:color w:val="auto"/>
                      <w:sz w:val="21"/>
                      <w:szCs w:val="21"/>
                    </w:rPr>
                    <w:t>化学需氧量</w:t>
                  </w:r>
                </w:p>
              </w:tc>
              <w:tc>
                <w:tcPr>
                  <w:tcW w:w="612" w:type="pct"/>
                  <w:shd w:val="clear" w:color="auto" w:fill="auto"/>
                  <w:noWrap/>
                  <w:vAlign w:val="center"/>
                </w:tcPr>
                <w:p w14:paraId="018A7EB0">
                  <w:pPr>
                    <w:adjustRightInd/>
                    <w:snapToGrid/>
                    <w:spacing w:after="0"/>
                    <w:jc w:val="center"/>
                    <w:rPr>
                      <w:rFonts w:ascii="Times New Roman" w:hAnsi="Times New Roman" w:eastAsia="仿宋"/>
                      <w:b/>
                      <w:bCs/>
                      <w:color w:val="auto"/>
                      <w:sz w:val="21"/>
                      <w:szCs w:val="21"/>
                    </w:rPr>
                  </w:pPr>
                  <w:r>
                    <w:rPr>
                      <w:rFonts w:ascii="Times New Roman" w:hAnsi="Times New Roman" w:eastAsia="仿宋"/>
                      <w:b/>
                      <w:bCs/>
                      <w:color w:val="auto"/>
                      <w:sz w:val="21"/>
                      <w:szCs w:val="21"/>
                    </w:rPr>
                    <w:t>总氮</w:t>
                  </w:r>
                </w:p>
              </w:tc>
              <w:tc>
                <w:tcPr>
                  <w:tcW w:w="612" w:type="pct"/>
                  <w:shd w:val="clear" w:color="auto" w:fill="auto"/>
                  <w:noWrap/>
                  <w:vAlign w:val="center"/>
                </w:tcPr>
                <w:p w14:paraId="03099E34">
                  <w:pPr>
                    <w:adjustRightInd/>
                    <w:snapToGrid/>
                    <w:spacing w:after="0"/>
                    <w:jc w:val="center"/>
                    <w:rPr>
                      <w:rFonts w:ascii="Times New Roman" w:hAnsi="Times New Roman" w:eastAsia="仿宋"/>
                      <w:b/>
                      <w:bCs/>
                      <w:color w:val="auto"/>
                      <w:sz w:val="21"/>
                      <w:szCs w:val="21"/>
                    </w:rPr>
                  </w:pPr>
                  <w:r>
                    <w:rPr>
                      <w:rFonts w:ascii="Times New Roman" w:hAnsi="Times New Roman" w:eastAsia="仿宋"/>
                      <w:b/>
                      <w:bCs/>
                      <w:color w:val="auto"/>
                      <w:sz w:val="21"/>
                      <w:szCs w:val="21"/>
                    </w:rPr>
                    <w:t>氨氮</w:t>
                  </w:r>
                </w:p>
              </w:tc>
              <w:tc>
                <w:tcPr>
                  <w:tcW w:w="611" w:type="pct"/>
                  <w:shd w:val="clear" w:color="auto" w:fill="auto"/>
                  <w:noWrap/>
                  <w:vAlign w:val="center"/>
                </w:tcPr>
                <w:p w14:paraId="34DF0926">
                  <w:pPr>
                    <w:adjustRightInd/>
                    <w:snapToGrid/>
                    <w:spacing w:after="0"/>
                    <w:jc w:val="center"/>
                    <w:rPr>
                      <w:rFonts w:ascii="Times New Roman" w:hAnsi="Times New Roman" w:eastAsia="仿宋"/>
                      <w:b/>
                      <w:bCs/>
                      <w:color w:val="auto"/>
                      <w:sz w:val="21"/>
                      <w:szCs w:val="21"/>
                    </w:rPr>
                  </w:pPr>
                  <w:r>
                    <w:rPr>
                      <w:rFonts w:ascii="Times New Roman" w:hAnsi="Times New Roman" w:eastAsia="仿宋"/>
                      <w:b/>
                      <w:bCs/>
                      <w:color w:val="auto"/>
                      <w:sz w:val="21"/>
                      <w:szCs w:val="21"/>
                    </w:rPr>
                    <w:t>总磷</w:t>
                  </w:r>
                </w:p>
              </w:tc>
            </w:tr>
            <w:tr w14:paraId="3F6A6B6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10" w:type="pct"/>
                  <w:vMerge w:val="restart"/>
                  <w:shd w:val="clear" w:color="auto" w:fill="auto"/>
                  <w:vAlign w:val="center"/>
                </w:tcPr>
                <w:p w14:paraId="5FCA63C1">
                  <w:pPr>
                    <w:adjustRightInd/>
                    <w:snapToGrid/>
                    <w:spacing w:after="0"/>
                    <w:jc w:val="center"/>
                    <w:rPr>
                      <w:rFonts w:ascii="Times New Roman" w:hAnsi="Times New Roman" w:eastAsia="仿宋"/>
                      <w:color w:val="auto"/>
                      <w:sz w:val="21"/>
                      <w:szCs w:val="21"/>
                    </w:rPr>
                  </w:pPr>
                  <w:r>
                    <w:rPr>
                      <w:rFonts w:hint="eastAsia" w:ascii="Times New Roman" w:hAnsi="Times New Roman" w:eastAsia="仿宋"/>
                      <w:color w:val="auto"/>
                      <w:sz w:val="21"/>
                      <w:szCs w:val="21"/>
                    </w:rPr>
                    <w:t>综合废水预处理设施</w:t>
                  </w:r>
                </w:p>
              </w:tc>
              <w:tc>
                <w:tcPr>
                  <w:tcW w:w="790" w:type="pct"/>
                  <w:shd w:val="clear" w:color="auto" w:fill="auto"/>
                  <w:noWrap/>
                  <w:vAlign w:val="center"/>
                </w:tcPr>
                <w:p w14:paraId="366EE953">
                  <w:pPr>
                    <w:adjustRightInd/>
                    <w:snapToGrid/>
                    <w:spacing w:after="0"/>
                    <w:jc w:val="center"/>
                    <w:rPr>
                      <w:rFonts w:ascii="Times New Roman" w:hAnsi="Times New Roman" w:eastAsia="仿宋"/>
                      <w:color w:val="auto"/>
                      <w:sz w:val="21"/>
                      <w:szCs w:val="21"/>
                    </w:rPr>
                  </w:pPr>
                  <w:r>
                    <w:rPr>
                      <w:rFonts w:ascii="Times New Roman" w:hAnsi="Times New Roman" w:eastAsia="仿宋"/>
                      <w:color w:val="auto"/>
                      <w:sz w:val="21"/>
                      <w:szCs w:val="21"/>
                    </w:rPr>
                    <w:t>2024.10.23</w:t>
                  </w:r>
                </w:p>
              </w:tc>
              <w:tc>
                <w:tcPr>
                  <w:tcW w:w="865" w:type="pct"/>
                  <w:shd w:val="clear" w:color="auto" w:fill="auto"/>
                  <w:vAlign w:val="center"/>
                </w:tcPr>
                <w:p w14:paraId="41998B6C">
                  <w:pPr>
                    <w:adjustRightInd/>
                    <w:snapToGrid/>
                    <w:spacing w:after="0"/>
                    <w:jc w:val="center"/>
                    <w:rPr>
                      <w:rFonts w:ascii="Times New Roman" w:hAnsi="Times New Roman" w:eastAsia="仿宋"/>
                      <w:color w:val="auto"/>
                      <w:sz w:val="21"/>
                      <w:szCs w:val="21"/>
                    </w:rPr>
                  </w:pPr>
                  <w:r>
                    <w:rPr>
                      <w:rFonts w:ascii="Times New Roman" w:hAnsi="Times New Roman" w:eastAsia="仿宋"/>
                      <w:color w:val="auto"/>
                      <w:sz w:val="21"/>
                      <w:szCs w:val="21"/>
                    </w:rPr>
                    <w:t>95.28%</w:t>
                  </w:r>
                </w:p>
              </w:tc>
              <w:tc>
                <w:tcPr>
                  <w:tcW w:w="612" w:type="pct"/>
                  <w:shd w:val="clear" w:color="auto" w:fill="auto"/>
                  <w:vAlign w:val="center"/>
                </w:tcPr>
                <w:p w14:paraId="0ABC9419">
                  <w:pPr>
                    <w:adjustRightInd/>
                    <w:snapToGrid/>
                    <w:spacing w:after="0"/>
                    <w:jc w:val="center"/>
                    <w:rPr>
                      <w:rFonts w:ascii="Times New Roman" w:hAnsi="Times New Roman" w:eastAsia="仿宋"/>
                      <w:color w:val="auto"/>
                      <w:sz w:val="21"/>
                      <w:szCs w:val="21"/>
                    </w:rPr>
                  </w:pPr>
                  <w:r>
                    <w:rPr>
                      <w:rFonts w:ascii="Times New Roman" w:hAnsi="Times New Roman" w:eastAsia="仿宋"/>
                      <w:color w:val="auto"/>
                      <w:sz w:val="21"/>
                      <w:szCs w:val="21"/>
                    </w:rPr>
                    <w:t>94.75%</w:t>
                  </w:r>
                </w:p>
              </w:tc>
              <w:tc>
                <w:tcPr>
                  <w:tcW w:w="612" w:type="pct"/>
                  <w:shd w:val="clear" w:color="auto" w:fill="auto"/>
                  <w:vAlign w:val="center"/>
                </w:tcPr>
                <w:p w14:paraId="363D2C8C">
                  <w:pPr>
                    <w:adjustRightInd/>
                    <w:snapToGrid/>
                    <w:spacing w:after="0"/>
                    <w:jc w:val="center"/>
                    <w:rPr>
                      <w:rFonts w:ascii="Times New Roman" w:hAnsi="Times New Roman" w:eastAsia="仿宋"/>
                      <w:color w:val="auto"/>
                      <w:sz w:val="21"/>
                      <w:szCs w:val="21"/>
                    </w:rPr>
                  </w:pPr>
                  <w:r>
                    <w:rPr>
                      <w:rFonts w:ascii="Times New Roman" w:hAnsi="Times New Roman" w:eastAsia="仿宋"/>
                      <w:color w:val="auto"/>
                      <w:sz w:val="21"/>
                      <w:szCs w:val="21"/>
                    </w:rPr>
                    <w:t>95.92%</w:t>
                  </w:r>
                </w:p>
              </w:tc>
              <w:tc>
                <w:tcPr>
                  <w:tcW w:w="611" w:type="pct"/>
                  <w:shd w:val="clear" w:color="auto" w:fill="auto"/>
                  <w:vAlign w:val="center"/>
                </w:tcPr>
                <w:p w14:paraId="526A271A">
                  <w:pPr>
                    <w:adjustRightInd/>
                    <w:snapToGrid/>
                    <w:spacing w:after="0"/>
                    <w:jc w:val="center"/>
                    <w:rPr>
                      <w:rFonts w:ascii="Times New Roman" w:hAnsi="Times New Roman" w:eastAsia="仿宋"/>
                      <w:color w:val="auto"/>
                      <w:sz w:val="21"/>
                      <w:szCs w:val="21"/>
                    </w:rPr>
                  </w:pPr>
                  <w:r>
                    <w:rPr>
                      <w:rFonts w:ascii="Times New Roman" w:hAnsi="Times New Roman" w:eastAsia="仿宋"/>
                      <w:color w:val="auto"/>
                      <w:sz w:val="21"/>
                      <w:szCs w:val="21"/>
                    </w:rPr>
                    <w:t>95.66%</w:t>
                  </w:r>
                </w:p>
              </w:tc>
            </w:tr>
            <w:tr w14:paraId="757C068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10" w:type="pct"/>
                  <w:vMerge w:val="continue"/>
                  <w:vAlign w:val="center"/>
                </w:tcPr>
                <w:p w14:paraId="6CF51A5A">
                  <w:pPr>
                    <w:adjustRightInd/>
                    <w:snapToGrid/>
                    <w:spacing w:after="0"/>
                    <w:jc w:val="center"/>
                    <w:rPr>
                      <w:rFonts w:ascii="Times New Roman" w:hAnsi="Times New Roman" w:eastAsia="仿宋"/>
                      <w:color w:val="auto"/>
                      <w:sz w:val="21"/>
                      <w:szCs w:val="21"/>
                    </w:rPr>
                  </w:pPr>
                </w:p>
              </w:tc>
              <w:tc>
                <w:tcPr>
                  <w:tcW w:w="790" w:type="pct"/>
                  <w:shd w:val="clear" w:color="auto" w:fill="auto"/>
                  <w:noWrap/>
                  <w:vAlign w:val="center"/>
                </w:tcPr>
                <w:p w14:paraId="5639ABD3">
                  <w:pPr>
                    <w:adjustRightInd/>
                    <w:snapToGrid/>
                    <w:spacing w:after="0"/>
                    <w:jc w:val="center"/>
                    <w:rPr>
                      <w:rFonts w:ascii="Times New Roman" w:hAnsi="Times New Roman" w:eastAsia="仿宋"/>
                      <w:color w:val="auto"/>
                      <w:sz w:val="21"/>
                      <w:szCs w:val="21"/>
                    </w:rPr>
                  </w:pPr>
                  <w:r>
                    <w:rPr>
                      <w:rFonts w:ascii="Times New Roman" w:hAnsi="Times New Roman" w:eastAsia="仿宋"/>
                      <w:color w:val="auto"/>
                      <w:sz w:val="21"/>
                      <w:szCs w:val="21"/>
                    </w:rPr>
                    <w:t>2024.10.24</w:t>
                  </w:r>
                </w:p>
              </w:tc>
              <w:tc>
                <w:tcPr>
                  <w:tcW w:w="865" w:type="pct"/>
                  <w:shd w:val="clear" w:color="auto" w:fill="auto"/>
                  <w:vAlign w:val="center"/>
                </w:tcPr>
                <w:p w14:paraId="58AC2571">
                  <w:pPr>
                    <w:adjustRightInd/>
                    <w:snapToGrid/>
                    <w:spacing w:after="0"/>
                    <w:jc w:val="center"/>
                    <w:rPr>
                      <w:rFonts w:ascii="Times New Roman" w:hAnsi="Times New Roman" w:eastAsia="仿宋"/>
                      <w:color w:val="auto"/>
                      <w:sz w:val="21"/>
                      <w:szCs w:val="21"/>
                    </w:rPr>
                  </w:pPr>
                  <w:r>
                    <w:rPr>
                      <w:rFonts w:ascii="Times New Roman" w:hAnsi="Times New Roman" w:eastAsia="仿宋"/>
                      <w:color w:val="auto"/>
                      <w:sz w:val="21"/>
                      <w:szCs w:val="21"/>
                    </w:rPr>
                    <w:t>95.49%</w:t>
                  </w:r>
                </w:p>
              </w:tc>
              <w:tc>
                <w:tcPr>
                  <w:tcW w:w="612" w:type="pct"/>
                  <w:shd w:val="clear" w:color="auto" w:fill="auto"/>
                  <w:vAlign w:val="center"/>
                </w:tcPr>
                <w:p w14:paraId="66C86B30">
                  <w:pPr>
                    <w:adjustRightInd/>
                    <w:snapToGrid/>
                    <w:spacing w:after="0"/>
                    <w:jc w:val="center"/>
                    <w:rPr>
                      <w:rFonts w:ascii="Times New Roman" w:hAnsi="Times New Roman" w:eastAsia="仿宋"/>
                      <w:color w:val="auto"/>
                      <w:sz w:val="21"/>
                      <w:szCs w:val="21"/>
                    </w:rPr>
                  </w:pPr>
                  <w:r>
                    <w:rPr>
                      <w:rFonts w:ascii="Times New Roman" w:hAnsi="Times New Roman" w:eastAsia="仿宋"/>
                      <w:color w:val="auto"/>
                      <w:sz w:val="21"/>
                      <w:szCs w:val="21"/>
                    </w:rPr>
                    <w:t>94.70%</w:t>
                  </w:r>
                </w:p>
              </w:tc>
              <w:tc>
                <w:tcPr>
                  <w:tcW w:w="612" w:type="pct"/>
                  <w:shd w:val="clear" w:color="auto" w:fill="auto"/>
                  <w:vAlign w:val="center"/>
                </w:tcPr>
                <w:p w14:paraId="45C6DBC5">
                  <w:pPr>
                    <w:adjustRightInd/>
                    <w:snapToGrid/>
                    <w:spacing w:after="0"/>
                    <w:jc w:val="center"/>
                    <w:rPr>
                      <w:rFonts w:ascii="Times New Roman" w:hAnsi="Times New Roman" w:eastAsia="仿宋"/>
                      <w:color w:val="auto"/>
                      <w:sz w:val="21"/>
                      <w:szCs w:val="21"/>
                    </w:rPr>
                  </w:pPr>
                  <w:r>
                    <w:rPr>
                      <w:rFonts w:ascii="Times New Roman" w:hAnsi="Times New Roman" w:eastAsia="仿宋"/>
                      <w:color w:val="auto"/>
                      <w:sz w:val="21"/>
                      <w:szCs w:val="21"/>
                    </w:rPr>
                    <w:t>96.17%</w:t>
                  </w:r>
                </w:p>
              </w:tc>
              <w:tc>
                <w:tcPr>
                  <w:tcW w:w="611" w:type="pct"/>
                  <w:shd w:val="clear" w:color="auto" w:fill="auto"/>
                  <w:vAlign w:val="center"/>
                </w:tcPr>
                <w:p w14:paraId="7E092573">
                  <w:pPr>
                    <w:adjustRightInd/>
                    <w:snapToGrid/>
                    <w:spacing w:after="0"/>
                    <w:jc w:val="center"/>
                    <w:rPr>
                      <w:rFonts w:ascii="Times New Roman" w:hAnsi="Times New Roman" w:eastAsia="仿宋"/>
                      <w:color w:val="auto"/>
                      <w:sz w:val="21"/>
                      <w:szCs w:val="21"/>
                    </w:rPr>
                  </w:pPr>
                  <w:r>
                    <w:rPr>
                      <w:rFonts w:ascii="Times New Roman" w:hAnsi="Times New Roman" w:eastAsia="仿宋"/>
                      <w:color w:val="auto"/>
                      <w:sz w:val="21"/>
                      <w:szCs w:val="21"/>
                    </w:rPr>
                    <w:t>95.08%</w:t>
                  </w:r>
                </w:p>
              </w:tc>
            </w:tr>
            <w:tr w14:paraId="5E9492F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300" w:type="pct"/>
                  <w:gridSpan w:val="2"/>
                  <w:shd w:val="clear" w:color="auto" w:fill="auto"/>
                  <w:noWrap/>
                  <w:vAlign w:val="center"/>
                </w:tcPr>
                <w:p w14:paraId="1770443A">
                  <w:pPr>
                    <w:adjustRightInd/>
                    <w:snapToGrid/>
                    <w:spacing w:after="0"/>
                    <w:jc w:val="center"/>
                    <w:rPr>
                      <w:rFonts w:ascii="Times New Roman" w:hAnsi="Times New Roman" w:eastAsia="仿宋"/>
                      <w:color w:val="auto"/>
                      <w:sz w:val="21"/>
                      <w:szCs w:val="21"/>
                    </w:rPr>
                  </w:pPr>
                  <w:r>
                    <w:rPr>
                      <w:rFonts w:hint="eastAsia" w:ascii="Times New Roman" w:hAnsi="Times New Roman" w:eastAsia="仿宋"/>
                      <w:color w:val="auto"/>
                      <w:sz w:val="21"/>
                      <w:szCs w:val="21"/>
                    </w:rPr>
                    <w:t>合计效率</w:t>
                  </w:r>
                </w:p>
              </w:tc>
              <w:tc>
                <w:tcPr>
                  <w:tcW w:w="865" w:type="pct"/>
                  <w:shd w:val="clear" w:color="auto" w:fill="auto"/>
                  <w:noWrap/>
                  <w:vAlign w:val="center"/>
                </w:tcPr>
                <w:p w14:paraId="2196D4E0">
                  <w:pPr>
                    <w:adjustRightInd/>
                    <w:snapToGrid/>
                    <w:spacing w:after="0"/>
                    <w:jc w:val="center"/>
                    <w:rPr>
                      <w:rFonts w:ascii="Times New Roman" w:hAnsi="Times New Roman" w:eastAsia="仿宋"/>
                      <w:color w:val="auto"/>
                      <w:sz w:val="21"/>
                      <w:szCs w:val="21"/>
                    </w:rPr>
                  </w:pPr>
                  <w:r>
                    <w:rPr>
                      <w:rFonts w:ascii="Times New Roman" w:hAnsi="Times New Roman" w:eastAsia="仿宋"/>
                      <w:color w:val="auto"/>
                      <w:sz w:val="21"/>
                      <w:szCs w:val="21"/>
                    </w:rPr>
                    <w:t>95.39%</w:t>
                  </w:r>
                </w:p>
              </w:tc>
              <w:tc>
                <w:tcPr>
                  <w:tcW w:w="612" w:type="pct"/>
                  <w:shd w:val="clear" w:color="auto" w:fill="auto"/>
                  <w:noWrap/>
                  <w:vAlign w:val="center"/>
                </w:tcPr>
                <w:p w14:paraId="59F3A210">
                  <w:pPr>
                    <w:adjustRightInd/>
                    <w:snapToGrid/>
                    <w:spacing w:after="0"/>
                    <w:jc w:val="center"/>
                    <w:rPr>
                      <w:rFonts w:ascii="Times New Roman" w:hAnsi="Times New Roman" w:eastAsia="仿宋"/>
                      <w:color w:val="auto"/>
                      <w:sz w:val="21"/>
                      <w:szCs w:val="21"/>
                    </w:rPr>
                  </w:pPr>
                  <w:r>
                    <w:rPr>
                      <w:rFonts w:ascii="Times New Roman" w:hAnsi="Times New Roman" w:eastAsia="仿宋"/>
                      <w:color w:val="auto"/>
                      <w:sz w:val="21"/>
                      <w:szCs w:val="21"/>
                    </w:rPr>
                    <w:t>94.73%</w:t>
                  </w:r>
                </w:p>
              </w:tc>
              <w:tc>
                <w:tcPr>
                  <w:tcW w:w="612" w:type="pct"/>
                  <w:shd w:val="clear" w:color="auto" w:fill="auto"/>
                  <w:noWrap/>
                  <w:vAlign w:val="center"/>
                </w:tcPr>
                <w:p w14:paraId="77E87C36">
                  <w:pPr>
                    <w:adjustRightInd/>
                    <w:snapToGrid/>
                    <w:spacing w:after="0"/>
                    <w:jc w:val="center"/>
                    <w:rPr>
                      <w:rFonts w:ascii="Times New Roman" w:hAnsi="Times New Roman" w:eastAsia="仿宋"/>
                      <w:color w:val="auto"/>
                      <w:sz w:val="21"/>
                      <w:szCs w:val="21"/>
                    </w:rPr>
                  </w:pPr>
                  <w:r>
                    <w:rPr>
                      <w:rFonts w:ascii="Times New Roman" w:hAnsi="Times New Roman" w:eastAsia="仿宋"/>
                      <w:color w:val="auto"/>
                      <w:sz w:val="21"/>
                      <w:szCs w:val="21"/>
                    </w:rPr>
                    <w:t>94.73%</w:t>
                  </w:r>
                </w:p>
              </w:tc>
              <w:tc>
                <w:tcPr>
                  <w:tcW w:w="611" w:type="pct"/>
                  <w:shd w:val="clear" w:color="auto" w:fill="auto"/>
                  <w:noWrap/>
                  <w:vAlign w:val="center"/>
                </w:tcPr>
                <w:p w14:paraId="22B71FEB">
                  <w:pPr>
                    <w:adjustRightInd/>
                    <w:snapToGrid/>
                    <w:spacing w:after="0"/>
                    <w:jc w:val="center"/>
                    <w:rPr>
                      <w:rFonts w:ascii="Times New Roman" w:hAnsi="Times New Roman" w:eastAsia="仿宋"/>
                      <w:color w:val="auto"/>
                      <w:sz w:val="21"/>
                      <w:szCs w:val="21"/>
                    </w:rPr>
                  </w:pPr>
                  <w:r>
                    <w:rPr>
                      <w:rFonts w:ascii="Times New Roman" w:hAnsi="Times New Roman" w:eastAsia="仿宋"/>
                      <w:color w:val="auto"/>
                      <w:sz w:val="21"/>
                      <w:szCs w:val="21"/>
                    </w:rPr>
                    <w:t>96.05%</w:t>
                  </w:r>
                </w:p>
              </w:tc>
            </w:tr>
            <w:tr w14:paraId="4C64125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300" w:type="pct"/>
                  <w:gridSpan w:val="2"/>
                  <w:shd w:val="clear" w:color="auto" w:fill="auto"/>
                  <w:noWrap/>
                  <w:vAlign w:val="center"/>
                </w:tcPr>
                <w:p w14:paraId="2CF9AA5C">
                  <w:pPr>
                    <w:adjustRightInd/>
                    <w:snapToGrid/>
                    <w:spacing w:after="0"/>
                    <w:jc w:val="center"/>
                    <w:rPr>
                      <w:rFonts w:ascii="Times New Roman" w:hAnsi="Times New Roman" w:eastAsia="仿宋"/>
                      <w:color w:val="auto"/>
                      <w:sz w:val="21"/>
                      <w:szCs w:val="21"/>
                    </w:rPr>
                  </w:pPr>
                  <w:r>
                    <w:rPr>
                      <w:rFonts w:hint="eastAsia" w:ascii="Times New Roman" w:hAnsi="Times New Roman" w:eastAsia="仿宋"/>
                      <w:color w:val="auto"/>
                      <w:sz w:val="21"/>
                      <w:szCs w:val="21"/>
                    </w:rPr>
                    <w:t>环评设计效率</w:t>
                  </w:r>
                </w:p>
              </w:tc>
              <w:tc>
                <w:tcPr>
                  <w:tcW w:w="865" w:type="pct"/>
                  <w:shd w:val="clear" w:color="auto" w:fill="auto"/>
                  <w:noWrap/>
                  <w:vAlign w:val="center"/>
                </w:tcPr>
                <w:p w14:paraId="534A295F">
                  <w:pPr>
                    <w:adjustRightInd/>
                    <w:snapToGrid/>
                    <w:spacing w:after="0"/>
                    <w:jc w:val="center"/>
                    <w:rPr>
                      <w:rFonts w:ascii="Times New Roman" w:hAnsi="Times New Roman" w:eastAsia="仿宋"/>
                      <w:color w:val="auto"/>
                      <w:sz w:val="21"/>
                      <w:szCs w:val="21"/>
                    </w:rPr>
                  </w:pPr>
                  <w:r>
                    <w:rPr>
                      <w:rFonts w:hint="eastAsia" w:ascii="Times New Roman" w:hAnsi="Times New Roman" w:eastAsia="仿宋"/>
                      <w:color w:val="auto"/>
                      <w:sz w:val="21"/>
                      <w:szCs w:val="21"/>
                    </w:rPr>
                    <w:t>72.80%</w:t>
                  </w:r>
                </w:p>
              </w:tc>
              <w:tc>
                <w:tcPr>
                  <w:tcW w:w="612" w:type="pct"/>
                  <w:shd w:val="clear" w:color="auto" w:fill="auto"/>
                  <w:noWrap/>
                  <w:vAlign w:val="center"/>
                </w:tcPr>
                <w:p w14:paraId="493871CC">
                  <w:pPr>
                    <w:adjustRightInd/>
                    <w:snapToGrid/>
                    <w:spacing w:after="0"/>
                    <w:jc w:val="center"/>
                    <w:rPr>
                      <w:rFonts w:ascii="Times New Roman" w:hAnsi="Times New Roman" w:eastAsia="仿宋"/>
                      <w:color w:val="auto"/>
                      <w:sz w:val="21"/>
                      <w:szCs w:val="21"/>
                    </w:rPr>
                  </w:pPr>
                  <w:r>
                    <w:rPr>
                      <w:rFonts w:hint="eastAsia" w:ascii="Times New Roman" w:hAnsi="Times New Roman" w:eastAsia="仿宋"/>
                      <w:color w:val="auto"/>
                      <w:sz w:val="21"/>
                      <w:szCs w:val="21"/>
                    </w:rPr>
                    <w:t>64.02%</w:t>
                  </w:r>
                </w:p>
              </w:tc>
              <w:tc>
                <w:tcPr>
                  <w:tcW w:w="612" w:type="pct"/>
                  <w:shd w:val="clear" w:color="auto" w:fill="auto"/>
                  <w:noWrap/>
                  <w:vAlign w:val="center"/>
                </w:tcPr>
                <w:p w14:paraId="41D61B74">
                  <w:pPr>
                    <w:adjustRightInd/>
                    <w:snapToGrid/>
                    <w:spacing w:after="0"/>
                    <w:jc w:val="center"/>
                    <w:rPr>
                      <w:rFonts w:ascii="Times New Roman" w:hAnsi="Times New Roman" w:eastAsia="仿宋"/>
                      <w:color w:val="auto"/>
                      <w:sz w:val="21"/>
                      <w:szCs w:val="21"/>
                    </w:rPr>
                  </w:pPr>
                  <w:r>
                    <w:rPr>
                      <w:rFonts w:hint="eastAsia" w:ascii="Times New Roman" w:hAnsi="Times New Roman" w:eastAsia="仿宋"/>
                      <w:color w:val="auto"/>
                      <w:sz w:val="21"/>
                      <w:szCs w:val="21"/>
                    </w:rPr>
                    <w:t>60.00%</w:t>
                  </w:r>
                </w:p>
              </w:tc>
              <w:tc>
                <w:tcPr>
                  <w:tcW w:w="611" w:type="pct"/>
                  <w:shd w:val="clear" w:color="auto" w:fill="auto"/>
                  <w:noWrap/>
                  <w:vAlign w:val="center"/>
                </w:tcPr>
                <w:p w14:paraId="4F04B8AF">
                  <w:pPr>
                    <w:adjustRightInd/>
                    <w:snapToGrid/>
                    <w:spacing w:after="0"/>
                    <w:jc w:val="center"/>
                    <w:rPr>
                      <w:rFonts w:ascii="Times New Roman" w:hAnsi="Times New Roman" w:eastAsia="仿宋"/>
                      <w:color w:val="auto"/>
                      <w:sz w:val="21"/>
                      <w:szCs w:val="21"/>
                    </w:rPr>
                  </w:pPr>
                  <w:r>
                    <w:rPr>
                      <w:rFonts w:hint="eastAsia" w:ascii="Times New Roman" w:hAnsi="Times New Roman" w:eastAsia="仿宋"/>
                      <w:color w:val="auto"/>
                      <w:sz w:val="21"/>
                      <w:szCs w:val="21"/>
                    </w:rPr>
                    <w:t>84.14%</w:t>
                  </w:r>
                </w:p>
              </w:tc>
            </w:tr>
          </w:tbl>
          <w:p w14:paraId="45BA0276">
            <w:pPr>
              <w:pStyle w:val="2"/>
              <w:keepNext w:val="0"/>
              <w:keepLines w:val="0"/>
              <w:pageBreakBefore w:val="0"/>
              <w:kinsoku/>
              <w:wordWrap/>
              <w:overflowPunct/>
              <w:topLinePunct w:val="0"/>
              <w:autoSpaceDE/>
              <w:autoSpaceDN/>
              <w:bidi w:val="0"/>
              <w:spacing w:after="0" w:line="360" w:lineRule="auto"/>
              <w:ind w:left="0" w:leftChars="0" w:firstLine="48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（2）废气</w:t>
            </w:r>
          </w:p>
          <w:p w14:paraId="05B1B06E">
            <w:pPr>
              <w:pStyle w:val="4"/>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（1）废气产生及排放情况</w:t>
            </w:r>
          </w:p>
          <w:p w14:paraId="7534A91E">
            <w:pPr>
              <w:spacing w:after="0"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现有项目废气：</w:t>
            </w:r>
            <w:r>
              <w:rPr>
                <w:rFonts w:hint="default" w:ascii="Times New Roman" w:hAnsi="Times New Roman" w:eastAsia="宋体" w:cs="Times New Roman"/>
                <w:color w:val="auto"/>
                <w:sz w:val="24"/>
                <w:szCs w:val="24"/>
              </w:rPr>
              <w:t>炒制油烟由风机吸入静电式油烟净化器，处理达标后的炒制油烟通过建筑内置烟道至楼顶排放。食堂油烟废气通过集气罩收集到湿法油烟净化器中处理，处理达标后的食堂油烟通过建筑内置烟道至楼顶排放。未经捕集的废气无组织排放。</w:t>
            </w:r>
          </w:p>
          <w:p w14:paraId="502F112E">
            <w:pPr>
              <w:pStyle w:val="4"/>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（2）废气达标排放情况</w:t>
            </w:r>
          </w:p>
          <w:p w14:paraId="4978A158">
            <w:pPr>
              <w:pStyle w:val="4"/>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根据验收报告</w:t>
            </w:r>
            <w:r>
              <w:rPr>
                <w:rFonts w:hint="default" w:ascii="Times New Roman" w:hAnsi="Times New Roman" w:eastAsia="宋体" w:cs="Times New Roman"/>
                <w:color w:val="auto"/>
                <w:sz w:val="24"/>
                <w:lang w:val="en-US" w:eastAsia="zh-CN"/>
              </w:rPr>
              <w:t>2024年10月23日委托</w:t>
            </w:r>
            <w:r>
              <w:rPr>
                <w:rFonts w:hint="default" w:ascii="Times New Roman" w:hAnsi="Times New Roman" w:eastAsia="宋体" w:cs="Times New Roman"/>
                <w:color w:val="auto"/>
                <w:sz w:val="24"/>
                <w:szCs w:val="24"/>
              </w:rPr>
              <w:t>南京万全检测技术有限公司</w:t>
            </w:r>
            <w:r>
              <w:rPr>
                <w:rFonts w:hint="default" w:ascii="Times New Roman" w:hAnsi="Times New Roman" w:eastAsia="宋体" w:cs="Times New Roman"/>
                <w:color w:val="auto"/>
                <w:sz w:val="24"/>
                <w:szCs w:val="24"/>
                <w:lang w:eastAsia="zh-CN"/>
              </w:rPr>
              <w:t>进行检测</w:t>
            </w:r>
            <w:r>
              <w:rPr>
                <w:rFonts w:hint="default" w:ascii="Times New Roman" w:hAnsi="Times New Roman" w:eastAsia="宋体" w:cs="Times New Roman"/>
                <w:color w:val="auto"/>
                <w:sz w:val="24"/>
                <w:szCs w:val="24"/>
                <w:lang w:val="en-US" w:eastAsia="zh-CN"/>
              </w:rPr>
              <w:t>，公司排气筒废气排放情况如下表所示：</w:t>
            </w:r>
          </w:p>
          <w:p w14:paraId="39CAE2C5">
            <w:pPr>
              <w:pStyle w:val="2"/>
              <w:keepNext w:val="0"/>
              <w:keepLines w:val="0"/>
              <w:pageBreakBefore w:val="0"/>
              <w:widowControl w:val="0"/>
              <w:kinsoku/>
              <w:wordWrap/>
              <w:overflowPunct/>
              <w:topLinePunct w:val="0"/>
              <w:autoSpaceDE/>
              <w:autoSpaceDN/>
              <w:bidi w:val="0"/>
              <w:adjustRightInd/>
              <w:snapToGrid/>
              <w:spacing w:after="0"/>
              <w:ind w:left="0" w:leftChars="0" w:firstLine="482"/>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表2-</w:t>
            </w:r>
            <w:r>
              <w:rPr>
                <w:rFonts w:hint="eastAsia" w:cs="Times New Roman"/>
                <w:b/>
                <w:bCs/>
                <w:color w:val="auto"/>
                <w:sz w:val="24"/>
                <w:szCs w:val="24"/>
                <w:lang w:val="en-US" w:eastAsia="zh-CN"/>
              </w:rPr>
              <w:t>11</w:t>
            </w:r>
            <w:r>
              <w:rPr>
                <w:rFonts w:hint="default" w:ascii="Times New Roman" w:hAnsi="Times New Roman" w:eastAsia="宋体" w:cs="Times New Roman"/>
                <w:b/>
                <w:bCs/>
                <w:color w:val="auto"/>
                <w:sz w:val="24"/>
                <w:szCs w:val="24"/>
              </w:rPr>
              <w:t>现有项目废</w:t>
            </w:r>
            <w:r>
              <w:rPr>
                <w:rFonts w:hint="eastAsia" w:cs="Times New Roman"/>
                <w:b/>
                <w:bCs/>
                <w:color w:val="auto"/>
                <w:sz w:val="24"/>
                <w:szCs w:val="24"/>
                <w:lang w:eastAsia="zh-CN"/>
              </w:rPr>
              <w:t>气</w:t>
            </w:r>
            <w:r>
              <w:rPr>
                <w:rFonts w:hint="default" w:ascii="Times New Roman" w:hAnsi="Times New Roman" w:eastAsia="宋体" w:cs="Times New Roman"/>
                <w:b/>
                <w:bCs/>
                <w:color w:val="auto"/>
                <w:sz w:val="24"/>
                <w:szCs w:val="24"/>
              </w:rPr>
              <w:t>验收监测结果</w:t>
            </w:r>
          </w:p>
          <w:tbl>
            <w:tblPr>
              <w:tblStyle w:val="32"/>
              <w:tblW w:w="8640"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107"/>
              <w:gridCol w:w="1077"/>
              <w:gridCol w:w="1074"/>
              <w:gridCol w:w="1077"/>
              <w:gridCol w:w="1077"/>
              <w:gridCol w:w="1077"/>
              <w:gridCol w:w="1077"/>
              <w:gridCol w:w="1074"/>
            </w:tblGrid>
            <w:tr w14:paraId="338A17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107" w:type="dxa"/>
                  <w:vMerge w:val="restart"/>
                  <w:shd w:val="clear" w:color="auto" w:fill="auto"/>
                  <w:noWrap/>
                  <w:vAlign w:val="center"/>
                </w:tcPr>
                <w:p w14:paraId="5CC9E483">
                  <w:pPr>
                    <w:adjustRightInd/>
                    <w:snapToGrid/>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采样日期</w:t>
                  </w:r>
                </w:p>
              </w:tc>
              <w:tc>
                <w:tcPr>
                  <w:tcW w:w="1077" w:type="dxa"/>
                  <w:vMerge w:val="restart"/>
                  <w:shd w:val="clear" w:color="auto" w:fill="auto"/>
                  <w:vAlign w:val="center"/>
                </w:tcPr>
                <w:p w14:paraId="214B9A04">
                  <w:pPr>
                    <w:adjustRightInd/>
                    <w:snapToGrid/>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监测点位</w:t>
                  </w:r>
                </w:p>
              </w:tc>
              <w:tc>
                <w:tcPr>
                  <w:tcW w:w="4305" w:type="dxa"/>
                  <w:gridSpan w:val="4"/>
                  <w:shd w:val="clear" w:color="auto" w:fill="auto"/>
                  <w:vAlign w:val="center"/>
                </w:tcPr>
                <w:p w14:paraId="3219BE1A">
                  <w:pPr>
                    <w:adjustRightInd/>
                    <w:snapToGrid/>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监测结果(mg/m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w:t>
                  </w:r>
                </w:p>
              </w:tc>
              <w:tc>
                <w:tcPr>
                  <w:tcW w:w="1077" w:type="dxa"/>
                  <w:vMerge w:val="restart"/>
                  <w:shd w:val="clear" w:color="auto" w:fill="auto"/>
                  <w:vAlign w:val="center"/>
                </w:tcPr>
                <w:p w14:paraId="6B9637D8">
                  <w:pPr>
                    <w:adjustRightInd/>
                    <w:snapToGrid/>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标准值(mg/m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w:t>
                  </w:r>
                </w:p>
              </w:tc>
              <w:tc>
                <w:tcPr>
                  <w:tcW w:w="1074" w:type="dxa"/>
                  <w:vMerge w:val="restart"/>
                  <w:shd w:val="clear" w:color="auto" w:fill="auto"/>
                  <w:vAlign w:val="center"/>
                </w:tcPr>
                <w:p w14:paraId="67121773">
                  <w:pPr>
                    <w:adjustRightInd/>
                    <w:snapToGrid/>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评价结果</w:t>
                  </w:r>
                </w:p>
              </w:tc>
            </w:tr>
            <w:tr w14:paraId="032F85D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25" w:hRule="atLeast"/>
              </w:trPr>
              <w:tc>
                <w:tcPr>
                  <w:tcW w:w="1107" w:type="dxa"/>
                  <w:vMerge w:val="continue"/>
                  <w:vAlign w:val="center"/>
                </w:tcPr>
                <w:p w14:paraId="409228D3">
                  <w:pPr>
                    <w:adjustRightInd/>
                    <w:snapToGrid/>
                    <w:spacing w:after="0"/>
                    <w:rPr>
                      <w:rFonts w:hint="default" w:ascii="Times New Roman" w:hAnsi="Times New Roman" w:eastAsia="宋体" w:cs="Times New Roman"/>
                      <w:b/>
                      <w:bCs/>
                      <w:color w:val="auto"/>
                      <w:sz w:val="21"/>
                      <w:szCs w:val="21"/>
                    </w:rPr>
                  </w:pPr>
                </w:p>
              </w:tc>
              <w:tc>
                <w:tcPr>
                  <w:tcW w:w="1077" w:type="dxa"/>
                  <w:vMerge w:val="continue"/>
                  <w:vAlign w:val="center"/>
                </w:tcPr>
                <w:p w14:paraId="47715077">
                  <w:pPr>
                    <w:adjustRightInd/>
                    <w:snapToGrid/>
                    <w:spacing w:after="0"/>
                    <w:rPr>
                      <w:rFonts w:hint="default" w:ascii="Times New Roman" w:hAnsi="Times New Roman" w:eastAsia="宋体" w:cs="Times New Roman"/>
                      <w:b/>
                      <w:bCs/>
                      <w:color w:val="auto"/>
                      <w:sz w:val="21"/>
                      <w:szCs w:val="21"/>
                    </w:rPr>
                  </w:pPr>
                </w:p>
              </w:tc>
              <w:tc>
                <w:tcPr>
                  <w:tcW w:w="1074" w:type="dxa"/>
                  <w:shd w:val="clear" w:color="auto" w:fill="auto"/>
                  <w:vAlign w:val="center"/>
                </w:tcPr>
                <w:p w14:paraId="35BD4566">
                  <w:pPr>
                    <w:adjustRightInd/>
                    <w:snapToGrid/>
                    <w:spacing w:after="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频次</w:t>
                  </w:r>
                </w:p>
              </w:tc>
              <w:tc>
                <w:tcPr>
                  <w:tcW w:w="1077" w:type="dxa"/>
                  <w:shd w:val="clear" w:color="auto" w:fill="auto"/>
                  <w:vAlign w:val="center"/>
                </w:tcPr>
                <w:p w14:paraId="3CAB92D9">
                  <w:pPr>
                    <w:adjustRightInd/>
                    <w:snapToGrid/>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实测浓度mg/m</w:t>
                  </w:r>
                  <w:r>
                    <w:rPr>
                      <w:rFonts w:hint="default" w:ascii="Times New Roman" w:hAnsi="Times New Roman" w:eastAsia="宋体" w:cs="Times New Roman"/>
                      <w:b/>
                      <w:bCs/>
                      <w:color w:val="auto"/>
                      <w:sz w:val="21"/>
                      <w:szCs w:val="21"/>
                      <w:vertAlign w:val="superscript"/>
                    </w:rPr>
                    <w:t>3</w:t>
                  </w:r>
                </w:p>
              </w:tc>
              <w:tc>
                <w:tcPr>
                  <w:tcW w:w="1077" w:type="dxa"/>
                  <w:shd w:val="clear" w:color="auto" w:fill="auto"/>
                  <w:vAlign w:val="center"/>
                </w:tcPr>
                <w:p w14:paraId="0BA8C8E3">
                  <w:pPr>
                    <w:adjustRightInd/>
                    <w:snapToGrid/>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排风量Nm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/h</w:t>
                  </w:r>
                </w:p>
              </w:tc>
              <w:tc>
                <w:tcPr>
                  <w:tcW w:w="1077" w:type="dxa"/>
                  <w:shd w:val="clear" w:color="auto" w:fill="auto"/>
                  <w:vAlign w:val="center"/>
                </w:tcPr>
                <w:p w14:paraId="6BB6B8CA">
                  <w:pPr>
                    <w:adjustRightInd/>
                    <w:snapToGrid/>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基准排放浓度mg/m</w:t>
                  </w:r>
                  <w:r>
                    <w:rPr>
                      <w:rFonts w:hint="default" w:ascii="Times New Roman" w:hAnsi="Times New Roman" w:eastAsia="宋体" w:cs="Times New Roman"/>
                      <w:b/>
                      <w:bCs/>
                      <w:color w:val="auto"/>
                      <w:sz w:val="21"/>
                      <w:szCs w:val="21"/>
                      <w:vertAlign w:val="superscript"/>
                    </w:rPr>
                    <w:t>3</w:t>
                  </w:r>
                </w:p>
              </w:tc>
              <w:tc>
                <w:tcPr>
                  <w:tcW w:w="1077" w:type="dxa"/>
                  <w:vMerge w:val="continue"/>
                  <w:vAlign w:val="center"/>
                </w:tcPr>
                <w:p w14:paraId="3323CCB6">
                  <w:pPr>
                    <w:adjustRightInd/>
                    <w:snapToGrid/>
                    <w:spacing w:after="0"/>
                    <w:rPr>
                      <w:rFonts w:hint="default" w:ascii="Times New Roman" w:hAnsi="Times New Roman" w:eastAsia="宋体" w:cs="Times New Roman"/>
                      <w:b/>
                      <w:bCs/>
                      <w:color w:val="auto"/>
                      <w:sz w:val="21"/>
                      <w:szCs w:val="21"/>
                    </w:rPr>
                  </w:pPr>
                </w:p>
              </w:tc>
              <w:tc>
                <w:tcPr>
                  <w:tcW w:w="1074" w:type="dxa"/>
                  <w:vMerge w:val="continue"/>
                  <w:vAlign w:val="center"/>
                </w:tcPr>
                <w:p w14:paraId="0598E012">
                  <w:pPr>
                    <w:adjustRightInd/>
                    <w:snapToGrid/>
                    <w:spacing w:after="0"/>
                    <w:rPr>
                      <w:rFonts w:hint="default" w:ascii="Times New Roman" w:hAnsi="Times New Roman" w:eastAsia="宋体" w:cs="Times New Roman"/>
                      <w:b/>
                      <w:bCs/>
                      <w:color w:val="auto"/>
                      <w:sz w:val="21"/>
                      <w:szCs w:val="21"/>
                    </w:rPr>
                  </w:pPr>
                </w:p>
              </w:tc>
            </w:tr>
            <w:tr w14:paraId="7C5FA0E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107" w:type="dxa"/>
                  <w:vMerge w:val="restart"/>
                  <w:shd w:val="clear" w:color="auto" w:fill="auto"/>
                  <w:vAlign w:val="center"/>
                </w:tcPr>
                <w:p w14:paraId="3686CE30">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2024.10.23</w:t>
                  </w:r>
                </w:p>
              </w:tc>
              <w:tc>
                <w:tcPr>
                  <w:tcW w:w="1077" w:type="dxa"/>
                  <w:vMerge w:val="restart"/>
                  <w:shd w:val="clear" w:color="auto" w:fill="auto"/>
                  <w:vAlign w:val="center"/>
                </w:tcPr>
                <w:p w14:paraId="250069B4">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FQ-1</w:t>
                  </w:r>
                </w:p>
                <w:p w14:paraId="35E7166B">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进口</w:t>
                  </w:r>
                </w:p>
              </w:tc>
              <w:tc>
                <w:tcPr>
                  <w:tcW w:w="1074" w:type="dxa"/>
                  <w:shd w:val="clear" w:color="auto" w:fill="auto"/>
                  <w:vAlign w:val="center"/>
                </w:tcPr>
                <w:p w14:paraId="4DF93834">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第一次</w:t>
                  </w:r>
                </w:p>
              </w:tc>
              <w:tc>
                <w:tcPr>
                  <w:tcW w:w="1077" w:type="dxa"/>
                  <w:shd w:val="clear" w:color="auto" w:fill="auto"/>
                  <w:vAlign w:val="center"/>
                </w:tcPr>
                <w:p w14:paraId="47DCB45D">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w:t>
                  </w:r>
                </w:p>
              </w:tc>
              <w:tc>
                <w:tcPr>
                  <w:tcW w:w="1077" w:type="dxa"/>
                  <w:shd w:val="clear" w:color="auto" w:fill="auto"/>
                  <w:vAlign w:val="center"/>
                </w:tcPr>
                <w:p w14:paraId="5404679E">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17045</w:t>
                  </w:r>
                </w:p>
              </w:tc>
              <w:tc>
                <w:tcPr>
                  <w:tcW w:w="1077" w:type="dxa"/>
                  <w:shd w:val="clear" w:color="auto" w:fill="auto"/>
                  <w:vAlign w:val="center"/>
                </w:tcPr>
                <w:p w14:paraId="0661B449">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77" w:type="dxa"/>
                  <w:shd w:val="clear" w:color="auto" w:fill="auto"/>
                  <w:vAlign w:val="center"/>
                </w:tcPr>
                <w:p w14:paraId="39D1FE66">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74" w:type="dxa"/>
                  <w:shd w:val="clear" w:color="auto" w:fill="auto"/>
                  <w:vAlign w:val="center"/>
                </w:tcPr>
                <w:p w14:paraId="6858FAA2">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0C11ECB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107" w:type="dxa"/>
                  <w:vMerge w:val="continue"/>
                  <w:vAlign w:val="center"/>
                </w:tcPr>
                <w:p w14:paraId="3AC02788">
                  <w:pPr>
                    <w:adjustRightInd/>
                    <w:snapToGrid/>
                    <w:spacing w:after="0"/>
                    <w:rPr>
                      <w:rFonts w:hint="default" w:ascii="Times New Roman" w:hAnsi="Times New Roman" w:eastAsia="宋体" w:cs="Times New Roman"/>
                      <w:color w:val="auto"/>
                      <w:sz w:val="21"/>
                      <w:szCs w:val="21"/>
                    </w:rPr>
                  </w:pPr>
                </w:p>
              </w:tc>
              <w:tc>
                <w:tcPr>
                  <w:tcW w:w="1077" w:type="dxa"/>
                  <w:vMerge w:val="continue"/>
                  <w:vAlign w:val="center"/>
                </w:tcPr>
                <w:p w14:paraId="7D55697B">
                  <w:pPr>
                    <w:adjustRightInd/>
                    <w:snapToGrid/>
                    <w:spacing w:after="0"/>
                    <w:rPr>
                      <w:rFonts w:hint="default" w:ascii="Times New Roman" w:hAnsi="Times New Roman" w:eastAsia="宋体" w:cs="Times New Roman"/>
                      <w:color w:val="auto"/>
                      <w:sz w:val="21"/>
                      <w:szCs w:val="21"/>
                    </w:rPr>
                  </w:pPr>
                </w:p>
              </w:tc>
              <w:tc>
                <w:tcPr>
                  <w:tcW w:w="1074" w:type="dxa"/>
                  <w:shd w:val="clear" w:color="auto" w:fill="auto"/>
                  <w:vAlign w:val="center"/>
                </w:tcPr>
                <w:p w14:paraId="1BF28C85">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第二次</w:t>
                  </w:r>
                </w:p>
              </w:tc>
              <w:tc>
                <w:tcPr>
                  <w:tcW w:w="1077" w:type="dxa"/>
                  <w:shd w:val="clear" w:color="auto" w:fill="auto"/>
                  <w:vAlign w:val="center"/>
                </w:tcPr>
                <w:p w14:paraId="54E2C936">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w:t>
                  </w:r>
                </w:p>
              </w:tc>
              <w:tc>
                <w:tcPr>
                  <w:tcW w:w="1077" w:type="dxa"/>
                  <w:shd w:val="clear" w:color="auto" w:fill="auto"/>
                  <w:vAlign w:val="center"/>
                </w:tcPr>
                <w:p w14:paraId="0E105D43">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15754</w:t>
                  </w:r>
                </w:p>
              </w:tc>
              <w:tc>
                <w:tcPr>
                  <w:tcW w:w="1077" w:type="dxa"/>
                  <w:shd w:val="clear" w:color="auto" w:fill="auto"/>
                  <w:vAlign w:val="center"/>
                </w:tcPr>
                <w:p w14:paraId="2BF80199">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77" w:type="dxa"/>
                  <w:shd w:val="clear" w:color="auto" w:fill="auto"/>
                  <w:vAlign w:val="center"/>
                </w:tcPr>
                <w:p w14:paraId="40203D9C">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74" w:type="dxa"/>
                  <w:shd w:val="clear" w:color="auto" w:fill="auto"/>
                  <w:vAlign w:val="center"/>
                </w:tcPr>
                <w:p w14:paraId="492525F5">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643E3F2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107" w:type="dxa"/>
                  <w:vMerge w:val="continue"/>
                  <w:vAlign w:val="center"/>
                </w:tcPr>
                <w:p w14:paraId="6C7B2F2C">
                  <w:pPr>
                    <w:adjustRightInd/>
                    <w:snapToGrid/>
                    <w:spacing w:after="0"/>
                    <w:rPr>
                      <w:rFonts w:hint="default" w:ascii="Times New Roman" w:hAnsi="Times New Roman" w:eastAsia="宋体" w:cs="Times New Roman"/>
                      <w:color w:val="auto"/>
                      <w:sz w:val="21"/>
                      <w:szCs w:val="21"/>
                    </w:rPr>
                  </w:pPr>
                </w:p>
              </w:tc>
              <w:tc>
                <w:tcPr>
                  <w:tcW w:w="1077" w:type="dxa"/>
                  <w:vMerge w:val="continue"/>
                  <w:vAlign w:val="center"/>
                </w:tcPr>
                <w:p w14:paraId="310BA74E">
                  <w:pPr>
                    <w:adjustRightInd/>
                    <w:snapToGrid/>
                    <w:spacing w:after="0"/>
                    <w:rPr>
                      <w:rFonts w:hint="default" w:ascii="Times New Roman" w:hAnsi="Times New Roman" w:eastAsia="宋体" w:cs="Times New Roman"/>
                      <w:color w:val="auto"/>
                      <w:sz w:val="21"/>
                      <w:szCs w:val="21"/>
                    </w:rPr>
                  </w:pPr>
                </w:p>
              </w:tc>
              <w:tc>
                <w:tcPr>
                  <w:tcW w:w="1074" w:type="dxa"/>
                  <w:shd w:val="clear" w:color="auto" w:fill="auto"/>
                  <w:vAlign w:val="center"/>
                </w:tcPr>
                <w:p w14:paraId="3242AA57">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第三次</w:t>
                  </w:r>
                </w:p>
              </w:tc>
              <w:tc>
                <w:tcPr>
                  <w:tcW w:w="1077" w:type="dxa"/>
                  <w:shd w:val="clear" w:color="auto" w:fill="auto"/>
                  <w:vAlign w:val="center"/>
                </w:tcPr>
                <w:p w14:paraId="14960DCD">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4.7</w:t>
                  </w:r>
                </w:p>
              </w:tc>
              <w:tc>
                <w:tcPr>
                  <w:tcW w:w="1077" w:type="dxa"/>
                  <w:shd w:val="clear" w:color="auto" w:fill="auto"/>
                  <w:vAlign w:val="center"/>
                </w:tcPr>
                <w:p w14:paraId="7257927E">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16787</w:t>
                  </w:r>
                </w:p>
              </w:tc>
              <w:tc>
                <w:tcPr>
                  <w:tcW w:w="1077" w:type="dxa"/>
                  <w:shd w:val="clear" w:color="auto" w:fill="auto"/>
                  <w:vAlign w:val="center"/>
                </w:tcPr>
                <w:p w14:paraId="0B7B45DF">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77" w:type="dxa"/>
                  <w:shd w:val="clear" w:color="auto" w:fill="auto"/>
                  <w:vAlign w:val="center"/>
                </w:tcPr>
                <w:p w14:paraId="132A0046">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74" w:type="dxa"/>
                  <w:shd w:val="clear" w:color="auto" w:fill="auto"/>
                  <w:vAlign w:val="center"/>
                </w:tcPr>
                <w:p w14:paraId="24576AF8">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1D722C9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107" w:type="dxa"/>
                  <w:vMerge w:val="continue"/>
                  <w:vAlign w:val="center"/>
                </w:tcPr>
                <w:p w14:paraId="6B8B7747">
                  <w:pPr>
                    <w:adjustRightInd/>
                    <w:snapToGrid/>
                    <w:spacing w:after="0"/>
                    <w:rPr>
                      <w:rFonts w:hint="default" w:ascii="Times New Roman" w:hAnsi="Times New Roman" w:eastAsia="宋体" w:cs="Times New Roman"/>
                      <w:color w:val="auto"/>
                      <w:sz w:val="21"/>
                      <w:szCs w:val="21"/>
                    </w:rPr>
                  </w:pPr>
                </w:p>
              </w:tc>
              <w:tc>
                <w:tcPr>
                  <w:tcW w:w="1077" w:type="dxa"/>
                  <w:vMerge w:val="continue"/>
                  <w:vAlign w:val="center"/>
                </w:tcPr>
                <w:p w14:paraId="1C7AD0A1">
                  <w:pPr>
                    <w:adjustRightInd/>
                    <w:snapToGrid/>
                    <w:spacing w:after="0"/>
                    <w:rPr>
                      <w:rFonts w:hint="default" w:ascii="Times New Roman" w:hAnsi="Times New Roman" w:eastAsia="宋体" w:cs="Times New Roman"/>
                      <w:color w:val="auto"/>
                      <w:sz w:val="21"/>
                      <w:szCs w:val="21"/>
                    </w:rPr>
                  </w:pPr>
                </w:p>
              </w:tc>
              <w:tc>
                <w:tcPr>
                  <w:tcW w:w="1074" w:type="dxa"/>
                  <w:shd w:val="clear" w:color="auto" w:fill="auto"/>
                  <w:vAlign w:val="center"/>
                </w:tcPr>
                <w:p w14:paraId="35A9E3D2">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第四次</w:t>
                  </w:r>
                </w:p>
              </w:tc>
              <w:tc>
                <w:tcPr>
                  <w:tcW w:w="1077" w:type="dxa"/>
                  <w:shd w:val="clear" w:color="auto" w:fill="auto"/>
                  <w:vAlign w:val="center"/>
                </w:tcPr>
                <w:p w14:paraId="71269F9C">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w:t>
                  </w:r>
                </w:p>
              </w:tc>
              <w:tc>
                <w:tcPr>
                  <w:tcW w:w="1077" w:type="dxa"/>
                  <w:shd w:val="clear" w:color="auto" w:fill="auto"/>
                  <w:vAlign w:val="center"/>
                </w:tcPr>
                <w:p w14:paraId="5A5A16A6">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16529</w:t>
                  </w:r>
                </w:p>
              </w:tc>
              <w:tc>
                <w:tcPr>
                  <w:tcW w:w="1077" w:type="dxa"/>
                  <w:shd w:val="clear" w:color="auto" w:fill="auto"/>
                  <w:vAlign w:val="center"/>
                </w:tcPr>
                <w:p w14:paraId="0BD044A1">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77" w:type="dxa"/>
                  <w:shd w:val="clear" w:color="auto" w:fill="auto"/>
                  <w:vAlign w:val="center"/>
                </w:tcPr>
                <w:p w14:paraId="08F09AD6">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74" w:type="dxa"/>
                  <w:shd w:val="clear" w:color="auto" w:fill="auto"/>
                  <w:vAlign w:val="center"/>
                </w:tcPr>
                <w:p w14:paraId="4864E01A">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5A4E5FA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107" w:type="dxa"/>
                  <w:vMerge w:val="continue"/>
                  <w:vAlign w:val="center"/>
                </w:tcPr>
                <w:p w14:paraId="23F24121">
                  <w:pPr>
                    <w:adjustRightInd/>
                    <w:snapToGrid/>
                    <w:spacing w:after="0"/>
                    <w:rPr>
                      <w:rFonts w:hint="default" w:ascii="Times New Roman" w:hAnsi="Times New Roman" w:eastAsia="宋体" w:cs="Times New Roman"/>
                      <w:color w:val="auto"/>
                      <w:sz w:val="21"/>
                      <w:szCs w:val="21"/>
                    </w:rPr>
                  </w:pPr>
                </w:p>
              </w:tc>
              <w:tc>
                <w:tcPr>
                  <w:tcW w:w="1077" w:type="dxa"/>
                  <w:vMerge w:val="continue"/>
                  <w:vAlign w:val="center"/>
                </w:tcPr>
                <w:p w14:paraId="12B46E88">
                  <w:pPr>
                    <w:adjustRightInd/>
                    <w:snapToGrid/>
                    <w:spacing w:after="0"/>
                    <w:rPr>
                      <w:rFonts w:hint="default" w:ascii="Times New Roman" w:hAnsi="Times New Roman" w:eastAsia="宋体" w:cs="Times New Roman"/>
                      <w:color w:val="auto"/>
                      <w:sz w:val="21"/>
                      <w:szCs w:val="21"/>
                    </w:rPr>
                  </w:pPr>
                </w:p>
              </w:tc>
              <w:tc>
                <w:tcPr>
                  <w:tcW w:w="1074" w:type="dxa"/>
                  <w:shd w:val="clear" w:color="auto" w:fill="auto"/>
                  <w:vAlign w:val="center"/>
                </w:tcPr>
                <w:p w14:paraId="0143F5A0">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第五次</w:t>
                  </w:r>
                </w:p>
              </w:tc>
              <w:tc>
                <w:tcPr>
                  <w:tcW w:w="1077" w:type="dxa"/>
                  <w:shd w:val="clear" w:color="auto" w:fill="auto"/>
                  <w:vAlign w:val="center"/>
                </w:tcPr>
                <w:p w14:paraId="0815A88A">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4.2</w:t>
                  </w:r>
                </w:p>
              </w:tc>
              <w:tc>
                <w:tcPr>
                  <w:tcW w:w="1077" w:type="dxa"/>
                  <w:shd w:val="clear" w:color="auto" w:fill="auto"/>
                  <w:vAlign w:val="center"/>
                </w:tcPr>
                <w:p w14:paraId="25B1B04C">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16864</w:t>
                  </w:r>
                </w:p>
              </w:tc>
              <w:tc>
                <w:tcPr>
                  <w:tcW w:w="1077" w:type="dxa"/>
                  <w:shd w:val="clear" w:color="auto" w:fill="auto"/>
                  <w:vAlign w:val="center"/>
                </w:tcPr>
                <w:p w14:paraId="3186950D">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77" w:type="dxa"/>
                  <w:shd w:val="clear" w:color="auto" w:fill="auto"/>
                  <w:vAlign w:val="center"/>
                </w:tcPr>
                <w:p w14:paraId="07A8A080">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74" w:type="dxa"/>
                  <w:shd w:val="clear" w:color="auto" w:fill="auto"/>
                  <w:vAlign w:val="center"/>
                </w:tcPr>
                <w:p w14:paraId="6B24E54F">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62887FD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107" w:type="dxa"/>
                  <w:vMerge w:val="continue"/>
                  <w:vAlign w:val="center"/>
                </w:tcPr>
                <w:p w14:paraId="5A4B2886">
                  <w:pPr>
                    <w:adjustRightInd/>
                    <w:snapToGrid/>
                    <w:spacing w:after="0"/>
                    <w:rPr>
                      <w:rFonts w:hint="default" w:ascii="Times New Roman" w:hAnsi="Times New Roman" w:eastAsia="宋体" w:cs="Times New Roman"/>
                      <w:color w:val="auto"/>
                      <w:sz w:val="21"/>
                      <w:szCs w:val="21"/>
                    </w:rPr>
                  </w:pPr>
                </w:p>
              </w:tc>
              <w:tc>
                <w:tcPr>
                  <w:tcW w:w="1077" w:type="dxa"/>
                  <w:vMerge w:val="continue"/>
                  <w:vAlign w:val="center"/>
                </w:tcPr>
                <w:p w14:paraId="16200F0B">
                  <w:pPr>
                    <w:adjustRightInd/>
                    <w:snapToGrid/>
                    <w:spacing w:after="0"/>
                    <w:rPr>
                      <w:rFonts w:hint="default" w:ascii="Times New Roman" w:hAnsi="Times New Roman" w:eastAsia="宋体" w:cs="Times New Roman"/>
                      <w:color w:val="auto"/>
                      <w:sz w:val="21"/>
                      <w:szCs w:val="21"/>
                    </w:rPr>
                  </w:pPr>
                </w:p>
              </w:tc>
              <w:tc>
                <w:tcPr>
                  <w:tcW w:w="1074" w:type="dxa"/>
                  <w:shd w:val="clear" w:color="auto" w:fill="auto"/>
                  <w:vAlign w:val="center"/>
                </w:tcPr>
                <w:p w14:paraId="5F9AE09E">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平均值</w:t>
                  </w:r>
                </w:p>
              </w:tc>
              <w:tc>
                <w:tcPr>
                  <w:tcW w:w="1077" w:type="dxa"/>
                  <w:shd w:val="clear" w:color="auto" w:fill="auto"/>
                  <w:vAlign w:val="center"/>
                </w:tcPr>
                <w:p w14:paraId="31EE7397">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w:t>
                  </w:r>
                </w:p>
              </w:tc>
              <w:tc>
                <w:tcPr>
                  <w:tcW w:w="1077" w:type="dxa"/>
                  <w:shd w:val="clear" w:color="auto" w:fill="auto"/>
                  <w:vAlign w:val="center"/>
                </w:tcPr>
                <w:p w14:paraId="64DCF1F2">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16596</w:t>
                  </w:r>
                </w:p>
              </w:tc>
              <w:tc>
                <w:tcPr>
                  <w:tcW w:w="1077" w:type="dxa"/>
                  <w:shd w:val="clear" w:color="auto" w:fill="auto"/>
                  <w:vAlign w:val="center"/>
                </w:tcPr>
                <w:p w14:paraId="1BF773B0">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77" w:type="dxa"/>
                  <w:shd w:val="clear" w:color="auto" w:fill="auto"/>
                  <w:vAlign w:val="center"/>
                </w:tcPr>
                <w:p w14:paraId="69046893">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74" w:type="dxa"/>
                  <w:shd w:val="clear" w:color="auto" w:fill="auto"/>
                  <w:vAlign w:val="center"/>
                </w:tcPr>
                <w:p w14:paraId="3AC1CF98">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5B28758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107" w:type="dxa"/>
                  <w:vMerge w:val="restart"/>
                  <w:shd w:val="clear" w:color="auto" w:fill="auto"/>
                  <w:vAlign w:val="center"/>
                </w:tcPr>
                <w:p w14:paraId="1880F3D7">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2024.10.23</w:t>
                  </w:r>
                </w:p>
              </w:tc>
              <w:tc>
                <w:tcPr>
                  <w:tcW w:w="1077" w:type="dxa"/>
                  <w:vMerge w:val="restart"/>
                  <w:shd w:val="clear" w:color="auto" w:fill="auto"/>
                  <w:vAlign w:val="center"/>
                </w:tcPr>
                <w:p w14:paraId="05C2CD23">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FQ-1</w:t>
                  </w:r>
                </w:p>
                <w:p w14:paraId="1B92605A">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出口</w:t>
                  </w:r>
                </w:p>
              </w:tc>
              <w:tc>
                <w:tcPr>
                  <w:tcW w:w="1074" w:type="dxa"/>
                  <w:shd w:val="clear" w:color="auto" w:fill="auto"/>
                  <w:vAlign w:val="center"/>
                </w:tcPr>
                <w:p w14:paraId="21C5BC9B">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第一次</w:t>
                  </w:r>
                </w:p>
              </w:tc>
              <w:tc>
                <w:tcPr>
                  <w:tcW w:w="1077" w:type="dxa"/>
                  <w:shd w:val="clear" w:color="auto" w:fill="auto"/>
                  <w:vAlign w:val="center"/>
                </w:tcPr>
                <w:p w14:paraId="5B473DC9">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0.4</w:t>
                  </w:r>
                </w:p>
              </w:tc>
              <w:tc>
                <w:tcPr>
                  <w:tcW w:w="1077" w:type="dxa"/>
                  <w:shd w:val="clear" w:color="auto" w:fill="auto"/>
                  <w:vAlign w:val="center"/>
                </w:tcPr>
                <w:p w14:paraId="3DA7C8DC">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15074</w:t>
                  </w:r>
                </w:p>
              </w:tc>
              <w:tc>
                <w:tcPr>
                  <w:tcW w:w="1077" w:type="dxa"/>
                  <w:shd w:val="clear" w:color="auto" w:fill="auto"/>
                  <w:vAlign w:val="center"/>
                </w:tcPr>
                <w:p w14:paraId="361D3F44">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c>
                <w:tcPr>
                  <w:tcW w:w="1077" w:type="dxa"/>
                  <w:shd w:val="clear" w:color="auto" w:fill="auto"/>
                  <w:vAlign w:val="center"/>
                </w:tcPr>
                <w:p w14:paraId="4E0C1E50">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1074" w:type="dxa"/>
                  <w:shd w:val="clear" w:color="auto" w:fill="auto"/>
                  <w:vAlign w:val="center"/>
                </w:tcPr>
                <w:p w14:paraId="51EEEB72">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4FDAEE7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107" w:type="dxa"/>
                  <w:vMerge w:val="continue"/>
                  <w:vAlign w:val="center"/>
                </w:tcPr>
                <w:p w14:paraId="590CFBB4">
                  <w:pPr>
                    <w:adjustRightInd/>
                    <w:snapToGrid/>
                    <w:spacing w:after="0"/>
                    <w:rPr>
                      <w:rFonts w:hint="default" w:ascii="Times New Roman" w:hAnsi="Times New Roman" w:eastAsia="宋体" w:cs="Times New Roman"/>
                      <w:color w:val="auto"/>
                      <w:sz w:val="21"/>
                      <w:szCs w:val="21"/>
                    </w:rPr>
                  </w:pPr>
                </w:p>
              </w:tc>
              <w:tc>
                <w:tcPr>
                  <w:tcW w:w="1077" w:type="dxa"/>
                  <w:vMerge w:val="continue"/>
                  <w:vAlign w:val="center"/>
                </w:tcPr>
                <w:p w14:paraId="68A5F4A2">
                  <w:pPr>
                    <w:adjustRightInd/>
                    <w:snapToGrid/>
                    <w:spacing w:after="0"/>
                    <w:rPr>
                      <w:rFonts w:hint="default" w:ascii="Times New Roman" w:hAnsi="Times New Roman" w:eastAsia="宋体" w:cs="Times New Roman"/>
                      <w:color w:val="auto"/>
                      <w:sz w:val="21"/>
                      <w:szCs w:val="21"/>
                    </w:rPr>
                  </w:pPr>
                </w:p>
              </w:tc>
              <w:tc>
                <w:tcPr>
                  <w:tcW w:w="1074" w:type="dxa"/>
                  <w:shd w:val="clear" w:color="auto" w:fill="auto"/>
                  <w:vAlign w:val="center"/>
                </w:tcPr>
                <w:p w14:paraId="647ABA44">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第二次</w:t>
                  </w:r>
                </w:p>
              </w:tc>
              <w:tc>
                <w:tcPr>
                  <w:tcW w:w="1077" w:type="dxa"/>
                  <w:shd w:val="clear" w:color="auto" w:fill="auto"/>
                  <w:vAlign w:val="center"/>
                </w:tcPr>
                <w:p w14:paraId="12FC3157">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0.4</w:t>
                  </w:r>
                </w:p>
              </w:tc>
              <w:tc>
                <w:tcPr>
                  <w:tcW w:w="1077" w:type="dxa"/>
                  <w:shd w:val="clear" w:color="auto" w:fill="auto"/>
                  <w:vAlign w:val="center"/>
                </w:tcPr>
                <w:p w14:paraId="146843AE">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14778</w:t>
                  </w:r>
                </w:p>
              </w:tc>
              <w:tc>
                <w:tcPr>
                  <w:tcW w:w="1077" w:type="dxa"/>
                  <w:shd w:val="clear" w:color="auto" w:fill="auto"/>
                  <w:vAlign w:val="center"/>
                </w:tcPr>
                <w:p w14:paraId="04F6D27C">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c>
                <w:tcPr>
                  <w:tcW w:w="1077" w:type="dxa"/>
                  <w:shd w:val="clear" w:color="auto" w:fill="auto"/>
                </w:tcPr>
                <w:p w14:paraId="2B7B91AE">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1074" w:type="dxa"/>
                  <w:shd w:val="clear" w:color="auto" w:fill="auto"/>
                  <w:vAlign w:val="center"/>
                </w:tcPr>
                <w:p w14:paraId="28A53AB5">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14DEC98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107" w:type="dxa"/>
                  <w:vMerge w:val="continue"/>
                  <w:vAlign w:val="center"/>
                </w:tcPr>
                <w:p w14:paraId="5F01027C">
                  <w:pPr>
                    <w:adjustRightInd/>
                    <w:snapToGrid/>
                    <w:spacing w:after="0"/>
                    <w:rPr>
                      <w:rFonts w:hint="default" w:ascii="Times New Roman" w:hAnsi="Times New Roman" w:eastAsia="宋体" w:cs="Times New Roman"/>
                      <w:color w:val="auto"/>
                      <w:sz w:val="21"/>
                      <w:szCs w:val="21"/>
                    </w:rPr>
                  </w:pPr>
                </w:p>
              </w:tc>
              <w:tc>
                <w:tcPr>
                  <w:tcW w:w="1077" w:type="dxa"/>
                  <w:vMerge w:val="continue"/>
                  <w:vAlign w:val="center"/>
                </w:tcPr>
                <w:p w14:paraId="264BDB42">
                  <w:pPr>
                    <w:adjustRightInd/>
                    <w:snapToGrid/>
                    <w:spacing w:after="0"/>
                    <w:rPr>
                      <w:rFonts w:hint="default" w:ascii="Times New Roman" w:hAnsi="Times New Roman" w:eastAsia="宋体" w:cs="Times New Roman"/>
                      <w:color w:val="auto"/>
                      <w:sz w:val="21"/>
                      <w:szCs w:val="21"/>
                    </w:rPr>
                  </w:pPr>
                </w:p>
              </w:tc>
              <w:tc>
                <w:tcPr>
                  <w:tcW w:w="1074" w:type="dxa"/>
                  <w:shd w:val="clear" w:color="auto" w:fill="auto"/>
                  <w:vAlign w:val="center"/>
                </w:tcPr>
                <w:p w14:paraId="21CF2BDA">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第三次</w:t>
                  </w:r>
                </w:p>
              </w:tc>
              <w:tc>
                <w:tcPr>
                  <w:tcW w:w="1077" w:type="dxa"/>
                  <w:shd w:val="clear" w:color="auto" w:fill="auto"/>
                  <w:vAlign w:val="center"/>
                </w:tcPr>
                <w:p w14:paraId="4B84D4EC">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c>
                <w:tcPr>
                  <w:tcW w:w="1077" w:type="dxa"/>
                  <w:shd w:val="clear" w:color="auto" w:fill="auto"/>
                  <w:vAlign w:val="center"/>
                </w:tcPr>
                <w:p w14:paraId="673353DF">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14483</w:t>
                  </w:r>
                </w:p>
              </w:tc>
              <w:tc>
                <w:tcPr>
                  <w:tcW w:w="1077" w:type="dxa"/>
                  <w:shd w:val="clear" w:color="auto" w:fill="auto"/>
                  <w:vAlign w:val="center"/>
                </w:tcPr>
                <w:p w14:paraId="67CB55BC">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0.6</w:t>
                  </w:r>
                </w:p>
              </w:tc>
              <w:tc>
                <w:tcPr>
                  <w:tcW w:w="1077" w:type="dxa"/>
                  <w:shd w:val="clear" w:color="auto" w:fill="auto"/>
                </w:tcPr>
                <w:p w14:paraId="41F6F3AC">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1074" w:type="dxa"/>
                  <w:shd w:val="clear" w:color="auto" w:fill="auto"/>
                  <w:vAlign w:val="center"/>
                </w:tcPr>
                <w:p w14:paraId="0F43A304">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7DF55A1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107" w:type="dxa"/>
                  <w:vMerge w:val="continue"/>
                  <w:vAlign w:val="center"/>
                </w:tcPr>
                <w:p w14:paraId="7E248766">
                  <w:pPr>
                    <w:adjustRightInd/>
                    <w:snapToGrid/>
                    <w:spacing w:after="0"/>
                    <w:rPr>
                      <w:rFonts w:hint="default" w:ascii="Times New Roman" w:hAnsi="Times New Roman" w:eastAsia="宋体" w:cs="Times New Roman"/>
                      <w:color w:val="auto"/>
                      <w:sz w:val="21"/>
                      <w:szCs w:val="21"/>
                    </w:rPr>
                  </w:pPr>
                </w:p>
              </w:tc>
              <w:tc>
                <w:tcPr>
                  <w:tcW w:w="1077" w:type="dxa"/>
                  <w:vMerge w:val="continue"/>
                  <w:vAlign w:val="center"/>
                </w:tcPr>
                <w:p w14:paraId="19DE5739">
                  <w:pPr>
                    <w:adjustRightInd/>
                    <w:snapToGrid/>
                    <w:spacing w:after="0"/>
                    <w:rPr>
                      <w:rFonts w:hint="default" w:ascii="Times New Roman" w:hAnsi="Times New Roman" w:eastAsia="宋体" w:cs="Times New Roman"/>
                      <w:color w:val="auto"/>
                      <w:sz w:val="21"/>
                      <w:szCs w:val="21"/>
                    </w:rPr>
                  </w:pPr>
                </w:p>
              </w:tc>
              <w:tc>
                <w:tcPr>
                  <w:tcW w:w="1074" w:type="dxa"/>
                  <w:shd w:val="clear" w:color="auto" w:fill="auto"/>
                  <w:vAlign w:val="center"/>
                </w:tcPr>
                <w:p w14:paraId="79068216">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第四次</w:t>
                  </w:r>
                </w:p>
              </w:tc>
              <w:tc>
                <w:tcPr>
                  <w:tcW w:w="1077" w:type="dxa"/>
                  <w:shd w:val="clear" w:color="auto" w:fill="auto"/>
                  <w:vAlign w:val="center"/>
                </w:tcPr>
                <w:p w14:paraId="64067C45">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c>
                <w:tcPr>
                  <w:tcW w:w="1077" w:type="dxa"/>
                  <w:shd w:val="clear" w:color="auto" w:fill="auto"/>
                  <w:vAlign w:val="center"/>
                </w:tcPr>
                <w:p w14:paraId="090C14EA">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14187</w:t>
                  </w:r>
                </w:p>
              </w:tc>
              <w:tc>
                <w:tcPr>
                  <w:tcW w:w="1077" w:type="dxa"/>
                  <w:shd w:val="clear" w:color="auto" w:fill="auto"/>
                  <w:vAlign w:val="center"/>
                </w:tcPr>
                <w:p w14:paraId="70915BEB">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0.6</w:t>
                  </w:r>
                </w:p>
              </w:tc>
              <w:tc>
                <w:tcPr>
                  <w:tcW w:w="1077" w:type="dxa"/>
                  <w:shd w:val="clear" w:color="auto" w:fill="auto"/>
                </w:tcPr>
                <w:p w14:paraId="01ACFA26">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1074" w:type="dxa"/>
                  <w:shd w:val="clear" w:color="auto" w:fill="auto"/>
                  <w:vAlign w:val="center"/>
                </w:tcPr>
                <w:p w14:paraId="42E2DA0D">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6BB6FC7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107" w:type="dxa"/>
                  <w:vMerge w:val="continue"/>
                  <w:vAlign w:val="center"/>
                </w:tcPr>
                <w:p w14:paraId="6E0D908D">
                  <w:pPr>
                    <w:adjustRightInd/>
                    <w:snapToGrid/>
                    <w:spacing w:after="0"/>
                    <w:rPr>
                      <w:rFonts w:hint="default" w:ascii="Times New Roman" w:hAnsi="Times New Roman" w:eastAsia="宋体" w:cs="Times New Roman"/>
                      <w:color w:val="auto"/>
                      <w:sz w:val="21"/>
                      <w:szCs w:val="21"/>
                    </w:rPr>
                  </w:pPr>
                </w:p>
              </w:tc>
              <w:tc>
                <w:tcPr>
                  <w:tcW w:w="1077" w:type="dxa"/>
                  <w:vMerge w:val="continue"/>
                  <w:vAlign w:val="center"/>
                </w:tcPr>
                <w:p w14:paraId="70FFCB89">
                  <w:pPr>
                    <w:adjustRightInd/>
                    <w:snapToGrid/>
                    <w:spacing w:after="0"/>
                    <w:rPr>
                      <w:rFonts w:hint="default" w:ascii="Times New Roman" w:hAnsi="Times New Roman" w:eastAsia="宋体" w:cs="Times New Roman"/>
                      <w:color w:val="auto"/>
                      <w:sz w:val="21"/>
                      <w:szCs w:val="21"/>
                    </w:rPr>
                  </w:pPr>
                </w:p>
              </w:tc>
              <w:tc>
                <w:tcPr>
                  <w:tcW w:w="1074" w:type="dxa"/>
                  <w:shd w:val="clear" w:color="auto" w:fill="auto"/>
                  <w:vAlign w:val="center"/>
                </w:tcPr>
                <w:p w14:paraId="4610318B">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第五次</w:t>
                  </w:r>
                </w:p>
              </w:tc>
              <w:tc>
                <w:tcPr>
                  <w:tcW w:w="1077" w:type="dxa"/>
                  <w:shd w:val="clear" w:color="auto" w:fill="auto"/>
                  <w:vAlign w:val="center"/>
                </w:tcPr>
                <w:p w14:paraId="0572C03B">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w:t>
                  </w:r>
                </w:p>
              </w:tc>
              <w:tc>
                <w:tcPr>
                  <w:tcW w:w="1077" w:type="dxa"/>
                  <w:shd w:val="clear" w:color="auto" w:fill="auto"/>
                  <w:vAlign w:val="center"/>
                </w:tcPr>
                <w:p w14:paraId="4ACB39AE">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14867</w:t>
                  </w:r>
                </w:p>
              </w:tc>
              <w:tc>
                <w:tcPr>
                  <w:tcW w:w="1077" w:type="dxa"/>
                  <w:shd w:val="clear" w:color="auto" w:fill="auto"/>
                  <w:vAlign w:val="center"/>
                </w:tcPr>
                <w:p w14:paraId="1FD75C76">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0.4</w:t>
                  </w:r>
                </w:p>
              </w:tc>
              <w:tc>
                <w:tcPr>
                  <w:tcW w:w="1077" w:type="dxa"/>
                  <w:shd w:val="clear" w:color="auto" w:fill="auto"/>
                </w:tcPr>
                <w:p w14:paraId="5C50146B">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1074" w:type="dxa"/>
                  <w:shd w:val="clear" w:color="auto" w:fill="auto"/>
                  <w:vAlign w:val="center"/>
                </w:tcPr>
                <w:p w14:paraId="11AD2D58">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7176D5E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107" w:type="dxa"/>
                  <w:vMerge w:val="continue"/>
                  <w:vAlign w:val="center"/>
                </w:tcPr>
                <w:p w14:paraId="25E86A31">
                  <w:pPr>
                    <w:adjustRightInd/>
                    <w:snapToGrid/>
                    <w:spacing w:after="0"/>
                    <w:rPr>
                      <w:rFonts w:hint="default" w:ascii="Times New Roman" w:hAnsi="Times New Roman" w:eastAsia="宋体" w:cs="Times New Roman"/>
                      <w:color w:val="auto"/>
                      <w:sz w:val="21"/>
                      <w:szCs w:val="21"/>
                    </w:rPr>
                  </w:pPr>
                </w:p>
              </w:tc>
              <w:tc>
                <w:tcPr>
                  <w:tcW w:w="1077" w:type="dxa"/>
                  <w:vMerge w:val="continue"/>
                  <w:vAlign w:val="center"/>
                </w:tcPr>
                <w:p w14:paraId="6F16032C">
                  <w:pPr>
                    <w:adjustRightInd/>
                    <w:snapToGrid/>
                    <w:spacing w:after="0"/>
                    <w:rPr>
                      <w:rFonts w:hint="default" w:ascii="Times New Roman" w:hAnsi="Times New Roman" w:eastAsia="宋体" w:cs="Times New Roman"/>
                      <w:color w:val="auto"/>
                      <w:sz w:val="21"/>
                      <w:szCs w:val="21"/>
                    </w:rPr>
                  </w:pPr>
                </w:p>
              </w:tc>
              <w:tc>
                <w:tcPr>
                  <w:tcW w:w="1074" w:type="dxa"/>
                  <w:shd w:val="clear" w:color="auto" w:fill="auto"/>
                  <w:vAlign w:val="center"/>
                </w:tcPr>
                <w:p w14:paraId="4EBC7F50">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平均值</w:t>
                  </w:r>
                </w:p>
              </w:tc>
              <w:tc>
                <w:tcPr>
                  <w:tcW w:w="1077" w:type="dxa"/>
                  <w:shd w:val="clear" w:color="auto" w:fill="auto"/>
                  <w:vAlign w:val="center"/>
                </w:tcPr>
                <w:p w14:paraId="5D3731CC">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0.4</w:t>
                  </w:r>
                </w:p>
              </w:tc>
              <w:tc>
                <w:tcPr>
                  <w:tcW w:w="1077" w:type="dxa"/>
                  <w:shd w:val="clear" w:color="auto" w:fill="auto"/>
                  <w:vAlign w:val="center"/>
                </w:tcPr>
                <w:p w14:paraId="60FB8BFE">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14678</w:t>
                  </w:r>
                </w:p>
              </w:tc>
              <w:tc>
                <w:tcPr>
                  <w:tcW w:w="1077" w:type="dxa"/>
                  <w:shd w:val="clear" w:color="auto" w:fill="auto"/>
                  <w:vAlign w:val="center"/>
                </w:tcPr>
                <w:p w14:paraId="608FD4D3">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c>
                <w:tcPr>
                  <w:tcW w:w="1077" w:type="dxa"/>
                  <w:shd w:val="clear" w:color="auto" w:fill="auto"/>
                </w:tcPr>
                <w:p w14:paraId="1F87A387">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1074" w:type="dxa"/>
                  <w:shd w:val="clear" w:color="auto" w:fill="auto"/>
                  <w:vAlign w:val="center"/>
                </w:tcPr>
                <w:p w14:paraId="4775A865">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087A332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107" w:type="dxa"/>
                  <w:vMerge w:val="restart"/>
                  <w:shd w:val="clear" w:color="auto" w:fill="auto"/>
                  <w:vAlign w:val="center"/>
                </w:tcPr>
                <w:p w14:paraId="2AFFD77D">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2024.10.23</w:t>
                  </w:r>
                </w:p>
              </w:tc>
              <w:tc>
                <w:tcPr>
                  <w:tcW w:w="1077" w:type="dxa"/>
                  <w:vMerge w:val="restart"/>
                  <w:shd w:val="clear" w:color="auto" w:fill="auto"/>
                  <w:vAlign w:val="center"/>
                </w:tcPr>
                <w:p w14:paraId="64C15113">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FQ-2</w:t>
                  </w:r>
                </w:p>
                <w:p w14:paraId="175E0717">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出口</w:t>
                  </w:r>
                </w:p>
              </w:tc>
              <w:tc>
                <w:tcPr>
                  <w:tcW w:w="1074" w:type="dxa"/>
                  <w:shd w:val="clear" w:color="auto" w:fill="auto"/>
                  <w:vAlign w:val="center"/>
                </w:tcPr>
                <w:p w14:paraId="11944B23">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第一次</w:t>
                  </w:r>
                </w:p>
              </w:tc>
              <w:tc>
                <w:tcPr>
                  <w:tcW w:w="1077" w:type="dxa"/>
                  <w:shd w:val="clear" w:color="auto" w:fill="auto"/>
                  <w:vAlign w:val="center"/>
                </w:tcPr>
                <w:p w14:paraId="7DAE9085">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0.4</w:t>
                  </w:r>
                </w:p>
              </w:tc>
              <w:tc>
                <w:tcPr>
                  <w:tcW w:w="1077" w:type="dxa"/>
                  <w:shd w:val="clear" w:color="auto" w:fill="auto"/>
                  <w:vAlign w:val="center"/>
                </w:tcPr>
                <w:p w14:paraId="4A20950C">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8393</w:t>
                  </w:r>
                </w:p>
              </w:tc>
              <w:tc>
                <w:tcPr>
                  <w:tcW w:w="1077" w:type="dxa"/>
                  <w:shd w:val="clear" w:color="auto" w:fill="auto"/>
                  <w:vAlign w:val="center"/>
                </w:tcPr>
                <w:p w14:paraId="4A70FF69">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0.7</w:t>
                  </w:r>
                </w:p>
              </w:tc>
              <w:tc>
                <w:tcPr>
                  <w:tcW w:w="1077" w:type="dxa"/>
                  <w:shd w:val="clear" w:color="auto" w:fill="auto"/>
                  <w:vAlign w:val="center"/>
                </w:tcPr>
                <w:p w14:paraId="5D248FA1">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1074" w:type="dxa"/>
                  <w:shd w:val="clear" w:color="auto" w:fill="auto"/>
                  <w:vAlign w:val="center"/>
                </w:tcPr>
                <w:p w14:paraId="42186E23">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1194B33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107" w:type="dxa"/>
                  <w:vMerge w:val="continue"/>
                  <w:vAlign w:val="center"/>
                </w:tcPr>
                <w:p w14:paraId="4A6A4E5C">
                  <w:pPr>
                    <w:adjustRightInd/>
                    <w:snapToGrid/>
                    <w:spacing w:after="0"/>
                    <w:rPr>
                      <w:rFonts w:hint="default" w:ascii="Times New Roman" w:hAnsi="Times New Roman" w:eastAsia="宋体" w:cs="Times New Roman"/>
                      <w:color w:val="auto"/>
                      <w:sz w:val="21"/>
                      <w:szCs w:val="21"/>
                    </w:rPr>
                  </w:pPr>
                </w:p>
              </w:tc>
              <w:tc>
                <w:tcPr>
                  <w:tcW w:w="1077" w:type="dxa"/>
                  <w:vMerge w:val="continue"/>
                  <w:vAlign w:val="center"/>
                </w:tcPr>
                <w:p w14:paraId="4A06B867">
                  <w:pPr>
                    <w:adjustRightInd/>
                    <w:snapToGrid/>
                    <w:spacing w:after="0"/>
                    <w:rPr>
                      <w:rFonts w:hint="default" w:ascii="Times New Roman" w:hAnsi="Times New Roman" w:eastAsia="宋体" w:cs="Times New Roman"/>
                      <w:color w:val="auto"/>
                      <w:sz w:val="21"/>
                      <w:szCs w:val="21"/>
                    </w:rPr>
                  </w:pPr>
                </w:p>
              </w:tc>
              <w:tc>
                <w:tcPr>
                  <w:tcW w:w="1074" w:type="dxa"/>
                  <w:shd w:val="clear" w:color="auto" w:fill="auto"/>
                  <w:vAlign w:val="center"/>
                </w:tcPr>
                <w:p w14:paraId="042B3F53">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第二次</w:t>
                  </w:r>
                </w:p>
              </w:tc>
              <w:tc>
                <w:tcPr>
                  <w:tcW w:w="1077" w:type="dxa"/>
                  <w:shd w:val="clear" w:color="auto" w:fill="auto"/>
                  <w:vAlign w:val="center"/>
                </w:tcPr>
                <w:p w14:paraId="00982175">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w:t>
                  </w:r>
                </w:p>
              </w:tc>
              <w:tc>
                <w:tcPr>
                  <w:tcW w:w="1077" w:type="dxa"/>
                  <w:shd w:val="clear" w:color="auto" w:fill="auto"/>
                  <w:vAlign w:val="center"/>
                </w:tcPr>
                <w:p w14:paraId="3E621656">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8716</w:t>
                  </w:r>
                </w:p>
              </w:tc>
              <w:tc>
                <w:tcPr>
                  <w:tcW w:w="1077" w:type="dxa"/>
                  <w:shd w:val="clear" w:color="auto" w:fill="auto"/>
                  <w:vAlign w:val="center"/>
                </w:tcPr>
                <w:p w14:paraId="4B5B01B2">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w:t>
                  </w:r>
                </w:p>
              </w:tc>
              <w:tc>
                <w:tcPr>
                  <w:tcW w:w="1077" w:type="dxa"/>
                  <w:shd w:val="clear" w:color="auto" w:fill="auto"/>
                </w:tcPr>
                <w:p w14:paraId="2E43DFB3">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1074" w:type="dxa"/>
                  <w:shd w:val="clear" w:color="auto" w:fill="auto"/>
                  <w:vAlign w:val="center"/>
                </w:tcPr>
                <w:p w14:paraId="244B9AEF">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28C83F5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107" w:type="dxa"/>
                  <w:vMerge w:val="continue"/>
                  <w:vAlign w:val="center"/>
                </w:tcPr>
                <w:p w14:paraId="336E1F76">
                  <w:pPr>
                    <w:adjustRightInd/>
                    <w:snapToGrid/>
                    <w:spacing w:after="0"/>
                    <w:rPr>
                      <w:rFonts w:hint="default" w:ascii="Times New Roman" w:hAnsi="Times New Roman" w:eastAsia="宋体" w:cs="Times New Roman"/>
                      <w:color w:val="auto"/>
                      <w:sz w:val="21"/>
                      <w:szCs w:val="21"/>
                    </w:rPr>
                  </w:pPr>
                </w:p>
              </w:tc>
              <w:tc>
                <w:tcPr>
                  <w:tcW w:w="1077" w:type="dxa"/>
                  <w:vMerge w:val="continue"/>
                  <w:vAlign w:val="center"/>
                </w:tcPr>
                <w:p w14:paraId="5D54C2EA">
                  <w:pPr>
                    <w:adjustRightInd/>
                    <w:snapToGrid/>
                    <w:spacing w:after="0"/>
                    <w:rPr>
                      <w:rFonts w:hint="default" w:ascii="Times New Roman" w:hAnsi="Times New Roman" w:eastAsia="宋体" w:cs="Times New Roman"/>
                      <w:color w:val="auto"/>
                      <w:sz w:val="21"/>
                      <w:szCs w:val="21"/>
                    </w:rPr>
                  </w:pPr>
                </w:p>
              </w:tc>
              <w:tc>
                <w:tcPr>
                  <w:tcW w:w="1074" w:type="dxa"/>
                  <w:shd w:val="clear" w:color="auto" w:fill="auto"/>
                  <w:vAlign w:val="center"/>
                </w:tcPr>
                <w:p w14:paraId="3E83CA59">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第三次</w:t>
                  </w:r>
                </w:p>
              </w:tc>
              <w:tc>
                <w:tcPr>
                  <w:tcW w:w="1077" w:type="dxa"/>
                  <w:shd w:val="clear" w:color="auto" w:fill="auto"/>
                  <w:vAlign w:val="center"/>
                </w:tcPr>
                <w:p w14:paraId="774340D8">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w:t>
                  </w:r>
                </w:p>
              </w:tc>
              <w:tc>
                <w:tcPr>
                  <w:tcW w:w="1077" w:type="dxa"/>
                  <w:shd w:val="clear" w:color="auto" w:fill="auto"/>
                  <w:vAlign w:val="center"/>
                </w:tcPr>
                <w:p w14:paraId="77362655">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8555</w:t>
                  </w:r>
                </w:p>
              </w:tc>
              <w:tc>
                <w:tcPr>
                  <w:tcW w:w="1077" w:type="dxa"/>
                  <w:shd w:val="clear" w:color="auto" w:fill="auto"/>
                  <w:vAlign w:val="center"/>
                </w:tcPr>
                <w:p w14:paraId="14E4B63F">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c>
                <w:tcPr>
                  <w:tcW w:w="1077" w:type="dxa"/>
                  <w:shd w:val="clear" w:color="auto" w:fill="auto"/>
                </w:tcPr>
                <w:p w14:paraId="55FE40F3">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1074" w:type="dxa"/>
                  <w:shd w:val="clear" w:color="auto" w:fill="auto"/>
                  <w:vAlign w:val="center"/>
                </w:tcPr>
                <w:p w14:paraId="4B29D25F">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6D8BD30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107" w:type="dxa"/>
                  <w:vMerge w:val="continue"/>
                  <w:vAlign w:val="center"/>
                </w:tcPr>
                <w:p w14:paraId="46FAE713">
                  <w:pPr>
                    <w:adjustRightInd/>
                    <w:snapToGrid/>
                    <w:spacing w:after="0"/>
                    <w:rPr>
                      <w:rFonts w:hint="default" w:ascii="Times New Roman" w:hAnsi="Times New Roman" w:eastAsia="宋体" w:cs="Times New Roman"/>
                      <w:color w:val="auto"/>
                      <w:sz w:val="21"/>
                      <w:szCs w:val="21"/>
                    </w:rPr>
                  </w:pPr>
                </w:p>
              </w:tc>
              <w:tc>
                <w:tcPr>
                  <w:tcW w:w="1077" w:type="dxa"/>
                  <w:vMerge w:val="continue"/>
                  <w:vAlign w:val="center"/>
                </w:tcPr>
                <w:p w14:paraId="2A391040">
                  <w:pPr>
                    <w:adjustRightInd/>
                    <w:snapToGrid/>
                    <w:spacing w:after="0"/>
                    <w:rPr>
                      <w:rFonts w:hint="default" w:ascii="Times New Roman" w:hAnsi="Times New Roman" w:eastAsia="宋体" w:cs="Times New Roman"/>
                      <w:color w:val="auto"/>
                      <w:sz w:val="21"/>
                      <w:szCs w:val="21"/>
                    </w:rPr>
                  </w:pPr>
                </w:p>
              </w:tc>
              <w:tc>
                <w:tcPr>
                  <w:tcW w:w="1074" w:type="dxa"/>
                  <w:shd w:val="clear" w:color="auto" w:fill="auto"/>
                  <w:vAlign w:val="center"/>
                </w:tcPr>
                <w:p w14:paraId="6582190F">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第四次</w:t>
                  </w:r>
                </w:p>
              </w:tc>
              <w:tc>
                <w:tcPr>
                  <w:tcW w:w="1077" w:type="dxa"/>
                  <w:shd w:val="clear" w:color="auto" w:fill="auto"/>
                  <w:vAlign w:val="center"/>
                </w:tcPr>
                <w:p w14:paraId="6E65ACE7">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w:t>
                  </w:r>
                </w:p>
              </w:tc>
              <w:tc>
                <w:tcPr>
                  <w:tcW w:w="1077" w:type="dxa"/>
                  <w:shd w:val="clear" w:color="auto" w:fill="auto"/>
                  <w:vAlign w:val="center"/>
                </w:tcPr>
                <w:p w14:paraId="241EDD68">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9362</w:t>
                  </w:r>
                </w:p>
              </w:tc>
              <w:tc>
                <w:tcPr>
                  <w:tcW w:w="1077" w:type="dxa"/>
                  <w:shd w:val="clear" w:color="auto" w:fill="auto"/>
                  <w:vAlign w:val="center"/>
                </w:tcPr>
                <w:p w14:paraId="16500F58">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0.6</w:t>
                  </w:r>
                </w:p>
              </w:tc>
              <w:tc>
                <w:tcPr>
                  <w:tcW w:w="1077" w:type="dxa"/>
                  <w:shd w:val="clear" w:color="auto" w:fill="auto"/>
                </w:tcPr>
                <w:p w14:paraId="65459F02">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1074" w:type="dxa"/>
                  <w:shd w:val="clear" w:color="auto" w:fill="auto"/>
                  <w:vAlign w:val="center"/>
                </w:tcPr>
                <w:p w14:paraId="2B0BDC88">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080AC4C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107" w:type="dxa"/>
                  <w:vMerge w:val="continue"/>
                  <w:vAlign w:val="center"/>
                </w:tcPr>
                <w:p w14:paraId="7CE9E55C">
                  <w:pPr>
                    <w:adjustRightInd/>
                    <w:snapToGrid/>
                    <w:spacing w:after="0"/>
                    <w:rPr>
                      <w:rFonts w:hint="default" w:ascii="Times New Roman" w:hAnsi="Times New Roman" w:eastAsia="宋体" w:cs="Times New Roman"/>
                      <w:color w:val="auto"/>
                      <w:sz w:val="21"/>
                      <w:szCs w:val="21"/>
                    </w:rPr>
                  </w:pPr>
                </w:p>
              </w:tc>
              <w:tc>
                <w:tcPr>
                  <w:tcW w:w="1077" w:type="dxa"/>
                  <w:vMerge w:val="continue"/>
                  <w:vAlign w:val="center"/>
                </w:tcPr>
                <w:p w14:paraId="16322A85">
                  <w:pPr>
                    <w:adjustRightInd/>
                    <w:snapToGrid/>
                    <w:spacing w:after="0"/>
                    <w:rPr>
                      <w:rFonts w:hint="default" w:ascii="Times New Roman" w:hAnsi="Times New Roman" w:eastAsia="宋体" w:cs="Times New Roman"/>
                      <w:color w:val="auto"/>
                      <w:sz w:val="21"/>
                      <w:szCs w:val="21"/>
                    </w:rPr>
                  </w:pPr>
                </w:p>
              </w:tc>
              <w:tc>
                <w:tcPr>
                  <w:tcW w:w="1074" w:type="dxa"/>
                  <w:shd w:val="clear" w:color="auto" w:fill="auto"/>
                  <w:vAlign w:val="center"/>
                </w:tcPr>
                <w:p w14:paraId="6202EE7A">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第五次</w:t>
                  </w:r>
                </w:p>
              </w:tc>
              <w:tc>
                <w:tcPr>
                  <w:tcW w:w="1077" w:type="dxa"/>
                  <w:shd w:val="clear" w:color="auto" w:fill="auto"/>
                  <w:vAlign w:val="center"/>
                </w:tcPr>
                <w:p w14:paraId="64CF1E4E">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w:t>
                  </w:r>
                </w:p>
              </w:tc>
              <w:tc>
                <w:tcPr>
                  <w:tcW w:w="1077" w:type="dxa"/>
                  <w:shd w:val="clear" w:color="auto" w:fill="auto"/>
                  <w:vAlign w:val="center"/>
                </w:tcPr>
                <w:p w14:paraId="3629EACD">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8232</w:t>
                  </w:r>
                </w:p>
              </w:tc>
              <w:tc>
                <w:tcPr>
                  <w:tcW w:w="1077" w:type="dxa"/>
                  <w:shd w:val="clear" w:color="auto" w:fill="auto"/>
                  <w:vAlign w:val="center"/>
                </w:tcPr>
                <w:p w14:paraId="584CA145">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c>
                <w:tcPr>
                  <w:tcW w:w="1077" w:type="dxa"/>
                  <w:shd w:val="clear" w:color="auto" w:fill="auto"/>
                </w:tcPr>
                <w:p w14:paraId="21B6FC56">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1074" w:type="dxa"/>
                  <w:shd w:val="clear" w:color="auto" w:fill="auto"/>
                  <w:vAlign w:val="center"/>
                </w:tcPr>
                <w:p w14:paraId="62808B71">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26A6EE9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107" w:type="dxa"/>
                  <w:vMerge w:val="continue"/>
                  <w:vAlign w:val="center"/>
                </w:tcPr>
                <w:p w14:paraId="0955CA9A">
                  <w:pPr>
                    <w:adjustRightInd/>
                    <w:snapToGrid/>
                    <w:spacing w:after="0"/>
                    <w:rPr>
                      <w:rFonts w:hint="default" w:ascii="Times New Roman" w:hAnsi="Times New Roman" w:eastAsia="宋体" w:cs="Times New Roman"/>
                      <w:color w:val="auto"/>
                      <w:sz w:val="21"/>
                      <w:szCs w:val="21"/>
                    </w:rPr>
                  </w:pPr>
                </w:p>
              </w:tc>
              <w:tc>
                <w:tcPr>
                  <w:tcW w:w="1077" w:type="dxa"/>
                  <w:vMerge w:val="continue"/>
                  <w:vAlign w:val="center"/>
                </w:tcPr>
                <w:p w14:paraId="28D4214F">
                  <w:pPr>
                    <w:adjustRightInd/>
                    <w:snapToGrid/>
                    <w:spacing w:after="0"/>
                    <w:rPr>
                      <w:rFonts w:hint="default" w:ascii="Times New Roman" w:hAnsi="Times New Roman" w:eastAsia="宋体" w:cs="Times New Roman"/>
                      <w:color w:val="auto"/>
                      <w:sz w:val="21"/>
                      <w:szCs w:val="21"/>
                    </w:rPr>
                  </w:pPr>
                </w:p>
              </w:tc>
              <w:tc>
                <w:tcPr>
                  <w:tcW w:w="1074" w:type="dxa"/>
                  <w:shd w:val="clear" w:color="auto" w:fill="auto"/>
                  <w:vAlign w:val="center"/>
                </w:tcPr>
                <w:p w14:paraId="567D052E">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平均值</w:t>
                  </w:r>
                </w:p>
              </w:tc>
              <w:tc>
                <w:tcPr>
                  <w:tcW w:w="1077" w:type="dxa"/>
                  <w:shd w:val="clear" w:color="auto" w:fill="auto"/>
                  <w:vAlign w:val="center"/>
                </w:tcPr>
                <w:p w14:paraId="1AA0FAB0">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w:t>
                  </w:r>
                </w:p>
              </w:tc>
              <w:tc>
                <w:tcPr>
                  <w:tcW w:w="1077" w:type="dxa"/>
                  <w:shd w:val="clear" w:color="auto" w:fill="auto"/>
                  <w:vAlign w:val="center"/>
                </w:tcPr>
                <w:p w14:paraId="57455E35">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8652</w:t>
                  </w:r>
                </w:p>
              </w:tc>
              <w:tc>
                <w:tcPr>
                  <w:tcW w:w="1077" w:type="dxa"/>
                  <w:shd w:val="clear" w:color="auto" w:fill="auto"/>
                  <w:vAlign w:val="center"/>
                </w:tcPr>
                <w:p w14:paraId="08B304F1">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c>
                <w:tcPr>
                  <w:tcW w:w="1077" w:type="dxa"/>
                  <w:shd w:val="clear" w:color="auto" w:fill="auto"/>
                </w:tcPr>
                <w:p w14:paraId="605D4983">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1074" w:type="dxa"/>
                  <w:shd w:val="clear" w:color="auto" w:fill="auto"/>
                  <w:vAlign w:val="center"/>
                </w:tcPr>
                <w:p w14:paraId="4A56296E">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69B846B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107" w:type="dxa"/>
                  <w:vMerge w:val="restart"/>
                  <w:shd w:val="clear" w:color="auto" w:fill="auto"/>
                  <w:noWrap/>
                  <w:vAlign w:val="center"/>
                </w:tcPr>
                <w:p w14:paraId="5D0F8DDD">
                  <w:pPr>
                    <w:adjustRightInd/>
                    <w:snapToGrid/>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采样日期</w:t>
                  </w:r>
                </w:p>
              </w:tc>
              <w:tc>
                <w:tcPr>
                  <w:tcW w:w="1077" w:type="dxa"/>
                  <w:vMerge w:val="restart"/>
                  <w:shd w:val="clear" w:color="auto" w:fill="auto"/>
                  <w:vAlign w:val="center"/>
                </w:tcPr>
                <w:p w14:paraId="4C441042">
                  <w:pPr>
                    <w:adjustRightInd/>
                    <w:snapToGrid/>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监测点位</w:t>
                  </w:r>
                </w:p>
              </w:tc>
              <w:tc>
                <w:tcPr>
                  <w:tcW w:w="4305" w:type="dxa"/>
                  <w:gridSpan w:val="4"/>
                  <w:shd w:val="clear" w:color="auto" w:fill="auto"/>
                  <w:vAlign w:val="center"/>
                </w:tcPr>
                <w:p w14:paraId="46B411E1">
                  <w:pPr>
                    <w:adjustRightInd/>
                    <w:snapToGrid/>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监测结果(mg/m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w:t>
                  </w:r>
                </w:p>
              </w:tc>
              <w:tc>
                <w:tcPr>
                  <w:tcW w:w="1077" w:type="dxa"/>
                  <w:vMerge w:val="restart"/>
                  <w:shd w:val="clear" w:color="auto" w:fill="auto"/>
                  <w:vAlign w:val="center"/>
                </w:tcPr>
                <w:p w14:paraId="63F7D1AD">
                  <w:pPr>
                    <w:adjustRightInd/>
                    <w:snapToGrid/>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标准值(mg/m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w:t>
                  </w:r>
                </w:p>
              </w:tc>
              <w:tc>
                <w:tcPr>
                  <w:tcW w:w="1074" w:type="dxa"/>
                  <w:vMerge w:val="restart"/>
                  <w:shd w:val="clear" w:color="auto" w:fill="auto"/>
                  <w:vAlign w:val="center"/>
                </w:tcPr>
                <w:p w14:paraId="5B645D1F">
                  <w:pPr>
                    <w:adjustRightInd/>
                    <w:snapToGrid/>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评价结果</w:t>
                  </w:r>
                </w:p>
              </w:tc>
            </w:tr>
            <w:tr w14:paraId="7598AFD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25" w:hRule="atLeast"/>
              </w:trPr>
              <w:tc>
                <w:tcPr>
                  <w:tcW w:w="1107" w:type="dxa"/>
                  <w:vMerge w:val="continue"/>
                  <w:vAlign w:val="center"/>
                </w:tcPr>
                <w:p w14:paraId="0D0D8DE5">
                  <w:pPr>
                    <w:adjustRightInd/>
                    <w:snapToGrid/>
                    <w:spacing w:after="0"/>
                    <w:rPr>
                      <w:rFonts w:hint="default" w:ascii="Times New Roman" w:hAnsi="Times New Roman" w:eastAsia="宋体" w:cs="Times New Roman"/>
                      <w:b/>
                      <w:bCs/>
                      <w:color w:val="auto"/>
                      <w:sz w:val="21"/>
                      <w:szCs w:val="21"/>
                    </w:rPr>
                  </w:pPr>
                </w:p>
              </w:tc>
              <w:tc>
                <w:tcPr>
                  <w:tcW w:w="1077" w:type="dxa"/>
                  <w:vMerge w:val="continue"/>
                  <w:vAlign w:val="center"/>
                </w:tcPr>
                <w:p w14:paraId="5C4181DD">
                  <w:pPr>
                    <w:adjustRightInd/>
                    <w:snapToGrid/>
                    <w:spacing w:after="0"/>
                    <w:rPr>
                      <w:rFonts w:hint="default" w:ascii="Times New Roman" w:hAnsi="Times New Roman" w:eastAsia="宋体" w:cs="Times New Roman"/>
                      <w:b/>
                      <w:bCs/>
                      <w:color w:val="auto"/>
                      <w:sz w:val="21"/>
                      <w:szCs w:val="21"/>
                    </w:rPr>
                  </w:pPr>
                </w:p>
              </w:tc>
              <w:tc>
                <w:tcPr>
                  <w:tcW w:w="1074" w:type="dxa"/>
                  <w:shd w:val="clear" w:color="auto" w:fill="auto"/>
                  <w:vAlign w:val="center"/>
                </w:tcPr>
                <w:p w14:paraId="32D154F4">
                  <w:pPr>
                    <w:adjustRightInd/>
                    <w:snapToGrid/>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频次</w:t>
                  </w:r>
                </w:p>
              </w:tc>
              <w:tc>
                <w:tcPr>
                  <w:tcW w:w="1077" w:type="dxa"/>
                  <w:shd w:val="clear" w:color="auto" w:fill="auto"/>
                  <w:vAlign w:val="center"/>
                </w:tcPr>
                <w:p w14:paraId="7CFA4E14">
                  <w:pPr>
                    <w:adjustRightInd/>
                    <w:snapToGrid/>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实测浓度mg/m</w:t>
                  </w:r>
                  <w:r>
                    <w:rPr>
                      <w:rFonts w:hint="default" w:ascii="Times New Roman" w:hAnsi="Times New Roman" w:eastAsia="宋体" w:cs="Times New Roman"/>
                      <w:b/>
                      <w:bCs/>
                      <w:color w:val="auto"/>
                      <w:sz w:val="21"/>
                      <w:szCs w:val="21"/>
                      <w:vertAlign w:val="superscript"/>
                    </w:rPr>
                    <w:t>3</w:t>
                  </w:r>
                </w:p>
              </w:tc>
              <w:tc>
                <w:tcPr>
                  <w:tcW w:w="1077" w:type="dxa"/>
                  <w:shd w:val="clear" w:color="auto" w:fill="auto"/>
                  <w:vAlign w:val="center"/>
                </w:tcPr>
                <w:p w14:paraId="1E32DE3A">
                  <w:pPr>
                    <w:adjustRightInd/>
                    <w:snapToGrid/>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排风量Nm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/h</w:t>
                  </w:r>
                </w:p>
              </w:tc>
              <w:tc>
                <w:tcPr>
                  <w:tcW w:w="1077" w:type="dxa"/>
                  <w:shd w:val="clear" w:color="auto" w:fill="auto"/>
                  <w:vAlign w:val="center"/>
                </w:tcPr>
                <w:p w14:paraId="2C34EFD5">
                  <w:pPr>
                    <w:adjustRightInd/>
                    <w:snapToGrid/>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基准排放浓度mg/m</w:t>
                  </w:r>
                  <w:r>
                    <w:rPr>
                      <w:rFonts w:hint="default" w:ascii="Times New Roman" w:hAnsi="Times New Roman" w:eastAsia="宋体" w:cs="Times New Roman"/>
                      <w:b/>
                      <w:bCs/>
                      <w:color w:val="auto"/>
                      <w:sz w:val="21"/>
                      <w:szCs w:val="21"/>
                      <w:vertAlign w:val="superscript"/>
                    </w:rPr>
                    <w:t>3</w:t>
                  </w:r>
                </w:p>
              </w:tc>
              <w:tc>
                <w:tcPr>
                  <w:tcW w:w="1077" w:type="dxa"/>
                  <w:vMerge w:val="continue"/>
                  <w:vAlign w:val="center"/>
                </w:tcPr>
                <w:p w14:paraId="6A69021F">
                  <w:pPr>
                    <w:adjustRightInd/>
                    <w:snapToGrid/>
                    <w:spacing w:after="0"/>
                    <w:rPr>
                      <w:rFonts w:hint="default" w:ascii="Times New Roman" w:hAnsi="Times New Roman" w:eastAsia="宋体" w:cs="Times New Roman"/>
                      <w:b/>
                      <w:bCs/>
                      <w:color w:val="auto"/>
                      <w:sz w:val="21"/>
                      <w:szCs w:val="21"/>
                    </w:rPr>
                  </w:pPr>
                </w:p>
              </w:tc>
              <w:tc>
                <w:tcPr>
                  <w:tcW w:w="1074" w:type="dxa"/>
                  <w:vMerge w:val="continue"/>
                  <w:vAlign w:val="center"/>
                </w:tcPr>
                <w:p w14:paraId="5B9D0A9B">
                  <w:pPr>
                    <w:adjustRightInd/>
                    <w:snapToGrid/>
                    <w:spacing w:after="0"/>
                    <w:rPr>
                      <w:rFonts w:hint="default" w:ascii="Times New Roman" w:hAnsi="Times New Roman" w:eastAsia="宋体" w:cs="Times New Roman"/>
                      <w:b/>
                      <w:bCs/>
                      <w:color w:val="auto"/>
                      <w:sz w:val="21"/>
                      <w:szCs w:val="21"/>
                    </w:rPr>
                  </w:pPr>
                </w:p>
              </w:tc>
            </w:tr>
            <w:tr w14:paraId="0AD1C3F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85" w:hRule="atLeast"/>
              </w:trPr>
              <w:tc>
                <w:tcPr>
                  <w:tcW w:w="1107" w:type="dxa"/>
                  <w:vMerge w:val="restart"/>
                  <w:shd w:val="clear" w:color="auto" w:fill="auto"/>
                  <w:vAlign w:val="center"/>
                </w:tcPr>
                <w:p w14:paraId="7BB1F1FF">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2024.10.24</w:t>
                  </w:r>
                </w:p>
              </w:tc>
              <w:tc>
                <w:tcPr>
                  <w:tcW w:w="1077" w:type="dxa"/>
                  <w:vMerge w:val="restart"/>
                  <w:shd w:val="clear" w:color="auto" w:fill="auto"/>
                  <w:vAlign w:val="center"/>
                </w:tcPr>
                <w:p w14:paraId="15E624F4">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FQ-1</w:t>
                  </w:r>
                </w:p>
                <w:p w14:paraId="2FC529AD">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进口</w:t>
                  </w:r>
                </w:p>
              </w:tc>
              <w:tc>
                <w:tcPr>
                  <w:tcW w:w="1074" w:type="dxa"/>
                  <w:shd w:val="clear" w:color="auto" w:fill="auto"/>
                  <w:vAlign w:val="center"/>
                </w:tcPr>
                <w:p w14:paraId="4B7DFC58">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第一次</w:t>
                  </w:r>
                </w:p>
              </w:tc>
              <w:tc>
                <w:tcPr>
                  <w:tcW w:w="1077" w:type="dxa"/>
                  <w:shd w:val="clear" w:color="auto" w:fill="auto"/>
                  <w:vAlign w:val="center"/>
                </w:tcPr>
                <w:p w14:paraId="50B76ACA">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4.1</w:t>
                  </w:r>
                </w:p>
              </w:tc>
              <w:tc>
                <w:tcPr>
                  <w:tcW w:w="1077" w:type="dxa"/>
                  <w:shd w:val="clear" w:color="auto" w:fill="auto"/>
                  <w:vAlign w:val="center"/>
                </w:tcPr>
                <w:p w14:paraId="1519887F">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17352</w:t>
                  </w:r>
                </w:p>
              </w:tc>
              <w:tc>
                <w:tcPr>
                  <w:tcW w:w="1077" w:type="dxa"/>
                  <w:shd w:val="clear" w:color="auto" w:fill="auto"/>
                  <w:vAlign w:val="center"/>
                </w:tcPr>
                <w:p w14:paraId="603794E7">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77" w:type="dxa"/>
                  <w:shd w:val="clear" w:color="auto" w:fill="auto"/>
                  <w:vAlign w:val="center"/>
                </w:tcPr>
                <w:p w14:paraId="593FF2F6">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74" w:type="dxa"/>
                  <w:shd w:val="clear" w:color="auto" w:fill="auto"/>
                  <w:vAlign w:val="center"/>
                </w:tcPr>
                <w:p w14:paraId="08A611A0">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01D5C06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107" w:type="dxa"/>
                  <w:vMerge w:val="continue"/>
                  <w:vAlign w:val="center"/>
                </w:tcPr>
                <w:p w14:paraId="01317B84">
                  <w:pPr>
                    <w:adjustRightInd/>
                    <w:snapToGrid/>
                    <w:spacing w:after="0"/>
                    <w:rPr>
                      <w:rFonts w:hint="default" w:ascii="Times New Roman" w:hAnsi="Times New Roman" w:eastAsia="宋体" w:cs="Times New Roman"/>
                      <w:color w:val="auto"/>
                      <w:sz w:val="21"/>
                      <w:szCs w:val="21"/>
                    </w:rPr>
                  </w:pPr>
                </w:p>
              </w:tc>
              <w:tc>
                <w:tcPr>
                  <w:tcW w:w="1077" w:type="dxa"/>
                  <w:vMerge w:val="continue"/>
                  <w:vAlign w:val="center"/>
                </w:tcPr>
                <w:p w14:paraId="19B85975">
                  <w:pPr>
                    <w:adjustRightInd/>
                    <w:snapToGrid/>
                    <w:spacing w:after="0"/>
                    <w:rPr>
                      <w:rFonts w:hint="default" w:ascii="Times New Roman" w:hAnsi="Times New Roman" w:eastAsia="宋体" w:cs="Times New Roman"/>
                      <w:color w:val="auto"/>
                      <w:sz w:val="21"/>
                      <w:szCs w:val="21"/>
                    </w:rPr>
                  </w:pPr>
                </w:p>
              </w:tc>
              <w:tc>
                <w:tcPr>
                  <w:tcW w:w="1074" w:type="dxa"/>
                  <w:shd w:val="clear" w:color="auto" w:fill="auto"/>
                  <w:vAlign w:val="center"/>
                </w:tcPr>
                <w:p w14:paraId="6D6479A9">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第二次</w:t>
                  </w:r>
                </w:p>
              </w:tc>
              <w:tc>
                <w:tcPr>
                  <w:tcW w:w="1077" w:type="dxa"/>
                  <w:shd w:val="clear" w:color="auto" w:fill="auto"/>
                  <w:vAlign w:val="center"/>
                </w:tcPr>
                <w:p w14:paraId="5426D2E4">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4.2</w:t>
                  </w:r>
                </w:p>
              </w:tc>
              <w:tc>
                <w:tcPr>
                  <w:tcW w:w="1077" w:type="dxa"/>
                  <w:shd w:val="clear" w:color="auto" w:fill="auto"/>
                  <w:vAlign w:val="center"/>
                </w:tcPr>
                <w:p w14:paraId="71D58D0A">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17098</w:t>
                  </w:r>
                </w:p>
              </w:tc>
              <w:tc>
                <w:tcPr>
                  <w:tcW w:w="1077" w:type="dxa"/>
                  <w:shd w:val="clear" w:color="auto" w:fill="auto"/>
                  <w:vAlign w:val="center"/>
                </w:tcPr>
                <w:p w14:paraId="22C514E0">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77" w:type="dxa"/>
                  <w:shd w:val="clear" w:color="auto" w:fill="auto"/>
                  <w:vAlign w:val="center"/>
                </w:tcPr>
                <w:p w14:paraId="1BDB060A">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74" w:type="dxa"/>
                  <w:shd w:val="clear" w:color="auto" w:fill="auto"/>
                  <w:vAlign w:val="center"/>
                </w:tcPr>
                <w:p w14:paraId="005CBE2D">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50254FD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107" w:type="dxa"/>
                  <w:vMerge w:val="continue"/>
                  <w:vAlign w:val="center"/>
                </w:tcPr>
                <w:p w14:paraId="4B970900">
                  <w:pPr>
                    <w:adjustRightInd/>
                    <w:snapToGrid/>
                    <w:spacing w:after="0"/>
                    <w:rPr>
                      <w:rFonts w:hint="default" w:ascii="Times New Roman" w:hAnsi="Times New Roman" w:eastAsia="宋体" w:cs="Times New Roman"/>
                      <w:color w:val="auto"/>
                      <w:sz w:val="21"/>
                      <w:szCs w:val="21"/>
                    </w:rPr>
                  </w:pPr>
                </w:p>
              </w:tc>
              <w:tc>
                <w:tcPr>
                  <w:tcW w:w="1077" w:type="dxa"/>
                  <w:vMerge w:val="continue"/>
                  <w:vAlign w:val="center"/>
                </w:tcPr>
                <w:p w14:paraId="274BCC8E">
                  <w:pPr>
                    <w:adjustRightInd/>
                    <w:snapToGrid/>
                    <w:spacing w:after="0"/>
                    <w:rPr>
                      <w:rFonts w:hint="default" w:ascii="Times New Roman" w:hAnsi="Times New Roman" w:eastAsia="宋体" w:cs="Times New Roman"/>
                      <w:color w:val="auto"/>
                      <w:sz w:val="21"/>
                      <w:szCs w:val="21"/>
                    </w:rPr>
                  </w:pPr>
                </w:p>
              </w:tc>
              <w:tc>
                <w:tcPr>
                  <w:tcW w:w="1074" w:type="dxa"/>
                  <w:shd w:val="clear" w:color="auto" w:fill="auto"/>
                  <w:vAlign w:val="center"/>
                </w:tcPr>
                <w:p w14:paraId="6D3371EC">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第三次</w:t>
                  </w:r>
                </w:p>
              </w:tc>
              <w:tc>
                <w:tcPr>
                  <w:tcW w:w="1077" w:type="dxa"/>
                  <w:shd w:val="clear" w:color="auto" w:fill="auto"/>
                  <w:vAlign w:val="center"/>
                </w:tcPr>
                <w:p w14:paraId="37F27B5E">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4.3</w:t>
                  </w:r>
                </w:p>
              </w:tc>
              <w:tc>
                <w:tcPr>
                  <w:tcW w:w="1077" w:type="dxa"/>
                  <w:shd w:val="clear" w:color="auto" w:fill="auto"/>
                  <w:vAlign w:val="center"/>
                </w:tcPr>
                <w:p w14:paraId="7D983906">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16841</w:t>
                  </w:r>
                </w:p>
              </w:tc>
              <w:tc>
                <w:tcPr>
                  <w:tcW w:w="1077" w:type="dxa"/>
                  <w:shd w:val="clear" w:color="auto" w:fill="auto"/>
                  <w:vAlign w:val="center"/>
                </w:tcPr>
                <w:p w14:paraId="02DEA2C0">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77" w:type="dxa"/>
                  <w:shd w:val="clear" w:color="auto" w:fill="auto"/>
                  <w:vAlign w:val="center"/>
                </w:tcPr>
                <w:p w14:paraId="39C84F09">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74" w:type="dxa"/>
                  <w:shd w:val="clear" w:color="auto" w:fill="auto"/>
                  <w:vAlign w:val="center"/>
                </w:tcPr>
                <w:p w14:paraId="6025C936">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7530665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107" w:type="dxa"/>
                  <w:vMerge w:val="continue"/>
                  <w:vAlign w:val="center"/>
                </w:tcPr>
                <w:p w14:paraId="144D869A">
                  <w:pPr>
                    <w:adjustRightInd/>
                    <w:snapToGrid/>
                    <w:spacing w:after="0"/>
                    <w:rPr>
                      <w:rFonts w:hint="default" w:ascii="Times New Roman" w:hAnsi="Times New Roman" w:eastAsia="宋体" w:cs="Times New Roman"/>
                      <w:color w:val="auto"/>
                      <w:sz w:val="21"/>
                      <w:szCs w:val="21"/>
                    </w:rPr>
                  </w:pPr>
                </w:p>
              </w:tc>
              <w:tc>
                <w:tcPr>
                  <w:tcW w:w="1077" w:type="dxa"/>
                  <w:vMerge w:val="continue"/>
                  <w:vAlign w:val="center"/>
                </w:tcPr>
                <w:p w14:paraId="7E94A4B4">
                  <w:pPr>
                    <w:adjustRightInd/>
                    <w:snapToGrid/>
                    <w:spacing w:after="0"/>
                    <w:rPr>
                      <w:rFonts w:hint="default" w:ascii="Times New Roman" w:hAnsi="Times New Roman" w:eastAsia="宋体" w:cs="Times New Roman"/>
                      <w:color w:val="auto"/>
                      <w:sz w:val="21"/>
                      <w:szCs w:val="21"/>
                    </w:rPr>
                  </w:pPr>
                </w:p>
              </w:tc>
              <w:tc>
                <w:tcPr>
                  <w:tcW w:w="1074" w:type="dxa"/>
                  <w:shd w:val="clear" w:color="auto" w:fill="auto"/>
                  <w:vAlign w:val="center"/>
                </w:tcPr>
                <w:p w14:paraId="38492C5E">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第四次</w:t>
                  </w:r>
                </w:p>
              </w:tc>
              <w:tc>
                <w:tcPr>
                  <w:tcW w:w="1077" w:type="dxa"/>
                  <w:shd w:val="clear" w:color="auto" w:fill="auto"/>
                  <w:vAlign w:val="center"/>
                </w:tcPr>
                <w:p w14:paraId="424BB5FA">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4.4</w:t>
                  </w:r>
                </w:p>
              </w:tc>
              <w:tc>
                <w:tcPr>
                  <w:tcW w:w="1077" w:type="dxa"/>
                  <w:shd w:val="clear" w:color="auto" w:fill="auto"/>
                  <w:vAlign w:val="center"/>
                </w:tcPr>
                <w:p w14:paraId="7509159F">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17122</w:t>
                  </w:r>
                </w:p>
              </w:tc>
              <w:tc>
                <w:tcPr>
                  <w:tcW w:w="1077" w:type="dxa"/>
                  <w:shd w:val="clear" w:color="auto" w:fill="auto"/>
                  <w:vAlign w:val="center"/>
                </w:tcPr>
                <w:p w14:paraId="1F3B3C19">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77" w:type="dxa"/>
                  <w:shd w:val="clear" w:color="auto" w:fill="auto"/>
                  <w:vAlign w:val="center"/>
                </w:tcPr>
                <w:p w14:paraId="72F48FFE">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74" w:type="dxa"/>
                  <w:shd w:val="clear" w:color="auto" w:fill="auto"/>
                  <w:vAlign w:val="center"/>
                </w:tcPr>
                <w:p w14:paraId="08D2D822">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54A0C45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107" w:type="dxa"/>
                  <w:vMerge w:val="continue"/>
                  <w:vAlign w:val="center"/>
                </w:tcPr>
                <w:p w14:paraId="7C95B567">
                  <w:pPr>
                    <w:adjustRightInd/>
                    <w:snapToGrid/>
                    <w:spacing w:after="0"/>
                    <w:rPr>
                      <w:rFonts w:hint="default" w:ascii="Times New Roman" w:hAnsi="Times New Roman" w:eastAsia="宋体" w:cs="Times New Roman"/>
                      <w:color w:val="auto"/>
                      <w:sz w:val="21"/>
                      <w:szCs w:val="21"/>
                    </w:rPr>
                  </w:pPr>
                </w:p>
              </w:tc>
              <w:tc>
                <w:tcPr>
                  <w:tcW w:w="1077" w:type="dxa"/>
                  <w:vMerge w:val="continue"/>
                  <w:vAlign w:val="center"/>
                </w:tcPr>
                <w:p w14:paraId="1101BB6A">
                  <w:pPr>
                    <w:adjustRightInd/>
                    <w:snapToGrid/>
                    <w:spacing w:after="0"/>
                    <w:rPr>
                      <w:rFonts w:hint="default" w:ascii="Times New Roman" w:hAnsi="Times New Roman" w:eastAsia="宋体" w:cs="Times New Roman"/>
                      <w:color w:val="auto"/>
                      <w:sz w:val="21"/>
                      <w:szCs w:val="21"/>
                    </w:rPr>
                  </w:pPr>
                </w:p>
              </w:tc>
              <w:tc>
                <w:tcPr>
                  <w:tcW w:w="1074" w:type="dxa"/>
                  <w:shd w:val="clear" w:color="auto" w:fill="auto"/>
                  <w:vAlign w:val="center"/>
                </w:tcPr>
                <w:p w14:paraId="0F276542">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第五次</w:t>
                  </w:r>
                </w:p>
              </w:tc>
              <w:tc>
                <w:tcPr>
                  <w:tcW w:w="1077" w:type="dxa"/>
                  <w:shd w:val="clear" w:color="auto" w:fill="auto"/>
                  <w:vAlign w:val="center"/>
                </w:tcPr>
                <w:p w14:paraId="41400F10">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4.4</w:t>
                  </w:r>
                </w:p>
              </w:tc>
              <w:tc>
                <w:tcPr>
                  <w:tcW w:w="1077" w:type="dxa"/>
                  <w:shd w:val="clear" w:color="auto" w:fill="auto"/>
                  <w:vAlign w:val="center"/>
                </w:tcPr>
                <w:p w14:paraId="5DA210AD">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16586</w:t>
                  </w:r>
                </w:p>
              </w:tc>
              <w:tc>
                <w:tcPr>
                  <w:tcW w:w="1077" w:type="dxa"/>
                  <w:shd w:val="clear" w:color="auto" w:fill="auto"/>
                  <w:vAlign w:val="center"/>
                </w:tcPr>
                <w:p w14:paraId="1954B464">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77" w:type="dxa"/>
                  <w:shd w:val="clear" w:color="auto" w:fill="auto"/>
                  <w:vAlign w:val="center"/>
                </w:tcPr>
                <w:p w14:paraId="452ADE7F">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74" w:type="dxa"/>
                  <w:shd w:val="clear" w:color="auto" w:fill="auto"/>
                  <w:vAlign w:val="center"/>
                </w:tcPr>
                <w:p w14:paraId="5DC9141F">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5A167EB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107" w:type="dxa"/>
                  <w:vMerge w:val="continue"/>
                  <w:vAlign w:val="center"/>
                </w:tcPr>
                <w:p w14:paraId="20099526">
                  <w:pPr>
                    <w:adjustRightInd/>
                    <w:snapToGrid/>
                    <w:spacing w:after="0"/>
                    <w:rPr>
                      <w:rFonts w:hint="default" w:ascii="Times New Roman" w:hAnsi="Times New Roman" w:eastAsia="宋体" w:cs="Times New Roman"/>
                      <w:color w:val="auto"/>
                      <w:sz w:val="21"/>
                      <w:szCs w:val="21"/>
                    </w:rPr>
                  </w:pPr>
                </w:p>
              </w:tc>
              <w:tc>
                <w:tcPr>
                  <w:tcW w:w="1077" w:type="dxa"/>
                  <w:vMerge w:val="continue"/>
                  <w:vAlign w:val="center"/>
                </w:tcPr>
                <w:p w14:paraId="24A16AEA">
                  <w:pPr>
                    <w:adjustRightInd/>
                    <w:snapToGrid/>
                    <w:spacing w:after="0"/>
                    <w:rPr>
                      <w:rFonts w:hint="default" w:ascii="Times New Roman" w:hAnsi="Times New Roman" w:eastAsia="宋体" w:cs="Times New Roman"/>
                      <w:color w:val="auto"/>
                      <w:sz w:val="21"/>
                      <w:szCs w:val="21"/>
                    </w:rPr>
                  </w:pPr>
                </w:p>
              </w:tc>
              <w:tc>
                <w:tcPr>
                  <w:tcW w:w="1074" w:type="dxa"/>
                  <w:shd w:val="clear" w:color="auto" w:fill="auto"/>
                  <w:vAlign w:val="center"/>
                </w:tcPr>
                <w:p w14:paraId="678E4128">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平均值</w:t>
                  </w:r>
                </w:p>
              </w:tc>
              <w:tc>
                <w:tcPr>
                  <w:tcW w:w="1077" w:type="dxa"/>
                  <w:shd w:val="clear" w:color="auto" w:fill="auto"/>
                  <w:vAlign w:val="center"/>
                </w:tcPr>
                <w:p w14:paraId="20FE8C1F">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4.3</w:t>
                  </w:r>
                </w:p>
              </w:tc>
              <w:tc>
                <w:tcPr>
                  <w:tcW w:w="1077" w:type="dxa"/>
                  <w:shd w:val="clear" w:color="auto" w:fill="auto"/>
                  <w:vAlign w:val="center"/>
                </w:tcPr>
                <w:p w14:paraId="354BC07E">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17000</w:t>
                  </w:r>
                </w:p>
              </w:tc>
              <w:tc>
                <w:tcPr>
                  <w:tcW w:w="1077" w:type="dxa"/>
                  <w:shd w:val="clear" w:color="auto" w:fill="auto"/>
                  <w:vAlign w:val="center"/>
                </w:tcPr>
                <w:p w14:paraId="0A40A29F">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77" w:type="dxa"/>
                  <w:shd w:val="clear" w:color="auto" w:fill="auto"/>
                  <w:vAlign w:val="center"/>
                </w:tcPr>
                <w:p w14:paraId="6FA4AE95">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74" w:type="dxa"/>
                  <w:shd w:val="clear" w:color="auto" w:fill="auto"/>
                  <w:vAlign w:val="center"/>
                </w:tcPr>
                <w:p w14:paraId="577EC957">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5801BC7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107" w:type="dxa"/>
                  <w:vMerge w:val="restart"/>
                  <w:shd w:val="clear" w:color="auto" w:fill="auto"/>
                  <w:vAlign w:val="center"/>
                </w:tcPr>
                <w:p w14:paraId="61266509">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2024.10.24</w:t>
                  </w:r>
                </w:p>
              </w:tc>
              <w:tc>
                <w:tcPr>
                  <w:tcW w:w="1077" w:type="dxa"/>
                  <w:vMerge w:val="restart"/>
                  <w:shd w:val="clear" w:color="auto" w:fill="auto"/>
                  <w:vAlign w:val="center"/>
                </w:tcPr>
                <w:p w14:paraId="3ECA47C9">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FQ-1</w:t>
                  </w:r>
                </w:p>
                <w:p w14:paraId="33E42754">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出口</w:t>
                  </w:r>
                </w:p>
              </w:tc>
              <w:tc>
                <w:tcPr>
                  <w:tcW w:w="1074" w:type="dxa"/>
                  <w:shd w:val="clear" w:color="auto" w:fill="auto"/>
                  <w:vAlign w:val="center"/>
                </w:tcPr>
                <w:p w14:paraId="5C40DEF9">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第一次</w:t>
                  </w:r>
                </w:p>
              </w:tc>
              <w:tc>
                <w:tcPr>
                  <w:tcW w:w="1077" w:type="dxa"/>
                  <w:shd w:val="clear" w:color="auto" w:fill="auto"/>
                  <w:vAlign w:val="center"/>
                </w:tcPr>
                <w:p w14:paraId="69AE37BB">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w:t>
                  </w:r>
                </w:p>
              </w:tc>
              <w:tc>
                <w:tcPr>
                  <w:tcW w:w="1077" w:type="dxa"/>
                  <w:shd w:val="clear" w:color="auto" w:fill="auto"/>
                  <w:vAlign w:val="center"/>
                </w:tcPr>
                <w:p w14:paraId="30E78457">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13757</w:t>
                  </w:r>
                </w:p>
              </w:tc>
              <w:tc>
                <w:tcPr>
                  <w:tcW w:w="1077" w:type="dxa"/>
                  <w:shd w:val="clear" w:color="auto" w:fill="auto"/>
                  <w:vAlign w:val="center"/>
                </w:tcPr>
                <w:p w14:paraId="478CC0C9">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w:t>
                  </w:r>
                </w:p>
              </w:tc>
              <w:tc>
                <w:tcPr>
                  <w:tcW w:w="1077" w:type="dxa"/>
                  <w:shd w:val="clear" w:color="auto" w:fill="auto"/>
                  <w:vAlign w:val="center"/>
                </w:tcPr>
                <w:p w14:paraId="487A0E08">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1074" w:type="dxa"/>
                  <w:shd w:val="clear" w:color="auto" w:fill="auto"/>
                  <w:vAlign w:val="center"/>
                </w:tcPr>
                <w:p w14:paraId="65DB79DE">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03D533A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107" w:type="dxa"/>
                  <w:vMerge w:val="continue"/>
                  <w:vAlign w:val="center"/>
                </w:tcPr>
                <w:p w14:paraId="1632E740">
                  <w:pPr>
                    <w:adjustRightInd/>
                    <w:snapToGrid/>
                    <w:spacing w:after="0"/>
                    <w:rPr>
                      <w:rFonts w:hint="default" w:ascii="Times New Roman" w:hAnsi="Times New Roman" w:eastAsia="宋体" w:cs="Times New Roman"/>
                      <w:color w:val="auto"/>
                      <w:sz w:val="21"/>
                      <w:szCs w:val="21"/>
                    </w:rPr>
                  </w:pPr>
                </w:p>
              </w:tc>
              <w:tc>
                <w:tcPr>
                  <w:tcW w:w="1077" w:type="dxa"/>
                  <w:vMerge w:val="continue"/>
                  <w:vAlign w:val="center"/>
                </w:tcPr>
                <w:p w14:paraId="751BCD9C">
                  <w:pPr>
                    <w:adjustRightInd/>
                    <w:snapToGrid/>
                    <w:spacing w:after="0"/>
                    <w:rPr>
                      <w:rFonts w:hint="default" w:ascii="Times New Roman" w:hAnsi="Times New Roman" w:eastAsia="宋体" w:cs="Times New Roman"/>
                      <w:color w:val="auto"/>
                      <w:sz w:val="21"/>
                      <w:szCs w:val="21"/>
                    </w:rPr>
                  </w:pPr>
                </w:p>
              </w:tc>
              <w:tc>
                <w:tcPr>
                  <w:tcW w:w="1074" w:type="dxa"/>
                  <w:shd w:val="clear" w:color="auto" w:fill="auto"/>
                  <w:vAlign w:val="center"/>
                </w:tcPr>
                <w:p w14:paraId="6920E8E8">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第二次</w:t>
                  </w:r>
                </w:p>
              </w:tc>
              <w:tc>
                <w:tcPr>
                  <w:tcW w:w="1077" w:type="dxa"/>
                  <w:shd w:val="clear" w:color="auto" w:fill="auto"/>
                  <w:vAlign w:val="center"/>
                </w:tcPr>
                <w:p w14:paraId="550D8E23">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w:t>
                  </w:r>
                </w:p>
              </w:tc>
              <w:tc>
                <w:tcPr>
                  <w:tcW w:w="1077" w:type="dxa"/>
                  <w:shd w:val="clear" w:color="auto" w:fill="auto"/>
                  <w:vAlign w:val="center"/>
                </w:tcPr>
                <w:p w14:paraId="744B50BE">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13465</w:t>
                  </w:r>
                </w:p>
              </w:tc>
              <w:tc>
                <w:tcPr>
                  <w:tcW w:w="1077" w:type="dxa"/>
                  <w:shd w:val="clear" w:color="auto" w:fill="auto"/>
                  <w:vAlign w:val="center"/>
                </w:tcPr>
                <w:p w14:paraId="73D7FDDD">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0.4</w:t>
                  </w:r>
                </w:p>
              </w:tc>
              <w:tc>
                <w:tcPr>
                  <w:tcW w:w="1077" w:type="dxa"/>
                  <w:shd w:val="clear" w:color="auto" w:fill="auto"/>
                </w:tcPr>
                <w:p w14:paraId="083DCF4E">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1074" w:type="dxa"/>
                  <w:shd w:val="clear" w:color="auto" w:fill="auto"/>
                  <w:vAlign w:val="center"/>
                </w:tcPr>
                <w:p w14:paraId="378BEAF2">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7ECD65C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107" w:type="dxa"/>
                  <w:vMerge w:val="continue"/>
                  <w:vAlign w:val="center"/>
                </w:tcPr>
                <w:p w14:paraId="65DA556C">
                  <w:pPr>
                    <w:adjustRightInd/>
                    <w:snapToGrid/>
                    <w:spacing w:after="0"/>
                    <w:rPr>
                      <w:rFonts w:hint="default" w:ascii="Times New Roman" w:hAnsi="Times New Roman" w:eastAsia="宋体" w:cs="Times New Roman"/>
                      <w:color w:val="auto"/>
                      <w:sz w:val="21"/>
                      <w:szCs w:val="21"/>
                    </w:rPr>
                  </w:pPr>
                </w:p>
              </w:tc>
              <w:tc>
                <w:tcPr>
                  <w:tcW w:w="1077" w:type="dxa"/>
                  <w:vMerge w:val="continue"/>
                  <w:vAlign w:val="center"/>
                </w:tcPr>
                <w:p w14:paraId="305BC8CA">
                  <w:pPr>
                    <w:adjustRightInd/>
                    <w:snapToGrid/>
                    <w:spacing w:after="0"/>
                    <w:rPr>
                      <w:rFonts w:hint="default" w:ascii="Times New Roman" w:hAnsi="Times New Roman" w:eastAsia="宋体" w:cs="Times New Roman"/>
                      <w:color w:val="auto"/>
                      <w:sz w:val="21"/>
                      <w:szCs w:val="21"/>
                    </w:rPr>
                  </w:pPr>
                </w:p>
              </w:tc>
              <w:tc>
                <w:tcPr>
                  <w:tcW w:w="1074" w:type="dxa"/>
                  <w:shd w:val="clear" w:color="auto" w:fill="auto"/>
                  <w:vAlign w:val="center"/>
                </w:tcPr>
                <w:p w14:paraId="3A4DCD0A">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第三次</w:t>
                  </w:r>
                </w:p>
              </w:tc>
              <w:tc>
                <w:tcPr>
                  <w:tcW w:w="1077" w:type="dxa"/>
                  <w:shd w:val="clear" w:color="auto" w:fill="auto"/>
                  <w:vAlign w:val="center"/>
                </w:tcPr>
                <w:p w14:paraId="78E45466">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w:t>
                  </w:r>
                </w:p>
              </w:tc>
              <w:tc>
                <w:tcPr>
                  <w:tcW w:w="1077" w:type="dxa"/>
                  <w:shd w:val="clear" w:color="auto" w:fill="auto"/>
                  <w:vAlign w:val="center"/>
                </w:tcPr>
                <w:p w14:paraId="7181C707">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14343</w:t>
                  </w:r>
                </w:p>
              </w:tc>
              <w:tc>
                <w:tcPr>
                  <w:tcW w:w="1077" w:type="dxa"/>
                  <w:shd w:val="clear" w:color="auto" w:fill="auto"/>
                  <w:vAlign w:val="center"/>
                </w:tcPr>
                <w:p w14:paraId="62C3674E">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0.4</w:t>
                  </w:r>
                </w:p>
              </w:tc>
              <w:tc>
                <w:tcPr>
                  <w:tcW w:w="1077" w:type="dxa"/>
                  <w:shd w:val="clear" w:color="auto" w:fill="auto"/>
                </w:tcPr>
                <w:p w14:paraId="642E15AE">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1074" w:type="dxa"/>
                  <w:shd w:val="clear" w:color="auto" w:fill="auto"/>
                  <w:vAlign w:val="center"/>
                </w:tcPr>
                <w:p w14:paraId="5F3E8055">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15FABD6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107" w:type="dxa"/>
                  <w:vMerge w:val="continue"/>
                  <w:vAlign w:val="center"/>
                </w:tcPr>
                <w:p w14:paraId="5ED145F9">
                  <w:pPr>
                    <w:adjustRightInd/>
                    <w:snapToGrid/>
                    <w:spacing w:after="0"/>
                    <w:rPr>
                      <w:rFonts w:hint="default" w:ascii="Times New Roman" w:hAnsi="Times New Roman" w:eastAsia="宋体" w:cs="Times New Roman"/>
                      <w:color w:val="auto"/>
                      <w:sz w:val="21"/>
                      <w:szCs w:val="21"/>
                    </w:rPr>
                  </w:pPr>
                </w:p>
              </w:tc>
              <w:tc>
                <w:tcPr>
                  <w:tcW w:w="1077" w:type="dxa"/>
                  <w:vMerge w:val="continue"/>
                  <w:vAlign w:val="center"/>
                </w:tcPr>
                <w:p w14:paraId="6F879667">
                  <w:pPr>
                    <w:adjustRightInd/>
                    <w:snapToGrid/>
                    <w:spacing w:after="0"/>
                    <w:rPr>
                      <w:rFonts w:hint="default" w:ascii="Times New Roman" w:hAnsi="Times New Roman" w:eastAsia="宋体" w:cs="Times New Roman"/>
                      <w:color w:val="auto"/>
                      <w:sz w:val="21"/>
                      <w:szCs w:val="21"/>
                    </w:rPr>
                  </w:pPr>
                </w:p>
              </w:tc>
              <w:tc>
                <w:tcPr>
                  <w:tcW w:w="1074" w:type="dxa"/>
                  <w:shd w:val="clear" w:color="auto" w:fill="auto"/>
                  <w:vAlign w:val="center"/>
                </w:tcPr>
                <w:p w14:paraId="0BECEB98">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第四次</w:t>
                  </w:r>
                </w:p>
              </w:tc>
              <w:tc>
                <w:tcPr>
                  <w:tcW w:w="1077" w:type="dxa"/>
                  <w:shd w:val="clear" w:color="auto" w:fill="auto"/>
                  <w:vAlign w:val="center"/>
                </w:tcPr>
                <w:p w14:paraId="477BB2C6">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0.4</w:t>
                  </w:r>
                </w:p>
              </w:tc>
              <w:tc>
                <w:tcPr>
                  <w:tcW w:w="1077" w:type="dxa"/>
                  <w:shd w:val="clear" w:color="auto" w:fill="auto"/>
                  <w:vAlign w:val="center"/>
                </w:tcPr>
                <w:p w14:paraId="0CFB3DA0">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14050</w:t>
                  </w:r>
                </w:p>
              </w:tc>
              <w:tc>
                <w:tcPr>
                  <w:tcW w:w="1077" w:type="dxa"/>
                  <w:shd w:val="clear" w:color="auto" w:fill="auto"/>
                  <w:vAlign w:val="center"/>
                </w:tcPr>
                <w:p w14:paraId="22F729C3">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c>
                <w:tcPr>
                  <w:tcW w:w="1077" w:type="dxa"/>
                  <w:shd w:val="clear" w:color="auto" w:fill="auto"/>
                </w:tcPr>
                <w:p w14:paraId="41FDAA59">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1074" w:type="dxa"/>
                  <w:shd w:val="clear" w:color="auto" w:fill="auto"/>
                  <w:vAlign w:val="center"/>
                </w:tcPr>
                <w:p w14:paraId="2ACE4D75">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3501AD2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107" w:type="dxa"/>
                  <w:vMerge w:val="continue"/>
                  <w:vAlign w:val="center"/>
                </w:tcPr>
                <w:p w14:paraId="1065FF5F">
                  <w:pPr>
                    <w:adjustRightInd/>
                    <w:snapToGrid/>
                    <w:spacing w:after="0"/>
                    <w:rPr>
                      <w:rFonts w:hint="default" w:ascii="Times New Roman" w:hAnsi="Times New Roman" w:eastAsia="宋体" w:cs="Times New Roman"/>
                      <w:color w:val="auto"/>
                      <w:sz w:val="21"/>
                      <w:szCs w:val="21"/>
                    </w:rPr>
                  </w:pPr>
                </w:p>
              </w:tc>
              <w:tc>
                <w:tcPr>
                  <w:tcW w:w="1077" w:type="dxa"/>
                  <w:vMerge w:val="continue"/>
                  <w:vAlign w:val="center"/>
                </w:tcPr>
                <w:p w14:paraId="5E2DF6C1">
                  <w:pPr>
                    <w:adjustRightInd/>
                    <w:snapToGrid/>
                    <w:spacing w:after="0"/>
                    <w:rPr>
                      <w:rFonts w:hint="default" w:ascii="Times New Roman" w:hAnsi="Times New Roman" w:eastAsia="宋体" w:cs="Times New Roman"/>
                      <w:color w:val="auto"/>
                      <w:sz w:val="21"/>
                      <w:szCs w:val="21"/>
                    </w:rPr>
                  </w:pPr>
                </w:p>
              </w:tc>
              <w:tc>
                <w:tcPr>
                  <w:tcW w:w="1074" w:type="dxa"/>
                  <w:shd w:val="clear" w:color="auto" w:fill="auto"/>
                  <w:vAlign w:val="center"/>
                </w:tcPr>
                <w:p w14:paraId="6C8D1BB5">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第五次</w:t>
                  </w:r>
                </w:p>
              </w:tc>
              <w:tc>
                <w:tcPr>
                  <w:tcW w:w="1077" w:type="dxa"/>
                  <w:shd w:val="clear" w:color="auto" w:fill="auto"/>
                  <w:vAlign w:val="center"/>
                </w:tcPr>
                <w:p w14:paraId="4EB7111E">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w:t>
                  </w:r>
                </w:p>
              </w:tc>
              <w:tc>
                <w:tcPr>
                  <w:tcW w:w="1077" w:type="dxa"/>
                  <w:shd w:val="clear" w:color="auto" w:fill="auto"/>
                  <w:vAlign w:val="center"/>
                </w:tcPr>
                <w:p w14:paraId="3CCA666E">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13874</w:t>
                  </w:r>
                </w:p>
              </w:tc>
              <w:tc>
                <w:tcPr>
                  <w:tcW w:w="1077" w:type="dxa"/>
                  <w:shd w:val="clear" w:color="auto" w:fill="auto"/>
                  <w:vAlign w:val="center"/>
                </w:tcPr>
                <w:p w14:paraId="52A7351B">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w:t>
                  </w:r>
                </w:p>
              </w:tc>
              <w:tc>
                <w:tcPr>
                  <w:tcW w:w="1077" w:type="dxa"/>
                  <w:shd w:val="clear" w:color="auto" w:fill="auto"/>
                </w:tcPr>
                <w:p w14:paraId="10DBCF05">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1074" w:type="dxa"/>
                  <w:shd w:val="clear" w:color="auto" w:fill="auto"/>
                  <w:vAlign w:val="center"/>
                </w:tcPr>
                <w:p w14:paraId="4E23A0FF">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5B262E7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107" w:type="dxa"/>
                  <w:vMerge w:val="continue"/>
                  <w:vAlign w:val="center"/>
                </w:tcPr>
                <w:p w14:paraId="0F565A05">
                  <w:pPr>
                    <w:adjustRightInd/>
                    <w:snapToGrid/>
                    <w:spacing w:after="0"/>
                    <w:rPr>
                      <w:rFonts w:hint="default" w:ascii="Times New Roman" w:hAnsi="Times New Roman" w:eastAsia="宋体" w:cs="Times New Roman"/>
                      <w:color w:val="auto"/>
                      <w:sz w:val="21"/>
                      <w:szCs w:val="21"/>
                    </w:rPr>
                  </w:pPr>
                </w:p>
              </w:tc>
              <w:tc>
                <w:tcPr>
                  <w:tcW w:w="1077" w:type="dxa"/>
                  <w:vMerge w:val="continue"/>
                  <w:vAlign w:val="center"/>
                </w:tcPr>
                <w:p w14:paraId="24F7DD9B">
                  <w:pPr>
                    <w:adjustRightInd/>
                    <w:snapToGrid/>
                    <w:spacing w:after="0"/>
                    <w:rPr>
                      <w:rFonts w:hint="default" w:ascii="Times New Roman" w:hAnsi="Times New Roman" w:eastAsia="宋体" w:cs="Times New Roman"/>
                      <w:color w:val="auto"/>
                      <w:sz w:val="21"/>
                      <w:szCs w:val="21"/>
                    </w:rPr>
                  </w:pPr>
                </w:p>
              </w:tc>
              <w:tc>
                <w:tcPr>
                  <w:tcW w:w="1074" w:type="dxa"/>
                  <w:shd w:val="clear" w:color="auto" w:fill="auto"/>
                  <w:vAlign w:val="center"/>
                </w:tcPr>
                <w:p w14:paraId="38802AA1">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平均值</w:t>
                  </w:r>
                </w:p>
              </w:tc>
              <w:tc>
                <w:tcPr>
                  <w:tcW w:w="1077" w:type="dxa"/>
                  <w:shd w:val="clear" w:color="auto" w:fill="auto"/>
                  <w:vAlign w:val="center"/>
                </w:tcPr>
                <w:p w14:paraId="36C02836">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w:t>
                  </w:r>
                </w:p>
              </w:tc>
              <w:tc>
                <w:tcPr>
                  <w:tcW w:w="1077" w:type="dxa"/>
                  <w:shd w:val="clear" w:color="auto" w:fill="auto"/>
                  <w:vAlign w:val="center"/>
                </w:tcPr>
                <w:p w14:paraId="0391F07E">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13898</w:t>
                  </w:r>
                </w:p>
              </w:tc>
              <w:tc>
                <w:tcPr>
                  <w:tcW w:w="1077" w:type="dxa"/>
                  <w:shd w:val="clear" w:color="auto" w:fill="auto"/>
                  <w:vAlign w:val="center"/>
                </w:tcPr>
                <w:p w14:paraId="7B0091AA">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w:t>
                  </w:r>
                </w:p>
              </w:tc>
              <w:tc>
                <w:tcPr>
                  <w:tcW w:w="1077" w:type="dxa"/>
                  <w:shd w:val="clear" w:color="auto" w:fill="auto"/>
                </w:tcPr>
                <w:p w14:paraId="3B0516BB">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1074" w:type="dxa"/>
                  <w:shd w:val="clear" w:color="auto" w:fill="auto"/>
                  <w:vAlign w:val="center"/>
                </w:tcPr>
                <w:p w14:paraId="709C5F92">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151AE34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107" w:type="dxa"/>
                  <w:vMerge w:val="restart"/>
                  <w:shd w:val="clear" w:color="auto" w:fill="auto"/>
                  <w:vAlign w:val="center"/>
                </w:tcPr>
                <w:p w14:paraId="5600AC71">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2024.10.24</w:t>
                  </w:r>
                </w:p>
              </w:tc>
              <w:tc>
                <w:tcPr>
                  <w:tcW w:w="1077" w:type="dxa"/>
                  <w:vMerge w:val="restart"/>
                  <w:shd w:val="clear" w:color="auto" w:fill="auto"/>
                  <w:vAlign w:val="center"/>
                </w:tcPr>
                <w:p w14:paraId="0616CCE2">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FQ-2</w:t>
                  </w:r>
                </w:p>
                <w:p w14:paraId="381AB153">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出口</w:t>
                  </w:r>
                </w:p>
              </w:tc>
              <w:tc>
                <w:tcPr>
                  <w:tcW w:w="1074" w:type="dxa"/>
                  <w:shd w:val="clear" w:color="auto" w:fill="auto"/>
                  <w:vAlign w:val="center"/>
                </w:tcPr>
                <w:p w14:paraId="45445B01">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第一次</w:t>
                  </w:r>
                </w:p>
              </w:tc>
              <w:tc>
                <w:tcPr>
                  <w:tcW w:w="1077" w:type="dxa"/>
                  <w:shd w:val="clear" w:color="auto" w:fill="auto"/>
                  <w:vAlign w:val="center"/>
                </w:tcPr>
                <w:p w14:paraId="1580C9EE">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w:t>
                  </w:r>
                </w:p>
              </w:tc>
              <w:tc>
                <w:tcPr>
                  <w:tcW w:w="1077" w:type="dxa"/>
                  <w:shd w:val="clear" w:color="auto" w:fill="auto"/>
                  <w:vAlign w:val="center"/>
                </w:tcPr>
                <w:p w14:paraId="6B2AEB45">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9031</w:t>
                  </w:r>
                </w:p>
              </w:tc>
              <w:tc>
                <w:tcPr>
                  <w:tcW w:w="1077" w:type="dxa"/>
                  <w:shd w:val="clear" w:color="auto" w:fill="auto"/>
                  <w:vAlign w:val="center"/>
                </w:tcPr>
                <w:p w14:paraId="3C4D813B">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c>
                <w:tcPr>
                  <w:tcW w:w="1077" w:type="dxa"/>
                  <w:shd w:val="clear" w:color="auto" w:fill="auto"/>
                  <w:vAlign w:val="center"/>
                </w:tcPr>
                <w:p w14:paraId="474DA2AC">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1074" w:type="dxa"/>
                  <w:shd w:val="clear" w:color="auto" w:fill="auto"/>
                  <w:vAlign w:val="center"/>
                </w:tcPr>
                <w:p w14:paraId="6E0FCEF6">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59B118E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107" w:type="dxa"/>
                  <w:vMerge w:val="continue"/>
                  <w:vAlign w:val="center"/>
                </w:tcPr>
                <w:p w14:paraId="4767DAC1">
                  <w:pPr>
                    <w:adjustRightInd/>
                    <w:snapToGrid/>
                    <w:spacing w:after="0"/>
                    <w:rPr>
                      <w:rFonts w:hint="default" w:ascii="Times New Roman" w:hAnsi="Times New Roman" w:eastAsia="宋体" w:cs="Times New Roman"/>
                      <w:color w:val="auto"/>
                      <w:sz w:val="21"/>
                      <w:szCs w:val="21"/>
                    </w:rPr>
                  </w:pPr>
                </w:p>
              </w:tc>
              <w:tc>
                <w:tcPr>
                  <w:tcW w:w="1077" w:type="dxa"/>
                  <w:vMerge w:val="continue"/>
                  <w:vAlign w:val="center"/>
                </w:tcPr>
                <w:p w14:paraId="14D38DFF">
                  <w:pPr>
                    <w:adjustRightInd/>
                    <w:snapToGrid/>
                    <w:spacing w:after="0"/>
                    <w:rPr>
                      <w:rFonts w:hint="default" w:ascii="Times New Roman" w:hAnsi="Times New Roman" w:eastAsia="宋体" w:cs="Times New Roman"/>
                      <w:color w:val="auto"/>
                      <w:sz w:val="21"/>
                      <w:szCs w:val="21"/>
                    </w:rPr>
                  </w:pPr>
                </w:p>
              </w:tc>
              <w:tc>
                <w:tcPr>
                  <w:tcW w:w="1074" w:type="dxa"/>
                  <w:shd w:val="clear" w:color="auto" w:fill="auto"/>
                  <w:vAlign w:val="center"/>
                </w:tcPr>
                <w:p w14:paraId="0C5E3F1F">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第二次</w:t>
                  </w:r>
                </w:p>
              </w:tc>
              <w:tc>
                <w:tcPr>
                  <w:tcW w:w="1077" w:type="dxa"/>
                  <w:shd w:val="clear" w:color="auto" w:fill="auto"/>
                  <w:vAlign w:val="center"/>
                </w:tcPr>
                <w:p w14:paraId="270C331C">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w:t>
                  </w:r>
                </w:p>
              </w:tc>
              <w:tc>
                <w:tcPr>
                  <w:tcW w:w="1077" w:type="dxa"/>
                  <w:shd w:val="clear" w:color="auto" w:fill="auto"/>
                  <w:vAlign w:val="center"/>
                </w:tcPr>
                <w:p w14:paraId="31F7B121">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9193</w:t>
                  </w:r>
                </w:p>
              </w:tc>
              <w:tc>
                <w:tcPr>
                  <w:tcW w:w="1077" w:type="dxa"/>
                  <w:shd w:val="clear" w:color="auto" w:fill="auto"/>
                  <w:vAlign w:val="center"/>
                </w:tcPr>
                <w:p w14:paraId="576184FA">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c>
                <w:tcPr>
                  <w:tcW w:w="1077" w:type="dxa"/>
                  <w:shd w:val="clear" w:color="auto" w:fill="auto"/>
                </w:tcPr>
                <w:p w14:paraId="5A39E460">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1074" w:type="dxa"/>
                  <w:shd w:val="clear" w:color="auto" w:fill="auto"/>
                  <w:vAlign w:val="center"/>
                </w:tcPr>
                <w:p w14:paraId="10C8BFF3">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40C69A7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107" w:type="dxa"/>
                  <w:vMerge w:val="continue"/>
                  <w:vAlign w:val="center"/>
                </w:tcPr>
                <w:p w14:paraId="03A5691D">
                  <w:pPr>
                    <w:adjustRightInd/>
                    <w:snapToGrid/>
                    <w:spacing w:after="0"/>
                    <w:rPr>
                      <w:rFonts w:hint="default" w:ascii="Times New Roman" w:hAnsi="Times New Roman" w:eastAsia="宋体" w:cs="Times New Roman"/>
                      <w:color w:val="auto"/>
                      <w:sz w:val="21"/>
                      <w:szCs w:val="21"/>
                    </w:rPr>
                  </w:pPr>
                </w:p>
              </w:tc>
              <w:tc>
                <w:tcPr>
                  <w:tcW w:w="1077" w:type="dxa"/>
                  <w:vMerge w:val="continue"/>
                  <w:vAlign w:val="center"/>
                </w:tcPr>
                <w:p w14:paraId="53984AEE">
                  <w:pPr>
                    <w:adjustRightInd/>
                    <w:snapToGrid/>
                    <w:spacing w:after="0"/>
                    <w:rPr>
                      <w:rFonts w:hint="default" w:ascii="Times New Roman" w:hAnsi="Times New Roman" w:eastAsia="宋体" w:cs="Times New Roman"/>
                      <w:color w:val="auto"/>
                      <w:sz w:val="21"/>
                      <w:szCs w:val="21"/>
                    </w:rPr>
                  </w:pPr>
                </w:p>
              </w:tc>
              <w:tc>
                <w:tcPr>
                  <w:tcW w:w="1074" w:type="dxa"/>
                  <w:shd w:val="clear" w:color="auto" w:fill="auto"/>
                  <w:vAlign w:val="center"/>
                </w:tcPr>
                <w:p w14:paraId="4D592BF8">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第三次</w:t>
                  </w:r>
                </w:p>
              </w:tc>
              <w:tc>
                <w:tcPr>
                  <w:tcW w:w="1077" w:type="dxa"/>
                  <w:shd w:val="clear" w:color="auto" w:fill="auto"/>
                  <w:vAlign w:val="center"/>
                </w:tcPr>
                <w:p w14:paraId="32B8DC3E">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w:t>
                  </w:r>
                </w:p>
              </w:tc>
              <w:tc>
                <w:tcPr>
                  <w:tcW w:w="1077" w:type="dxa"/>
                  <w:shd w:val="clear" w:color="auto" w:fill="auto"/>
                  <w:vAlign w:val="center"/>
                </w:tcPr>
                <w:p w14:paraId="3C21F2D9">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8547</w:t>
                  </w:r>
                </w:p>
              </w:tc>
              <w:tc>
                <w:tcPr>
                  <w:tcW w:w="1077" w:type="dxa"/>
                  <w:shd w:val="clear" w:color="auto" w:fill="auto"/>
                  <w:vAlign w:val="center"/>
                </w:tcPr>
                <w:p w14:paraId="21964942">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c>
                <w:tcPr>
                  <w:tcW w:w="1077" w:type="dxa"/>
                  <w:shd w:val="clear" w:color="auto" w:fill="auto"/>
                </w:tcPr>
                <w:p w14:paraId="1819B0C8">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1074" w:type="dxa"/>
                  <w:shd w:val="clear" w:color="auto" w:fill="auto"/>
                  <w:vAlign w:val="center"/>
                </w:tcPr>
                <w:p w14:paraId="1C7551FE">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29E560F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107" w:type="dxa"/>
                  <w:vMerge w:val="continue"/>
                  <w:vAlign w:val="center"/>
                </w:tcPr>
                <w:p w14:paraId="517FC906">
                  <w:pPr>
                    <w:adjustRightInd/>
                    <w:snapToGrid/>
                    <w:spacing w:after="0"/>
                    <w:rPr>
                      <w:rFonts w:hint="default" w:ascii="Times New Roman" w:hAnsi="Times New Roman" w:eastAsia="宋体" w:cs="Times New Roman"/>
                      <w:color w:val="auto"/>
                      <w:sz w:val="21"/>
                      <w:szCs w:val="21"/>
                    </w:rPr>
                  </w:pPr>
                </w:p>
              </w:tc>
              <w:tc>
                <w:tcPr>
                  <w:tcW w:w="1077" w:type="dxa"/>
                  <w:vMerge w:val="continue"/>
                  <w:vAlign w:val="center"/>
                </w:tcPr>
                <w:p w14:paraId="09584A79">
                  <w:pPr>
                    <w:adjustRightInd/>
                    <w:snapToGrid/>
                    <w:spacing w:after="0"/>
                    <w:rPr>
                      <w:rFonts w:hint="default" w:ascii="Times New Roman" w:hAnsi="Times New Roman" w:eastAsia="宋体" w:cs="Times New Roman"/>
                      <w:color w:val="auto"/>
                      <w:sz w:val="21"/>
                      <w:szCs w:val="21"/>
                    </w:rPr>
                  </w:pPr>
                </w:p>
              </w:tc>
              <w:tc>
                <w:tcPr>
                  <w:tcW w:w="1074" w:type="dxa"/>
                  <w:shd w:val="clear" w:color="auto" w:fill="auto"/>
                  <w:vAlign w:val="center"/>
                </w:tcPr>
                <w:p w14:paraId="298AB8CB">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第四次</w:t>
                  </w:r>
                </w:p>
              </w:tc>
              <w:tc>
                <w:tcPr>
                  <w:tcW w:w="1077" w:type="dxa"/>
                  <w:shd w:val="clear" w:color="auto" w:fill="auto"/>
                  <w:vAlign w:val="center"/>
                </w:tcPr>
                <w:p w14:paraId="0A51C707">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w:t>
                  </w:r>
                </w:p>
              </w:tc>
              <w:tc>
                <w:tcPr>
                  <w:tcW w:w="1077" w:type="dxa"/>
                  <w:shd w:val="clear" w:color="auto" w:fill="auto"/>
                  <w:vAlign w:val="center"/>
                </w:tcPr>
                <w:p w14:paraId="01BB9489">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9354</w:t>
                  </w:r>
                </w:p>
              </w:tc>
              <w:tc>
                <w:tcPr>
                  <w:tcW w:w="1077" w:type="dxa"/>
                  <w:shd w:val="clear" w:color="auto" w:fill="auto"/>
                  <w:vAlign w:val="center"/>
                </w:tcPr>
                <w:p w14:paraId="50CFF1BA">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0.6</w:t>
                  </w:r>
                </w:p>
              </w:tc>
              <w:tc>
                <w:tcPr>
                  <w:tcW w:w="1077" w:type="dxa"/>
                  <w:shd w:val="clear" w:color="auto" w:fill="auto"/>
                </w:tcPr>
                <w:p w14:paraId="42C27AD4">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1074" w:type="dxa"/>
                  <w:shd w:val="clear" w:color="auto" w:fill="auto"/>
                  <w:vAlign w:val="center"/>
                </w:tcPr>
                <w:p w14:paraId="3E62D8E9">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7463A89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85" w:hRule="atLeast"/>
              </w:trPr>
              <w:tc>
                <w:tcPr>
                  <w:tcW w:w="1107" w:type="dxa"/>
                  <w:vMerge w:val="continue"/>
                  <w:vAlign w:val="center"/>
                </w:tcPr>
                <w:p w14:paraId="2B88EB51">
                  <w:pPr>
                    <w:adjustRightInd/>
                    <w:snapToGrid/>
                    <w:spacing w:after="0"/>
                    <w:rPr>
                      <w:rFonts w:hint="default" w:ascii="Times New Roman" w:hAnsi="Times New Roman" w:eastAsia="宋体" w:cs="Times New Roman"/>
                      <w:color w:val="auto"/>
                      <w:sz w:val="21"/>
                      <w:szCs w:val="21"/>
                    </w:rPr>
                  </w:pPr>
                </w:p>
              </w:tc>
              <w:tc>
                <w:tcPr>
                  <w:tcW w:w="1077" w:type="dxa"/>
                  <w:vMerge w:val="continue"/>
                  <w:vAlign w:val="center"/>
                </w:tcPr>
                <w:p w14:paraId="36D89446">
                  <w:pPr>
                    <w:adjustRightInd/>
                    <w:snapToGrid/>
                    <w:spacing w:after="0"/>
                    <w:rPr>
                      <w:rFonts w:hint="default" w:ascii="Times New Roman" w:hAnsi="Times New Roman" w:eastAsia="宋体" w:cs="Times New Roman"/>
                      <w:color w:val="auto"/>
                      <w:sz w:val="21"/>
                      <w:szCs w:val="21"/>
                    </w:rPr>
                  </w:pPr>
                </w:p>
              </w:tc>
              <w:tc>
                <w:tcPr>
                  <w:tcW w:w="1074" w:type="dxa"/>
                  <w:shd w:val="clear" w:color="auto" w:fill="auto"/>
                  <w:vAlign w:val="center"/>
                </w:tcPr>
                <w:p w14:paraId="6580D365">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第五次</w:t>
                  </w:r>
                </w:p>
              </w:tc>
              <w:tc>
                <w:tcPr>
                  <w:tcW w:w="1077" w:type="dxa"/>
                  <w:shd w:val="clear" w:color="auto" w:fill="auto"/>
                  <w:vAlign w:val="center"/>
                </w:tcPr>
                <w:p w14:paraId="5AFA63AB">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w:t>
                  </w:r>
                </w:p>
              </w:tc>
              <w:tc>
                <w:tcPr>
                  <w:tcW w:w="1077" w:type="dxa"/>
                  <w:shd w:val="clear" w:color="auto" w:fill="auto"/>
                  <w:vAlign w:val="center"/>
                </w:tcPr>
                <w:p w14:paraId="0EA2DC87">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8918</w:t>
                  </w:r>
                </w:p>
              </w:tc>
              <w:tc>
                <w:tcPr>
                  <w:tcW w:w="1077" w:type="dxa"/>
                  <w:shd w:val="clear" w:color="auto" w:fill="auto"/>
                  <w:vAlign w:val="center"/>
                </w:tcPr>
                <w:p w14:paraId="15C6AD6C">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c>
                <w:tcPr>
                  <w:tcW w:w="1077" w:type="dxa"/>
                  <w:shd w:val="clear" w:color="auto" w:fill="auto"/>
                </w:tcPr>
                <w:p w14:paraId="16D3F42C">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1074" w:type="dxa"/>
                  <w:shd w:val="clear" w:color="auto" w:fill="auto"/>
                  <w:vAlign w:val="center"/>
                </w:tcPr>
                <w:p w14:paraId="552A2F30">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3770783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107" w:type="dxa"/>
                  <w:vMerge w:val="continue"/>
                  <w:vAlign w:val="center"/>
                </w:tcPr>
                <w:p w14:paraId="4FB1A51C">
                  <w:pPr>
                    <w:adjustRightInd/>
                    <w:snapToGrid/>
                    <w:spacing w:after="0"/>
                    <w:rPr>
                      <w:rFonts w:hint="default" w:ascii="Times New Roman" w:hAnsi="Times New Roman" w:eastAsia="宋体" w:cs="Times New Roman"/>
                      <w:color w:val="auto"/>
                      <w:sz w:val="21"/>
                      <w:szCs w:val="21"/>
                    </w:rPr>
                  </w:pPr>
                </w:p>
              </w:tc>
              <w:tc>
                <w:tcPr>
                  <w:tcW w:w="1077" w:type="dxa"/>
                  <w:vMerge w:val="continue"/>
                  <w:vAlign w:val="center"/>
                </w:tcPr>
                <w:p w14:paraId="0879A820">
                  <w:pPr>
                    <w:adjustRightInd/>
                    <w:snapToGrid/>
                    <w:spacing w:after="0"/>
                    <w:rPr>
                      <w:rFonts w:hint="default" w:ascii="Times New Roman" w:hAnsi="Times New Roman" w:eastAsia="宋体" w:cs="Times New Roman"/>
                      <w:color w:val="auto"/>
                      <w:sz w:val="21"/>
                      <w:szCs w:val="21"/>
                    </w:rPr>
                  </w:pPr>
                </w:p>
              </w:tc>
              <w:tc>
                <w:tcPr>
                  <w:tcW w:w="1074" w:type="dxa"/>
                  <w:shd w:val="clear" w:color="auto" w:fill="auto"/>
                  <w:vAlign w:val="center"/>
                </w:tcPr>
                <w:p w14:paraId="623A67D1">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平均值</w:t>
                  </w:r>
                </w:p>
              </w:tc>
              <w:tc>
                <w:tcPr>
                  <w:tcW w:w="1077" w:type="dxa"/>
                  <w:shd w:val="clear" w:color="auto" w:fill="auto"/>
                  <w:vAlign w:val="center"/>
                </w:tcPr>
                <w:p w14:paraId="1FB5E616">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w:t>
                  </w:r>
                </w:p>
              </w:tc>
              <w:tc>
                <w:tcPr>
                  <w:tcW w:w="1077" w:type="dxa"/>
                  <w:shd w:val="clear" w:color="auto" w:fill="auto"/>
                  <w:vAlign w:val="center"/>
                </w:tcPr>
                <w:p w14:paraId="34FFAB58">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9009</w:t>
                  </w:r>
                </w:p>
              </w:tc>
              <w:tc>
                <w:tcPr>
                  <w:tcW w:w="1077" w:type="dxa"/>
                  <w:shd w:val="clear" w:color="auto" w:fill="auto"/>
                  <w:vAlign w:val="center"/>
                </w:tcPr>
                <w:p w14:paraId="13064A28">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c>
                <w:tcPr>
                  <w:tcW w:w="1077" w:type="dxa"/>
                  <w:shd w:val="clear" w:color="auto" w:fill="auto"/>
                </w:tcPr>
                <w:p w14:paraId="1430626E">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1074" w:type="dxa"/>
                  <w:shd w:val="clear" w:color="auto" w:fill="auto"/>
                  <w:vAlign w:val="center"/>
                </w:tcPr>
                <w:p w14:paraId="4ADDEF54">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bl>
          <w:p w14:paraId="2B051A32">
            <w:pPr>
              <w:spacing w:after="0" w:line="500" w:lineRule="exact"/>
              <w:ind w:firstLine="482"/>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监测</w:t>
            </w:r>
            <w:r>
              <w:rPr>
                <w:rFonts w:hint="eastAsia" w:ascii="Times New Roman" w:hAnsi="Times New Roman" w:eastAsia="宋体" w:cs="Times New Roman"/>
                <w:color w:val="auto"/>
                <w:sz w:val="24"/>
                <w:szCs w:val="24"/>
                <w:lang w:eastAsia="zh-CN"/>
              </w:rPr>
              <w:t>结果表明：</w:t>
            </w:r>
            <w:r>
              <w:rPr>
                <w:rFonts w:hint="default" w:ascii="Times New Roman" w:hAnsi="Times New Roman" w:eastAsia="宋体" w:cs="Times New Roman"/>
                <w:color w:val="auto"/>
                <w:sz w:val="24"/>
                <w:szCs w:val="24"/>
              </w:rPr>
              <w:t>污水处理站无组织氨、硫化氢、臭气浓度排放满足</w:t>
            </w:r>
            <w:bookmarkStart w:id="12" w:name="_Hlk182473609"/>
            <w:r>
              <w:rPr>
                <w:rFonts w:hint="default" w:ascii="Times New Roman" w:hAnsi="Times New Roman" w:eastAsia="宋体" w:cs="Times New Roman"/>
                <w:color w:val="auto"/>
                <w:sz w:val="24"/>
                <w:szCs w:val="24"/>
              </w:rPr>
              <w:t>《恶臭污染物排放标准》（GB14554-93）中表1恶臭污染物厂界标准值中的二级（新扩改建）排放标准</w:t>
            </w:r>
            <w:bookmarkEnd w:id="12"/>
            <w:r>
              <w:rPr>
                <w:rFonts w:hint="default" w:ascii="Times New Roman" w:hAnsi="Times New Roman" w:eastAsia="宋体" w:cs="Times New Roman"/>
                <w:color w:val="auto"/>
                <w:sz w:val="24"/>
                <w:szCs w:val="24"/>
              </w:rPr>
              <w:t>，非甲烷总烃厂区内满足《大气污染物综合排放标准》（DB32/4041-2021）表2 VOCs无组织排放限值，厂界执行《大气污染物综合排放标准》（DB32/4041-2021）表3 单位边界大气污染物排放监控浓度限值。</w:t>
            </w:r>
          </w:p>
          <w:p w14:paraId="7B864A00">
            <w:pPr>
              <w:spacing w:before="48" w:beforeLines="20" w:after="0"/>
              <w:jc w:val="center"/>
              <w:rPr>
                <w:rFonts w:hint="default" w:ascii="Times New Roman" w:hAnsi="Times New Roman" w:eastAsia="宋体" w:cs="Times New Roman"/>
                <w:b/>
                <w:color w:val="auto"/>
                <w:sz w:val="24"/>
                <w:szCs w:val="21"/>
              </w:rPr>
            </w:pPr>
            <w:r>
              <w:rPr>
                <w:rFonts w:hint="default" w:ascii="Times New Roman" w:hAnsi="Times New Roman" w:eastAsia="宋体" w:cs="Times New Roman"/>
                <w:b/>
                <w:color w:val="auto"/>
                <w:sz w:val="24"/>
                <w:szCs w:val="21"/>
              </w:rPr>
              <w:t>表</w:t>
            </w:r>
            <w:r>
              <w:rPr>
                <w:rFonts w:hint="eastAsia" w:ascii="Times New Roman" w:hAnsi="Times New Roman" w:eastAsia="宋体" w:cs="Times New Roman"/>
                <w:b/>
                <w:color w:val="auto"/>
                <w:sz w:val="24"/>
                <w:szCs w:val="21"/>
                <w:lang w:val="en-US" w:eastAsia="zh-CN"/>
              </w:rPr>
              <w:t>2-1</w:t>
            </w:r>
            <w:r>
              <w:rPr>
                <w:rFonts w:hint="eastAsia" w:cs="Times New Roman"/>
                <w:b/>
                <w:color w:val="auto"/>
                <w:sz w:val="24"/>
                <w:szCs w:val="21"/>
                <w:lang w:val="en-US" w:eastAsia="zh-CN"/>
              </w:rPr>
              <w:t>2</w:t>
            </w:r>
            <w:r>
              <w:rPr>
                <w:rFonts w:hint="default" w:ascii="Times New Roman" w:hAnsi="Times New Roman" w:eastAsia="宋体" w:cs="Times New Roman"/>
                <w:b/>
                <w:color w:val="auto"/>
                <w:sz w:val="24"/>
                <w:szCs w:val="21"/>
              </w:rPr>
              <w:t xml:space="preserve">  无组织废气监测结果</w:t>
            </w:r>
          </w:p>
          <w:tbl>
            <w:tblPr>
              <w:tblStyle w:val="32"/>
              <w:tblW w:w="8562"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34"/>
              <w:gridCol w:w="946"/>
              <w:gridCol w:w="1216"/>
              <w:gridCol w:w="829"/>
              <w:gridCol w:w="849"/>
              <w:gridCol w:w="849"/>
              <w:gridCol w:w="854"/>
              <w:gridCol w:w="938"/>
              <w:gridCol w:w="847"/>
            </w:tblGrid>
            <w:tr w14:paraId="089C3EC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237" w:type="dxa"/>
                  <w:vMerge w:val="restart"/>
                  <w:shd w:val="clear" w:color="auto" w:fill="auto"/>
                  <w:vAlign w:val="center"/>
                </w:tcPr>
                <w:p w14:paraId="4CB9A722">
                  <w:pPr>
                    <w:adjustRightInd/>
                    <w:snapToGrid/>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采样日期</w:t>
                  </w:r>
                </w:p>
              </w:tc>
              <w:tc>
                <w:tcPr>
                  <w:tcW w:w="956" w:type="dxa"/>
                  <w:vMerge w:val="restart"/>
                  <w:shd w:val="clear" w:color="auto" w:fill="auto"/>
                  <w:vAlign w:val="center"/>
                </w:tcPr>
                <w:p w14:paraId="28F2AC08">
                  <w:pPr>
                    <w:adjustRightInd/>
                    <w:snapToGrid/>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检测项目</w:t>
                  </w:r>
                </w:p>
              </w:tc>
              <w:tc>
                <w:tcPr>
                  <w:tcW w:w="1239" w:type="dxa"/>
                  <w:vMerge w:val="restart"/>
                  <w:shd w:val="clear" w:color="auto" w:fill="auto"/>
                  <w:vAlign w:val="center"/>
                </w:tcPr>
                <w:p w14:paraId="4A007DB1">
                  <w:pPr>
                    <w:adjustRightInd/>
                    <w:snapToGrid/>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采样点位</w:t>
                  </w:r>
                </w:p>
              </w:tc>
              <w:tc>
                <w:tcPr>
                  <w:tcW w:w="3395" w:type="dxa"/>
                  <w:gridSpan w:val="4"/>
                  <w:shd w:val="clear" w:color="auto" w:fill="auto"/>
                  <w:vAlign w:val="center"/>
                </w:tcPr>
                <w:p w14:paraId="0F5AB57B">
                  <w:pPr>
                    <w:adjustRightInd/>
                    <w:snapToGrid/>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检测结果mg/m</w:t>
                  </w:r>
                  <w:r>
                    <w:rPr>
                      <w:rFonts w:hint="default" w:ascii="Times New Roman" w:hAnsi="Times New Roman" w:eastAsia="宋体" w:cs="Times New Roman"/>
                      <w:b/>
                      <w:bCs/>
                      <w:color w:val="auto"/>
                      <w:sz w:val="21"/>
                      <w:szCs w:val="21"/>
                      <w:vertAlign w:val="superscript"/>
                    </w:rPr>
                    <w:t>３</w:t>
                  </w:r>
                </w:p>
              </w:tc>
              <w:tc>
                <w:tcPr>
                  <w:tcW w:w="888" w:type="dxa"/>
                  <w:vMerge w:val="restart"/>
                  <w:shd w:val="clear" w:color="auto" w:fill="auto"/>
                  <w:vAlign w:val="center"/>
                </w:tcPr>
                <w:p w14:paraId="189CDCBC">
                  <w:pPr>
                    <w:adjustRightInd/>
                    <w:snapToGrid/>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标准值(mg/m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w:t>
                  </w:r>
                </w:p>
              </w:tc>
              <w:tc>
                <w:tcPr>
                  <w:tcW w:w="847" w:type="dxa"/>
                  <w:vMerge w:val="restart"/>
                  <w:shd w:val="clear" w:color="auto" w:fill="auto"/>
                  <w:vAlign w:val="center"/>
                </w:tcPr>
                <w:p w14:paraId="53181E45">
                  <w:pPr>
                    <w:adjustRightInd/>
                    <w:snapToGrid/>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评价结果</w:t>
                  </w:r>
                </w:p>
              </w:tc>
            </w:tr>
            <w:tr w14:paraId="0374613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37" w:type="dxa"/>
                  <w:vMerge w:val="continue"/>
                  <w:vAlign w:val="center"/>
                </w:tcPr>
                <w:p w14:paraId="4E0CD15C">
                  <w:pPr>
                    <w:adjustRightInd/>
                    <w:snapToGrid/>
                    <w:spacing w:after="0"/>
                    <w:rPr>
                      <w:rFonts w:hint="default" w:ascii="Times New Roman" w:hAnsi="Times New Roman" w:eastAsia="宋体" w:cs="Times New Roman"/>
                      <w:b/>
                      <w:bCs/>
                      <w:color w:val="auto"/>
                      <w:sz w:val="21"/>
                      <w:szCs w:val="21"/>
                    </w:rPr>
                  </w:pPr>
                </w:p>
              </w:tc>
              <w:tc>
                <w:tcPr>
                  <w:tcW w:w="956" w:type="dxa"/>
                  <w:vMerge w:val="continue"/>
                  <w:vAlign w:val="center"/>
                </w:tcPr>
                <w:p w14:paraId="71E1CE1A">
                  <w:pPr>
                    <w:adjustRightInd/>
                    <w:snapToGrid/>
                    <w:spacing w:after="0"/>
                    <w:rPr>
                      <w:rFonts w:hint="default" w:ascii="Times New Roman" w:hAnsi="Times New Roman" w:eastAsia="宋体" w:cs="Times New Roman"/>
                      <w:b/>
                      <w:bCs/>
                      <w:color w:val="auto"/>
                      <w:sz w:val="21"/>
                      <w:szCs w:val="21"/>
                    </w:rPr>
                  </w:pPr>
                </w:p>
              </w:tc>
              <w:tc>
                <w:tcPr>
                  <w:tcW w:w="1239" w:type="dxa"/>
                  <w:vMerge w:val="continue"/>
                  <w:vAlign w:val="center"/>
                </w:tcPr>
                <w:p w14:paraId="6DC0D07E">
                  <w:pPr>
                    <w:adjustRightInd/>
                    <w:snapToGrid/>
                    <w:spacing w:after="0"/>
                    <w:rPr>
                      <w:rFonts w:hint="default" w:ascii="Times New Roman" w:hAnsi="Times New Roman" w:eastAsia="宋体" w:cs="Times New Roman"/>
                      <w:b/>
                      <w:bCs/>
                      <w:color w:val="auto"/>
                      <w:sz w:val="21"/>
                      <w:szCs w:val="21"/>
                    </w:rPr>
                  </w:pPr>
                </w:p>
              </w:tc>
              <w:tc>
                <w:tcPr>
                  <w:tcW w:w="833" w:type="dxa"/>
                  <w:shd w:val="clear" w:color="auto" w:fill="auto"/>
                  <w:vAlign w:val="center"/>
                </w:tcPr>
                <w:p w14:paraId="71E38B2B">
                  <w:pPr>
                    <w:adjustRightInd/>
                    <w:snapToGrid/>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1</w:t>
                  </w:r>
                </w:p>
              </w:tc>
              <w:tc>
                <w:tcPr>
                  <w:tcW w:w="854" w:type="dxa"/>
                  <w:shd w:val="clear" w:color="auto" w:fill="auto"/>
                  <w:vAlign w:val="center"/>
                </w:tcPr>
                <w:p w14:paraId="27E9E06A">
                  <w:pPr>
                    <w:adjustRightInd/>
                    <w:snapToGrid/>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w:t>
                  </w:r>
                </w:p>
              </w:tc>
              <w:tc>
                <w:tcPr>
                  <w:tcW w:w="854" w:type="dxa"/>
                  <w:shd w:val="clear" w:color="auto" w:fill="auto"/>
                  <w:vAlign w:val="center"/>
                </w:tcPr>
                <w:p w14:paraId="70A87A83">
                  <w:pPr>
                    <w:adjustRightInd/>
                    <w:snapToGrid/>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3</w:t>
                  </w:r>
                </w:p>
              </w:tc>
              <w:tc>
                <w:tcPr>
                  <w:tcW w:w="854" w:type="dxa"/>
                  <w:shd w:val="clear" w:color="auto" w:fill="auto"/>
                  <w:noWrap/>
                  <w:vAlign w:val="center"/>
                </w:tcPr>
                <w:p w14:paraId="2018EC59">
                  <w:pPr>
                    <w:adjustRightInd/>
                    <w:snapToGrid/>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均值</w:t>
                  </w:r>
                </w:p>
              </w:tc>
              <w:tc>
                <w:tcPr>
                  <w:tcW w:w="888" w:type="dxa"/>
                  <w:vMerge w:val="continue"/>
                  <w:vAlign w:val="center"/>
                </w:tcPr>
                <w:p w14:paraId="585D13BD">
                  <w:pPr>
                    <w:adjustRightInd/>
                    <w:snapToGrid/>
                    <w:spacing w:after="0"/>
                    <w:rPr>
                      <w:rFonts w:hint="default" w:ascii="Times New Roman" w:hAnsi="Times New Roman" w:eastAsia="宋体" w:cs="Times New Roman"/>
                      <w:b/>
                      <w:bCs/>
                      <w:color w:val="auto"/>
                      <w:sz w:val="21"/>
                      <w:szCs w:val="21"/>
                    </w:rPr>
                  </w:pPr>
                </w:p>
              </w:tc>
              <w:tc>
                <w:tcPr>
                  <w:tcW w:w="847" w:type="dxa"/>
                  <w:vMerge w:val="continue"/>
                  <w:vAlign w:val="center"/>
                </w:tcPr>
                <w:p w14:paraId="58BF1511">
                  <w:pPr>
                    <w:adjustRightInd/>
                    <w:snapToGrid/>
                    <w:spacing w:after="0"/>
                    <w:rPr>
                      <w:rFonts w:hint="default" w:ascii="Times New Roman" w:hAnsi="Times New Roman" w:eastAsia="宋体" w:cs="Times New Roman"/>
                      <w:b/>
                      <w:bCs/>
                      <w:color w:val="auto"/>
                      <w:sz w:val="21"/>
                      <w:szCs w:val="21"/>
                    </w:rPr>
                  </w:pPr>
                </w:p>
              </w:tc>
            </w:tr>
            <w:tr w14:paraId="3F1DC5B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37" w:type="dxa"/>
                  <w:vMerge w:val="restart"/>
                  <w:shd w:val="clear" w:color="auto" w:fill="auto"/>
                  <w:vAlign w:val="center"/>
                </w:tcPr>
                <w:p w14:paraId="2E81319B">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2024.10.23</w:t>
                  </w:r>
                </w:p>
              </w:tc>
              <w:tc>
                <w:tcPr>
                  <w:tcW w:w="956" w:type="dxa"/>
                  <w:vMerge w:val="restart"/>
                  <w:shd w:val="clear" w:color="auto" w:fill="auto"/>
                  <w:vAlign w:val="center"/>
                </w:tcPr>
                <w:p w14:paraId="4D3E72CF">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硫化氢</w:t>
                  </w:r>
                </w:p>
              </w:tc>
              <w:tc>
                <w:tcPr>
                  <w:tcW w:w="1239" w:type="dxa"/>
                  <w:shd w:val="clear" w:color="auto" w:fill="auto"/>
                  <w:vAlign w:val="center"/>
                </w:tcPr>
                <w:p w14:paraId="71AB8196">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G1上风向</w:t>
                  </w:r>
                </w:p>
              </w:tc>
              <w:tc>
                <w:tcPr>
                  <w:tcW w:w="833" w:type="dxa"/>
                  <w:shd w:val="clear" w:color="auto" w:fill="auto"/>
                  <w:vAlign w:val="center"/>
                </w:tcPr>
                <w:p w14:paraId="195A613A">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w:t>
                  </w:r>
                </w:p>
              </w:tc>
              <w:tc>
                <w:tcPr>
                  <w:tcW w:w="854" w:type="dxa"/>
                  <w:shd w:val="clear" w:color="auto" w:fill="auto"/>
                  <w:vAlign w:val="center"/>
                </w:tcPr>
                <w:p w14:paraId="0BBFB8A6">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w:t>
                  </w:r>
                </w:p>
              </w:tc>
              <w:tc>
                <w:tcPr>
                  <w:tcW w:w="854" w:type="dxa"/>
                  <w:shd w:val="clear" w:color="auto" w:fill="auto"/>
                  <w:vAlign w:val="center"/>
                </w:tcPr>
                <w:p w14:paraId="0C91635A">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w:t>
                  </w:r>
                </w:p>
              </w:tc>
              <w:tc>
                <w:tcPr>
                  <w:tcW w:w="854" w:type="dxa"/>
                  <w:shd w:val="clear" w:color="auto" w:fill="auto"/>
                  <w:noWrap/>
                  <w:vAlign w:val="center"/>
                </w:tcPr>
                <w:p w14:paraId="3BD7FC67">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w:t>
                  </w:r>
                </w:p>
              </w:tc>
              <w:tc>
                <w:tcPr>
                  <w:tcW w:w="888" w:type="dxa"/>
                  <w:shd w:val="clear" w:color="auto" w:fill="auto"/>
                  <w:vAlign w:val="center"/>
                </w:tcPr>
                <w:p w14:paraId="2F8E4E30">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0.06</w:t>
                  </w:r>
                </w:p>
              </w:tc>
              <w:tc>
                <w:tcPr>
                  <w:tcW w:w="847" w:type="dxa"/>
                  <w:shd w:val="clear" w:color="auto" w:fill="auto"/>
                  <w:noWrap/>
                  <w:vAlign w:val="center"/>
                </w:tcPr>
                <w:p w14:paraId="3A38FEB8">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021945E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37" w:type="dxa"/>
                  <w:vMerge w:val="continue"/>
                  <w:vAlign w:val="center"/>
                </w:tcPr>
                <w:p w14:paraId="1D6E4960">
                  <w:pPr>
                    <w:adjustRightInd/>
                    <w:snapToGrid/>
                    <w:spacing w:after="0"/>
                    <w:rPr>
                      <w:rFonts w:hint="default" w:ascii="Times New Roman" w:hAnsi="Times New Roman" w:eastAsia="宋体" w:cs="Times New Roman"/>
                      <w:color w:val="auto"/>
                      <w:sz w:val="21"/>
                      <w:szCs w:val="21"/>
                    </w:rPr>
                  </w:pPr>
                </w:p>
              </w:tc>
              <w:tc>
                <w:tcPr>
                  <w:tcW w:w="956" w:type="dxa"/>
                  <w:vMerge w:val="continue"/>
                  <w:vAlign w:val="center"/>
                </w:tcPr>
                <w:p w14:paraId="46BDB296">
                  <w:pPr>
                    <w:adjustRightInd/>
                    <w:snapToGrid/>
                    <w:spacing w:after="0"/>
                    <w:rPr>
                      <w:rFonts w:hint="default" w:ascii="Times New Roman" w:hAnsi="Times New Roman" w:eastAsia="宋体" w:cs="Times New Roman"/>
                      <w:color w:val="auto"/>
                      <w:sz w:val="21"/>
                      <w:szCs w:val="21"/>
                    </w:rPr>
                  </w:pPr>
                </w:p>
              </w:tc>
              <w:tc>
                <w:tcPr>
                  <w:tcW w:w="1239" w:type="dxa"/>
                  <w:shd w:val="clear" w:color="auto" w:fill="auto"/>
                  <w:vAlign w:val="center"/>
                </w:tcPr>
                <w:p w14:paraId="1D448DBC">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G2下风向</w:t>
                  </w:r>
                </w:p>
              </w:tc>
              <w:tc>
                <w:tcPr>
                  <w:tcW w:w="833" w:type="dxa"/>
                  <w:shd w:val="clear" w:color="auto" w:fill="auto"/>
                  <w:vAlign w:val="center"/>
                </w:tcPr>
                <w:p w14:paraId="12C9D150">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w:t>
                  </w:r>
                </w:p>
              </w:tc>
              <w:tc>
                <w:tcPr>
                  <w:tcW w:w="854" w:type="dxa"/>
                  <w:shd w:val="clear" w:color="auto" w:fill="auto"/>
                  <w:vAlign w:val="center"/>
                </w:tcPr>
                <w:p w14:paraId="30DD8C57">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w:t>
                  </w:r>
                </w:p>
              </w:tc>
              <w:tc>
                <w:tcPr>
                  <w:tcW w:w="854" w:type="dxa"/>
                  <w:shd w:val="clear" w:color="auto" w:fill="auto"/>
                  <w:vAlign w:val="center"/>
                </w:tcPr>
                <w:p w14:paraId="2225AC4D">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0.002</w:t>
                  </w:r>
                </w:p>
              </w:tc>
              <w:tc>
                <w:tcPr>
                  <w:tcW w:w="854" w:type="dxa"/>
                  <w:shd w:val="clear" w:color="auto" w:fill="auto"/>
                  <w:noWrap/>
                  <w:vAlign w:val="center"/>
                </w:tcPr>
                <w:p w14:paraId="59E1D041">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w:t>
                  </w:r>
                </w:p>
              </w:tc>
              <w:tc>
                <w:tcPr>
                  <w:tcW w:w="888" w:type="dxa"/>
                  <w:shd w:val="clear" w:color="auto" w:fill="auto"/>
                  <w:vAlign w:val="center"/>
                </w:tcPr>
                <w:p w14:paraId="6B8040CF">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0.06</w:t>
                  </w:r>
                </w:p>
              </w:tc>
              <w:tc>
                <w:tcPr>
                  <w:tcW w:w="847" w:type="dxa"/>
                  <w:shd w:val="clear" w:color="auto" w:fill="auto"/>
                  <w:noWrap/>
                  <w:vAlign w:val="center"/>
                </w:tcPr>
                <w:p w14:paraId="0392CE12">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6412A9F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37" w:type="dxa"/>
                  <w:vMerge w:val="continue"/>
                  <w:vAlign w:val="center"/>
                </w:tcPr>
                <w:p w14:paraId="717068B5">
                  <w:pPr>
                    <w:adjustRightInd/>
                    <w:snapToGrid/>
                    <w:spacing w:after="0"/>
                    <w:rPr>
                      <w:rFonts w:hint="default" w:ascii="Times New Roman" w:hAnsi="Times New Roman" w:eastAsia="宋体" w:cs="Times New Roman"/>
                      <w:color w:val="auto"/>
                      <w:sz w:val="21"/>
                      <w:szCs w:val="21"/>
                    </w:rPr>
                  </w:pPr>
                </w:p>
              </w:tc>
              <w:tc>
                <w:tcPr>
                  <w:tcW w:w="956" w:type="dxa"/>
                  <w:vMerge w:val="continue"/>
                  <w:vAlign w:val="center"/>
                </w:tcPr>
                <w:p w14:paraId="548C61E8">
                  <w:pPr>
                    <w:adjustRightInd/>
                    <w:snapToGrid/>
                    <w:spacing w:after="0"/>
                    <w:rPr>
                      <w:rFonts w:hint="default" w:ascii="Times New Roman" w:hAnsi="Times New Roman" w:eastAsia="宋体" w:cs="Times New Roman"/>
                      <w:color w:val="auto"/>
                      <w:sz w:val="21"/>
                      <w:szCs w:val="21"/>
                    </w:rPr>
                  </w:pPr>
                </w:p>
              </w:tc>
              <w:tc>
                <w:tcPr>
                  <w:tcW w:w="1239" w:type="dxa"/>
                  <w:shd w:val="clear" w:color="auto" w:fill="auto"/>
                  <w:vAlign w:val="center"/>
                </w:tcPr>
                <w:p w14:paraId="513B4673">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G3下风向</w:t>
                  </w:r>
                </w:p>
              </w:tc>
              <w:tc>
                <w:tcPr>
                  <w:tcW w:w="833" w:type="dxa"/>
                  <w:shd w:val="clear" w:color="auto" w:fill="auto"/>
                  <w:vAlign w:val="center"/>
                </w:tcPr>
                <w:p w14:paraId="3EF8EDB0">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0.002</w:t>
                  </w:r>
                </w:p>
              </w:tc>
              <w:tc>
                <w:tcPr>
                  <w:tcW w:w="854" w:type="dxa"/>
                  <w:shd w:val="clear" w:color="auto" w:fill="auto"/>
                  <w:vAlign w:val="center"/>
                </w:tcPr>
                <w:p w14:paraId="54D3B9C8">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0.003</w:t>
                  </w:r>
                </w:p>
              </w:tc>
              <w:tc>
                <w:tcPr>
                  <w:tcW w:w="854" w:type="dxa"/>
                  <w:shd w:val="clear" w:color="auto" w:fill="auto"/>
                  <w:vAlign w:val="center"/>
                </w:tcPr>
                <w:p w14:paraId="135C851B">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0.002</w:t>
                  </w:r>
                </w:p>
              </w:tc>
              <w:tc>
                <w:tcPr>
                  <w:tcW w:w="854" w:type="dxa"/>
                  <w:shd w:val="clear" w:color="auto" w:fill="auto"/>
                  <w:noWrap/>
                  <w:vAlign w:val="center"/>
                </w:tcPr>
                <w:p w14:paraId="66B77E23">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0.002</w:t>
                  </w:r>
                </w:p>
              </w:tc>
              <w:tc>
                <w:tcPr>
                  <w:tcW w:w="888" w:type="dxa"/>
                  <w:shd w:val="clear" w:color="auto" w:fill="auto"/>
                  <w:vAlign w:val="center"/>
                </w:tcPr>
                <w:p w14:paraId="24A0531D">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0.06</w:t>
                  </w:r>
                </w:p>
              </w:tc>
              <w:tc>
                <w:tcPr>
                  <w:tcW w:w="847" w:type="dxa"/>
                  <w:shd w:val="clear" w:color="auto" w:fill="auto"/>
                  <w:noWrap/>
                  <w:vAlign w:val="center"/>
                </w:tcPr>
                <w:p w14:paraId="2C91D1BF">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4115753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37" w:type="dxa"/>
                  <w:vMerge w:val="continue"/>
                  <w:vAlign w:val="center"/>
                </w:tcPr>
                <w:p w14:paraId="319AD8F7">
                  <w:pPr>
                    <w:adjustRightInd/>
                    <w:snapToGrid/>
                    <w:spacing w:after="0"/>
                    <w:rPr>
                      <w:rFonts w:hint="default" w:ascii="Times New Roman" w:hAnsi="Times New Roman" w:eastAsia="宋体" w:cs="Times New Roman"/>
                      <w:color w:val="auto"/>
                      <w:sz w:val="21"/>
                      <w:szCs w:val="21"/>
                    </w:rPr>
                  </w:pPr>
                </w:p>
              </w:tc>
              <w:tc>
                <w:tcPr>
                  <w:tcW w:w="956" w:type="dxa"/>
                  <w:vMerge w:val="continue"/>
                  <w:vAlign w:val="center"/>
                </w:tcPr>
                <w:p w14:paraId="71C7B71A">
                  <w:pPr>
                    <w:adjustRightInd/>
                    <w:snapToGrid/>
                    <w:spacing w:after="0"/>
                    <w:rPr>
                      <w:rFonts w:hint="default" w:ascii="Times New Roman" w:hAnsi="Times New Roman" w:eastAsia="宋体" w:cs="Times New Roman"/>
                      <w:color w:val="auto"/>
                      <w:sz w:val="21"/>
                      <w:szCs w:val="21"/>
                    </w:rPr>
                  </w:pPr>
                </w:p>
              </w:tc>
              <w:tc>
                <w:tcPr>
                  <w:tcW w:w="1239" w:type="dxa"/>
                  <w:shd w:val="clear" w:color="auto" w:fill="auto"/>
                  <w:vAlign w:val="center"/>
                </w:tcPr>
                <w:p w14:paraId="11612311">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G4下风向</w:t>
                  </w:r>
                </w:p>
              </w:tc>
              <w:tc>
                <w:tcPr>
                  <w:tcW w:w="833" w:type="dxa"/>
                  <w:shd w:val="clear" w:color="auto" w:fill="auto"/>
                  <w:vAlign w:val="center"/>
                </w:tcPr>
                <w:p w14:paraId="55B5E9CE">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0.002</w:t>
                  </w:r>
                </w:p>
              </w:tc>
              <w:tc>
                <w:tcPr>
                  <w:tcW w:w="854" w:type="dxa"/>
                  <w:shd w:val="clear" w:color="auto" w:fill="auto"/>
                  <w:vAlign w:val="center"/>
                </w:tcPr>
                <w:p w14:paraId="59E8D712">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w:t>
                  </w:r>
                </w:p>
              </w:tc>
              <w:tc>
                <w:tcPr>
                  <w:tcW w:w="854" w:type="dxa"/>
                  <w:shd w:val="clear" w:color="auto" w:fill="auto"/>
                  <w:vAlign w:val="center"/>
                </w:tcPr>
                <w:p w14:paraId="0DBFF33D">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0.002</w:t>
                  </w:r>
                </w:p>
              </w:tc>
              <w:tc>
                <w:tcPr>
                  <w:tcW w:w="854" w:type="dxa"/>
                  <w:shd w:val="clear" w:color="auto" w:fill="auto"/>
                  <w:noWrap/>
                  <w:vAlign w:val="center"/>
                </w:tcPr>
                <w:p w14:paraId="2A4CF8BE">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0.002</w:t>
                  </w:r>
                </w:p>
              </w:tc>
              <w:tc>
                <w:tcPr>
                  <w:tcW w:w="888" w:type="dxa"/>
                  <w:shd w:val="clear" w:color="auto" w:fill="auto"/>
                  <w:vAlign w:val="center"/>
                </w:tcPr>
                <w:p w14:paraId="008968B9">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0.06</w:t>
                  </w:r>
                </w:p>
              </w:tc>
              <w:tc>
                <w:tcPr>
                  <w:tcW w:w="847" w:type="dxa"/>
                  <w:shd w:val="clear" w:color="auto" w:fill="auto"/>
                  <w:noWrap/>
                  <w:vAlign w:val="center"/>
                </w:tcPr>
                <w:p w14:paraId="0F05A455">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6990EA7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37" w:type="dxa"/>
                  <w:vMerge w:val="continue"/>
                  <w:vAlign w:val="center"/>
                </w:tcPr>
                <w:p w14:paraId="206920E3">
                  <w:pPr>
                    <w:adjustRightInd/>
                    <w:snapToGrid/>
                    <w:spacing w:after="0"/>
                    <w:rPr>
                      <w:rFonts w:hint="default" w:ascii="Times New Roman" w:hAnsi="Times New Roman" w:eastAsia="宋体" w:cs="Times New Roman"/>
                      <w:color w:val="auto"/>
                      <w:sz w:val="21"/>
                      <w:szCs w:val="21"/>
                    </w:rPr>
                  </w:pPr>
                </w:p>
              </w:tc>
              <w:tc>
                <w:tcPr>
                  <w:tcW w:w="956" w:type="dxa"/>
                  <w:vMerge w:val="restart"/>
                  <w:shd w:val="clear" w:color="auto" w:fill="auto"/>
                  <w:vAlign w:val="center"/>
                </w:tcPr>
                <w:p w14:paraId="646C6D93">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w:t>
                  </w:r>
                </w:p>
              </w:tc>
              <w:tc>
                <w:tcPr>
                  <w:tcW w:w="1239" w:type="dxa"/>
                  <w:shd w:val="clear" w:color="auto" w:fill="auto"/>
                  <w:vAlign w:val="center"/>
                </w:tcPr>
                <w:p w14:paraId="095C2B1B">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G1上风向</w:t>
                  </w:r>
                </w:p>
              </w:tc>
              <w:tc>
                <w:tcPr>
                  <w:tcW w:w="833" w:type="dxa"/>
                  <w:shd w:val="clear" w:color="auto" w:fill="auto"/>
                  <w:vAlign w:val="center"/>
                </w:tcPr>
                <w:p w14:paraId="6A1505E2">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0.04</w:t>
                  </w:r>
                </w:p>
              </w:tc>
              <w:tc>
                <w:tcPr>
                  <w:tcW w:w="854" w:type="dxa"/>
                  <w:shd w:val="clear" w:color="auto" w:fill="auto"/>
                  <w:vAlign w:val="center"/>
                </w:tcPr>
                <w:p w14:paraId="4F1D5F90">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0.03</w:t>
                  </w:r>
                </w:p>
              </w:tc>
              <w:tc>
                <w:tcPr>
                  <w:tcW w:w="854" w:type="dxa"/>
                  <w:shd w:val="clear" w:color="auto" w:fill="auto"/>
                  <w:vAlign w:val="center"/>
                </w:tcPr>
                <w:p w14:paraId="346F53BA">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0.03</w:t>
                  </w:r>
                </w:p>
              </w:tc>
              <w:tc>
                <w:tcPr>
                  <w:tcW w:w="854" w:type="dxa"/>
                  <w:shd w:val="clear" w:color="auto" w:fill="auto"/>
                  <w:noWrap/>
                  <w:vAlign w:val="center"/>
                </w:tcPr>
                <w:p w14:paraId="271269FE">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0.03</w:t>
                  </w:r>
                </w:p>
              </w:tc>
              <w:tc>
                <w:tcPr>
                  <w:tcW w:w="888" w:type="dxa"/>
                  <w:shd w:val="clear" w:color="auto" w:fill="auto"/>
                  <w:vAlign w:val="center"/>
                </w:tcPr>
                <w:p w14:paraId="6EBCAC5E">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847" w:type="dxa"/>
                  <w:shd w:val="clear" w:color="auto" w:fill="auto"/>
                  <w:noWrap/>
                  <w:vAlign w:val="center"/>
                </w:tcPr>
                <w:p w14:paraId="452A11B7">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01AF204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37" w:type="dxa"/>
                  <w:vMerge w:val="continue"/>
                  <w:vAlign w:val="center"/>
                </w:tcPr>
                <w:p w14:paraId="3F993660">
                  <w:pPr>
                    <w:adjustRightInd/>
                    <w:snapToGrid/>
                    <w:spacing w:after="0"/>
                    <w:rPr>
                      <w:rFonts w:hint="default" w:ascii="Times New Roman" w:hAnsi="Times New Roman" w:eastAsia="宋体" w:cs="Times New Roman"/>
                      <w:color w:val="auto"/>
                      <w:sz w:val="21"/>
                      <w:szCs w:val="21"/>
                    </w:rPr>
                  </w:pPr>
                </w:p>
              </w:tc>
              <w:tc>
                <w:tcPr>
                  <w:tcW w:w="956" w:type="dxa"/>
                  <w:vMerge w:val="continue"/>
                  <w:vAlign w:val="center"/>
                </w:tcPr>
                <w:p w14:paraId="33030D91">
                  <w:pPr>
                    <w:adjustRightInd/>
                    <w:snapToGrid/>
                    <w:spacing w:after="0"/>
                    <w:rPr>
                      <w:rFonts w:hint="default" w:ascii="Times New Roman" w:hAnsi="Times New Roman" w:eastAsia="宋体" w:cs="Times New Roman"/>
                      <w:color w:val="auto"/>
                      <w:sz w:val="21"/>
                      <w:szCs w:val="21"/>
                    </w:rPr>
                  </w:pPr>
                </w:p>
              </w:tc>
              <w:tc>
                <w:tcPr>
                  <w:tcW w:w="1239" w:type="dxa"/>
                  <w:shd w:val="clear" w:color="auto" w:fill="auto"/>
                  <w:vAlign w:val="center"/>
                </w:tcPr>
                <w:p w14:paraId="2B895709">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G2下风向</w:t>
                  </w:r>
                </w:p>
              </w:tc>
              <w:tc>
                <w:tcPr>
                  <w:tcW w:w="833" w:type="dxa"/>
                  <w:shd w:val="clear" w:color="auto" w:fill="auto"/>
                  <w:vAlign w:val="center"/>
                </w:tcPr>
                <w:p w14:paraId="631EB8D1">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0.07</w:t>
                  </w:r>
                </w:p>
              </w:tc>
              <w:tc>
                <w:tcPr>
                  <w:tcW w:w="854" w:type="dxa"/>
                  <w:shd w:val="clear" w:color="auto" w:fill="auto"/>
                  <w:vAlign w:val="center"/>
                </w:tcPr>
                <w:p w14:paraId="37041AAD">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w:t>
                  </w:r>
                </w:p>
              </w:tc>
              <w:tc>
                <w:tcPr>
                  <w:tcW w:w="854" w:type="dxa"/>
                  <w:shd w:val="clear" w:color="auto" w:fill="auto"/>
                  <w:vAlign w:val="center"/>
                </w:tcPr>
                <w:p w14:paraId="2DCEEDCF">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0.08</w:t>
                  </w:r>
                </w:p>
              </w:tc>
              <w:tc>
                <w:tcPr>
                  <w:tcW w:w="854" w:type="dxa"/>
                  <w:shd w:val="clear" w:color="auto" w:fill="auto"/>
                  <w:noWrap/>
                  <w:vAlign w:val="center"/>
                </w:tcPr>
                <w:p w14:paraId="1B23FFEA">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0.07</w:t>
                  </w:r>
                </w:p>
              </w:tc>
              <w:tc>
                <w:tcPr>
                  <w:tcW w:w="888" w:type="dxa"/>
                  <w:shd w:val="clear" w:color="auto" w:fill="auto"/>
                  <w:noWrap/>
                  <w:vAlign w:val="center"/>
                </w:tcPr>
                <w:p w14:paraId="6694C4B6">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847" w:type="dxa"/>
                  <w:shd w:val="clear" w:color="auto" w:fill="auto"/>
                  <w:noWrap/>
                  <w:vAlign w:val="center"/>
                </w:tcPr>
                <w:p w14:paraId="6CD40CAA">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5CAE2FF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37" w:type="dxa"/>
                  <w:vMerge w:val="continue"/>
                  <w:vAlign w:val="center"/>
                </w:tcPr>
                <w:p w14:paraId="0ED93AB7">
                  <w:pPr>
                    <w:adjustRightInd/>
                    <w:snapToGrid/>
                    <w:spacing w:after="0"/>
                    <w:rPr>
                      <w:rFonts w:hint="default" w:ascii="Times New Roman" w:hAnsi="Times New Roman" w:eastAsia="宋体" w:cs="Times New Roman"/>
                      <w:color w:val="auto"/>
                      <w:sz w:val="21"/>
                      <w:szCs w:val="21"/>
                    </w:rPr>
                  </w:pPr>
                </w:p>
              </w:tc>
              <w:tc>
                <w:tcPr>
                  <w:tcW w:w="956" w:type="dxa"/>
                  <w:vMerge w:val="continue"/>
                  <w:vAlign w:val="center"/>
                </w:tcPr>
                <w:p w14:paraId="72E4E886">
                  <w:pPr>
                    <w:adjustRightInd/>
                    <w:snapToGrid/>
                    <w:spacing w:after="0"/>
                    <w:rPr>
                      <w:rFonts w:hint="default" w:ascii="Times New Roman" w:hAnsi="Times New Roman" w:eastAsia="宋体" w:cs="Times New Roman"/>
                      <w:color w:val="auto"/>
                      <w:sz w:val="21"/>
                      <w:szCs w:val="21"/>
                    </w:rPr>
                  </w:pPr>
                </w:p>
              </w:tc>
              <w:tc>
                <w:tcPr>
                  <w:tcW w:w="1239" w:type="dxa"/>
                  <w:shd w:val="clear" w:color="auto" w:fill="auto"/>
                  <w:vAlign w:val="center"/>
                </w:tcPr>
                <w:p w14:paraId="4722828D">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G3下风向</w:t>
                  </w:r>
                </w:p>
              </w:tc>
              <w:tc>
                <w:tcPr>
                  <w:tcW w:w="833" w:type="dxa"/>
                  <w:shd w:val="clear" w:color="auto" w:fill="auto"/>
                  <w:vAlign w:val="center"/>
                </w:tcPr>
                <w:p w14:paraId="781880DD">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0.08</w:t>
                  </w:r>
                </w:p>
              </w:tc>
              <w:tc>
                <w:tcPr>
                  <w:tcW w:w="854" w:type="dxa"/>
                  <w:shd w:val="clear" w:color="auto" w:fill="auto"/>
                  <w:vAlign w:val="center"/>
                </w:tcPr>
                <w:p w14:paraId="0C27847A">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0.07</w:t>
                  </w:r>
                </w:p>
              </w:tc>
              <w:tc>
                <w:tcPr>
                  <w:tcW w:w="854" w:type="dxa"/>
                  <w:shd w:val="clear" w:color="auto" w:fill="auto"/>
                  <w:vAlign w:val="center"/>
                </w:tcPr>
                <w:p w14:paraId="54D145BD">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0.06</w:t>
                  </w:r>
                </w:p>
              </w:tc>
              <w:tc>
                <w:tcPr>
                  <w:tcW w:w="854" w:type="dxa"/>
                  <w:shd w:val="clear" w:color="auto" w:fill="auto"/>
                  <w:noWrap/>
                  <w:vAlign w:val="center"/>
                </w:tcPr>
                <w:p w14:paraId="27721AC6">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0.07</w:t>
                  </w:r>
                </w:p>
              </w:tc>
              <w:tc>
                <w:tcPr>
                  <w:tcW w:w="888" w:type="dxa"/>
                  <w:shd w:val="clear" w:color="auto" w:fill="auto"/>
                  <w:noWrap/>
                  <w:vAlign w:val="center"/>
                </w:tcPr>
                <w:p w14:paraId="5FDE1033">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847" w:type="dxa"/>
                  <w:shd w:val="clear" w:color="auto" w:fill="auto"/>
                  <w:noWrap/>
                  <w:vAlign w:val="center"/>
                </w:tcPr>
                <w:p w14:paraId="11C32A46">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23FCAA9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37" w:type="dxa"/>
                  <w:vMerge w:val="continue"/>
                  <w:vAlign w:val="center"/>
                </w:tcPr>
                <w:p w14:paraId="4EF53AB2">
                  <w:pPr>
                    <w:adjustRightInd/>
                    <w:snapToGrid/>
                    <w:spacing w:after="0"/>
                    <w:rPr>
                      <w:rFonts w:hint="default" w:ascii="Times New Roman" w:hAnsi="Times New Roman" w:eastAsia="宋体" w:cs="Times New Roman"/>
                      <w:color w:val="auto"/>
                      <w:sz w:val="21"/>
                      <w:szCs w:val="21"/>
                    </w:rPr>
                  </w:pPr>
                </w:p>
              </w:tc>
              <w:tc>
                <w:tcPr>
                  <w:tcW w:w="956" w:type="dxa"/>
                  <w:vMerge w:val="continue"/>
                  <w:vAlign w:val="center"/>
                </w:tcPr>
                <w:p w14:paraId="6757BFF3">
                  <w:pPr>
                    <w:adjustRightInd/>
                    <w:snapToGrid/>
                    <w:spacing w:after="0"/>
                    <w:rPr>
                      <w:rFonts w:hint="default" w:ascii="Times New Roman" w:hAnsi="Times New Roman" w:eastAsia="宋体" w:cs="Times New Roman"/>
                      <w:color w:val="auto"/>
                      <w:sz w:val="21"/>
                      <w:szCs w:val="21"/>
                    </w:rPr>
                  </w:pPr>
                </w:p>
              </w:tc>
              <w:tc>
                <w:tcPr>
                  <w:tcW w:w="1239" w:type="dxa"/>
                  <w:shd w:val="clear" w:color="auto" w:fill="auto"/>
                  <w:vAlign w:val="center"/>
                </w:tcPr>
                <w:p w14:paraId="6AE12F8E">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G4下风向</w:t>
                  </w:r>
                </w:p>
              </w:tc>
              <w:tc>
                <w:tcPr>
                  <w:tcW w:w="833" w:type="dxa"/>
                  <w:shd w:val="clear" w:color="auto" w:fill="auto"/>
                  <w:vAlign w:val="center"/>
                </w:tcPr>
                <w:p w14:paraId="07C379D8">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w:t>
                  </w:r>
                </w:p>
              </w:tc>
              <w:tc>
                <w:tcPr>
                  <w:tcW w:w="854" w:type="dxa"/>
                  <w:shd w:val="clear" w:color="auto" w:fill="auto"/>
                  <w:vAlign w:val="center"/>
                </w:tcPr>
                <w:p w14:paraId="68138E2A">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0.07</w:t>
                  </w:r>
                </w:p>
              </w:tc>
              <w:tc>
                <w:tcPr>
                  <w:tcW w:w="854" w:type="dxa"/>
                  <w:shd w:val="clear" w:color="auto" w:fill="auto"/>
                  <w:vAlign w:val="center"/>
                </w:tcPr>
                <w:p w14:paraId="6C7E5114">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0.06</w:t>
                  </w:r>
                </w:p>
              </w:tc>
              <w:tc>
                <w:tcPr>
                  <w:tcW w:w="854" w:type="dxa"/>
                  <w:shd w:val="clear" w:color="auto" w:fill="auto"/>
                  <w:noWrap/>
                  <w:vAlign w:val="center"/>
                </w:tcPr>
                <w:p w14:paraId="3561CA24">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0.06</w:t>
                  </w:r>
                </w:p>
              </w:tc>
              <w:tc>
                <w:tcPr>
                  <w:tcW w:w="888" w:type="dxa"/>
                  <w:shd w:val="clear" w:color="auto" w:fill="auto"/>
                  <w:noWrap/>
                  <w:vAlign w:val="center"/>
                </w:tcPr>
                <w:p w14:paraId="0BAD588D">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847" w:type="dxa"/>
                  <w:shd w:val="clear" w:color="auto" w:fill="auto"/>
                  <w:noWrap/>
                  <w:vAlign w:val="center"/>
                </w:tcPr>
                <w:p w14:paraId="5D5F34BA">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54835AA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37" w:type="dxa"/>
                  <w:vMerge w:val="continue"/>
                  <w:vAlign w:val="center"/>
                </w:tcPr>
                <w:p w14:paraId="276F823B">
                  <w:pPr>
                    <w:adjustRightInd/>
                    <w:snapToGrid/>
                    <w:spacing w:after="0"/>
                    <w:rPr>
                      <w:rFonts w:hint="default" w:ascii="Times New Roman" w:hAnsi="Times New Roman" w:eastAsia="宋体" w:cs="Times New Roman"/>
                      <w:color w:val="auto"/>
                      <w:sz w:val="21"/>
                      <w:szCs w:val="21"/>
                    </w:rPr>
                  </w:pPr>
                </w:p>
              </w:tc>
              <w:tc>
                <w:tcPr>
                  <w:tcW w:w="956" w:type="dxa"/>
                  <w:vMerge w:val="restart"/>
                  <w:shd w:val="clear" w:color="auto" w:fill="auto"/>
                  <w:vAlign w:val="center"/>
                </w:tcPr>
                <w:p w14:paraId="23454CD7">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臭气浓度（无量纲）</w:t>
                  </w:r>
                </w:p>
              </w:tc>
              <w:tc>
                <w:tcPr>
                  <w:tcW w:w="1239" w:type="dxa"/>
                  <w:shd w:val="clear" w:color="auto" w:fill="auto"/>
                  <w:vAlign w:val="center"/>
                </w:tcPr>
                <w:p w14:paraId="422494D2">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G1上风向</w:t>
                  </w:r>
                </w:p>
              </w:tc>
              <w:tc>
                <w:tcPr>
                  <w:tcW w:w="833" w:type="dxa"/>
                  <w:shd w:val="clear" w:color="auto" w:fill="auto"/>
                  <w:vAlign w:val="center"/>
                </w:tcPr>
                <w:p w14:paraId="1CC22C04">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854" w:type="dxa"/>
                  <w:shd w:val="clear" w:color="auto" w:fill="auto"/>
                  <w:vAlign w:val="center"/>
                </w:tcPr>
                <w:p w14:paraId="39F77222">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854" w:type="dxa"/>
                  <w:shd w:val="clear" w:color="auto" w:fill="auto"/>
                  <w:vAlign w:val="center"/>
                </w:tcPr>
                <w:p w14:paraId="44629790">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854" w:type="dxa"/>
                  <w:shd w:val="clear" w:color="auto" w:fill="auto"/>
                  <w:noWrap/>
                  <w:vAlign w:val="center"/>
                </w:tcPr>
                <w:p w14:paraId="47C222DB">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888" w:type="dxa"/>
                  <w:shd w:val="clear" w:color="auto" w:fill="auto"/>
                  <w:noWrap/>
                  <w:vAlign w:val="center"/>
                </w:tcPr>
                <w:p w14:paraId="20079EDF">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847" w:type="dxa"/>
                  <w:shd w:val="clear" w:color="auto" w:fill="auto"/>
                  <w:noWrap/>
                  <w:vAlign w:val="center"/>
                </w:tcPr>
                <w:p w14:paraId="74AA4140">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7EB8581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37" w:type="dxa"/>
                  <w:vMerge w:val="continue"/>
                  <w:vAlign w:val="center"/>
                </w:tcPr>
                <w:p w14:paraId="7C9391F1">
                  <w:pPr>
                    <w:adjustRightInd/>
                    <w:snapToGrid/>
                    <w:spacing w:after="0"/>
                    <w:rPr>
                      <w:rFonts w:hint="default" w:ascii="Times New Roman" w:hAnsi="Times New Roman" w:eastAsia="宋体" w:cs="Times New Roman"/>
                      <w:color w:val="auto"/>
                      <w:sz w:val="21"/>
                      <w:szCs w:val="21"/>
                    </w:rPr>
                  </w:pPr>
                </w:p>
              </w:tc>
              <w:tc>
                <w:tcPr>
                  <w:tcW w:w="956" w:type="dxa"/>
                  <w:vMerge w:val="continue"/>
                  <w:vAlign w:val="center"/>
                </w:tcPr>
                <w:p w14:paraId="4E408470">
                  <w:pPr>
                    <w:adjustRightInd/>
                    <w:snapToGrid/>
                    <w:spacing w:after="0"/>
                    <w:rPr>
                      <w:rFonts w:hint="default" w:ascii="Times New Roman" w:hAnsi="Times New Roman" w:eastAsia="宋体" w:cs="Times New Roman"/>
                      <w:color w:val="auto"/>
                      <w:sz w:val="21"/>
                      <w:szCs w:val="21"/>
                    </w:rPr>
                  </w:pPr>
                </w:p>
              </w:tc>
              <w:tc>
                <w:tcPr>
                  <w:tcW w:w="1239" w:type="dxa"/>
                  <w:shd w:val="clear" w:color="auto" w:fill="auto"/>
                  <w:vAlign w:val="center"/>
                </w:tcPr>
                <w:p w14:paraId="45E2B049">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G2下风向</w:t>
                  </w:r>
                </w:p>
              </w:tc>
              <w:tc>
                <w:tcPr>
                  <w:tcW w:w="833" w:type="dxa"/>
                  <w:shd w:val="clear" w:color="auto" w:fill="auto"/>
                  <w:vAlign w:val="center"/>
                </w:tcPr>
                <w:p w14:paraId="03A9A4FB">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854" w:type="dxa"/>
                  <w:shd w:val="clear" w:color="auto" w:fill="auto"/>
                  <w:vAlign w:val="center"/>
                </w:tcPr>
                <w:p w14:paraId="6865DBFF">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854" w:type="dxa"/>
                  <w:shd w:val="clear" w:color="auto" w:fill="auto"/>
                  <w:vAlign w:val="center"/>
                </w:tcPr>
                <w:p w14:paraId="4447B2C1">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854" w:type="dxa"/>
                  <w:shd w:val="clear" w:color="auto" w:fill="auto"/>
                  <w:noWrap/>
                  <w:vAlign w:val="center"/>
                </w:tcPr>
                <w:p w14:paraId="2273D610">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888" w:type="dxa"/>
                  <w:shd w:val="clear" w:color="auto" w:fill="auto"/>
                  <w:noWrap/>
                  <w:vAlign w:val="center"/>
                </w:tcPr>
                <w:p w14:paraId="52C8D9A0">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847" w:type="dxa"/>
                  <w:shd w:val="clear" w:color="auto" w:fill="auto"/>
                  <w:noWrap/>
                  <w:vAlign w:val="center"/>
                </w:tcPr>
                <w:p w14:paraId="20E332EC">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3F6E0F9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37" w:type="dxa"/>
                  <w:vMerge w:val="continue"/>
                  <w:vAlign w:val="center"/>
                </w:tcPr>
                <w:p w14:paraId="6C4ED3C0">
                  <w:pPr>
                    <w:adjustRightInd/>
                    <w:snapToGrid/>
                    <w:spacing w:after="0"/>
                    <w:rPr>
                      <w:rFonts w:hint="default" w:ascii="Times New Roman" w:hAnsi="Times New Roman" w:eastAsia="宋体" w:cs="Times New Roman"/>
                      <w:color w:val="auto"/>
                      <w:sz w:val="21"/>
                      <w:szCs w:val="21"/>
                    </w:rPr>
                  </w:pPr>
                </w:p>
              </w:tc>
              <w:tc>
                <w:tcPr>
                  <w:tcW w:w="956" w:type="dxa"/>
                  <w:vMerge w:val="continue"/>
                  <w:vAlign w:val="center"/>
                </w:tcPr>
                <w:p w14:paraId="28707BE2">
                  <w:pPr>
                    <w:adjustRightInd/>
                    <w:snapToGrid/>
                    <w:spacing w:after="0"/>
                    <w:rPr>
                      <w:rFonts w:hint="default" w:ascii="Times New Roman" w:hAnsi="Times New Roman" w:eastAsia="宋体" w:cs="Times New Roman"/>
                      <w:color w:val="auto"/>
                      <w:sz w:val="21"/>
                      <w:szCs w:val="21"/>
                    </w:rPr>
                  </w:pPr>
                </w:p>
              </w:tc>
              <w:tc>
                <w:tcPr>
                  <w:tcW w:w="1239" w:type="dxa"/>
                  <w:shd w:val="clear" w:color="auto" w:fill="auto"/>
                  <w:vAlign w:val="center"/>
                </w:tcPr>
                <w:p w14:paraId="684D120F">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G3下风向</w:t>
                  </w:r>
                </w:p>
              </w:tc>
              <w:tc>
                <w:tcPr>
                  <w:tcW w:w="833" w:type="dxa"/>
                  <w:shd w:val="clear" w:color="auto" w:fill="auto"/>
                  <w:vAlign w:val="center"/>
                </w:tcPr>
                <w:p w14:paraId="0EF4D1FF">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854" w:type="dxa"/>
                  <w:shd w:val="clear" w:color="auto" w:fill="auto"/>
                  <w:vAlign w:val="center"/>
                </w:tcPr>
                <w:p w14:paraId="6C7DD9F1">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854" w:type="dxa"/>
                  <w:shd w:val="clear" w:color="auto" w:fill="auto"/>
                  <w:vAlign w:val="center"/>
                </w:tcPr>
                <w:p w14:paraId="3EB0F81E">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854" w:type="dxa"/>
                  <w:shd w:val="clear" w:color="auto" w:fill="auto"/>
                  <w:noWrap/>
                  <w:vAlign w:val="center"/>
                </w:tcPr>
                <w:p w14:paraId="6976DD62">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888" w:type="dxa"/>
                  <w:shd w:val="clear" w:color="auto" w:fill="auto"/>
                  <w:noWrap/>
                  <w:vAlign w:val="center"/>
                </w:tcPr>
                <w:p w14:paraId="2542FADB">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847" w:type="dxa"/>
                  <w:shd w:val="clear" w:color="auto" w:fill="auto"/>
                  <w:noWrap/>
                  <w:vAlign w:val="center"/>
                </w:tcPr>
                <w:p w14:paraId="7E24A695">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5284DC5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37" w:type="dxa"/>
                  <w:vMerge w:val="continue"/>
                  <w:vAlign w:val="center"/>
                </w:tcPr>
                <w:p w14:paraId="02BFE25D">
                  <w:pPr>
                    <w:adjustRightInd/>
                    <w:snapToGrid/>
                    <w:spacing w:after="0"/>
                    <w:rPr>
                      <w:rFonts w:hint="default" w:ascii="Times New Roman" w:hAnsi="Times New Roman" w:eastAsia="宋体" w:cs="Times New Roman"/>
                      <w:color w:val="auto"/>
                      <w:sz w:val="21"/>
                      <w:szCs w:val="21"/>
                    </w:rPr>
                  </w:pPr>
                </w:p>
              </w:tc>
              <w:tc>
                <w:tcPr>
                  <w:tcW w:w="956" w:type="dxa"/>
                  <w:vMerge w:val="continue"/>
                  <w:vAlign w:val="center"/>
                </w:tcPr>
                <w:p w14:paraId="5D920933">
                  <w:pPr>
                    <w:adjustRightInd/>
                    <w:snapToGrid/>
                    <w:spacing w:after="0"/>
                    <w:rPr>
                      <w:rFonts w:hint="default" w:ascii="Times New Roman" w:hAnsi="Times New Roman" w:eastAsia="宋体" w:cs="Times New Roman"/>
                      <w:color w:val="auto"/>
                      <w:sz w:val="21"/>
                      <w:szCs w:val="21"/>
                    </w:rPr>
                  </w:pPr>
                </w:p>
              </w:tc>
              <w:tc>
                <w:tcPr>
                  <w:tcW w:w="1239" w:type="dxa"/>
                  <w:shd w:val="clear" w:color="auto" w:fill="auto"/>
                  <w:vAlign w:val="center"/>
                </w:tcPr>
                <w:p w14:paraId="64D0CA1E">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G4下风向</w:t>
                  </w:r>
                </w:p>
              </w:tc>
              <w:tc>
                <w:tcPr>
                  <w:tcW w:w="833" w:type="dxa"/>
                  <w:shd w:val="clear" w:color="auto" w:fill="auto"/>
                  <w:vAlign w:val="center"/>
                </w:tcPr>
                <w:p w14:paraId="49A96679">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854" w:type="dxa"/>
                  <w:shd w:val="clear" w:color="auto" w:fill="auto"/>
                  <w:vAlign w:val="center"/>
                </w:tcPr>
                <w:p w14:paraId="53F9F107">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854" w:type="dxa"/>
                  <w:shd w:val="clear" w:color="auto" w:fill="auto"/>
                  <w:vAlign w:val="center"/>
                </w:tcPr>
                <w:p w14:paraId="2E9D4AEE">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854" w:type="dxa"/>
                  <w:shd w:val="clear" w:color="auto" w:fill="auto"/>
                  <w:noWrap/>
                  <w:vAlign w:val="center"/>
                </w:tcPr>
                <w:p w14:paraId="55D84C2C">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888" w:type="dxa"/>
                  <w:shd w:val="clear" w:color="auto" w:fill="auto"/>
                  <w:noWrap/>
                  <w:vAlign w:val="center"/>
                </w:tcPr>
                <w:p w14:paraId="1579F334">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847" w:type="dxa"/>
                  <w:shd w:val="clear" w:color="auto" w:fill="auto"/>
                  <w:noWrap/>
                  <w:vAlign w:val="center"/>
                </w:tcPr>
                <w:p w14:paraId="30F650D7">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39BA627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37" w:type="dxa"/>
                  <w:vMerge w:val="continue"/>
                  <w:vAlign w:val="center"/>
                </w:tcPr>
                <w:p w14:paraId="18CCFD4C">
                  <w:pPr>
                    <w:adjustRightInd/>
                    <w:snapToGrid/>
                    <w:spacing w:after="0"/>
                    <w:rPr>
                      <w:rFonts w:hint="default" w:ascii="Times New Roman" w:hAnsi="Times New Roman" w:eastAsia="宋体" w:cs="Times New Roman"/>
                      <w:color w:val="auto"/>
                      <w:sz w:val="21"/>
                      <w:szCs w:val="21"/>
                    </w:rPr>
                  </w:pPr>
                </w:p>
              </w:tc>
              <w:tc>
                <w:tcPr>
                  <w:tcW w:w="956" w:type="dxa"/>
                  <w:vMerge w:val="restart"/>
                  <w:shd w:val="clear" w:color="auto" w:fill="auto"/>
                  <w:vAlign w:val="center"/>
                </w:tcPr>
                <w:p w14:paraId="1F599EEC">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w:t>
                  </w:r>
                </w:p>
              </w:tc>
              <w:tc>
                <w:tcPr>
                  <w:tcW w:w="1239" w:type="dxa"/>
                  <w:shd w:val="clear" w:color="auto" w:fill="auto"/>
                  <w:vAlign w:val="center"/>
                </w:tcPr>
                <w:p w14:paraId="00C7AE33">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G1上风向</w:t>
                  </w:r>
                </w:p>
              </w:tc>
              <w:tc>
                <w:tcPr>
                  <w:tcW w:w="833" w:type="dxa"/>
                  <w:shd w:val="clear" w:color="auto" w:fill="auto"/>
                  <w:vAlign w:val="center"/>
                </w:tcPr>
                <w:p w14:paraId="0636B538">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0.71</w:t>
                  </w:r>
                </w:p>
              </w:tc>
              <w:tc>
                <w:tcPr>
                  <w:tcW w:w="854" w:type="dxa"/>
                  <w:shd w:val="clear" w:color="auto" w:fill="auto"/>
                  <w:vAlign w:val="center"/>
                </w:tcPr>
                <w:p w14:paraId="5BCFBC5B">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0.73</w:t>
                  </w:r>
                </w:p>
              </w:tc>
              <w:tc>
                <w:tcPr>
                  <w:tcW w:w="854" w:type="dxa"/>
                  <w:shd w:val="clear" w:color="auto" w:fill="auto"/>
                  <w:vAlign w:val="center"/>
                </w:tcPr>
                <w:p w14:paraId="74EAE5F4">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0.64</w:t>
                  </w:r>
                </w:p>
              </w:tc>
              <w:tc>
                <w:tcPr>
                  <w:tcW w:w="854" w:type="dxa"/>
                  <w:shd w:val="clear" w:color="auto" w:fill="auto"/>
                  <w:noWrap/>
                  <w:vAlign w:val="center"/>
                </w:tcPr>
                <w:p w14:paraId="221088F0">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0.69</w:t>
                  </w:r>
                </w:p>
              </w:tc>
              <w:tc>
                <w:tcPr>
                  <w:tcW w:w="888" w:type="dxa"/>
                  <w:shd w:val="clear" w:color="auto" w:fill="auto"/>
                  <w:vAlign w:val="center"/>
                </w:tcPr>
                <w:p w14:paraId="2F9F7407">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847" w:type="dxa"/>
                  <w:shd w:val="clear" w:color="auto" w:fill="auto"/>
                  <w:noWrap/>
                  <w:vAlign w:val="center"/>
                </w:tcPr>
                <w:p w14:paraId="66F8D308">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68B69F2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37" w:type="dxa"/>
                  <w:vMerge w:val="continue"/>
                  <w:vAlign w:val="center"/>
                </w:tcPr>
                <w:p w14:paraId="49FE1D42">
                  <w:pPr>
                    <w:adjustRightInd/>
                    <w:snapToGrid/>
                    <w:spacing w:after="0"/>
                    <w:rPr>
                      <w:rFonts w:hint="default" w:ascii="Times New Roman" w:hAnsi="Times New Roman" w:eastAsia="宋体" w:cs="Times New Roman"/>
                      <w:color w:val="auto"/>
                      <w:sz w:val="21"/>
                      <w:szCs w:val="21"/>
                    </w:rPr>
                  </w:pPr>
                </w:p>
              </w:tc>
              <w:tc>
                <w:tcPr>
                  <w:tcW w:w="956" w:type="dxa"/>
                  <w:vMerge w:val="continue"/>
                  <w:vAlign w:val="center"/>
                </w:tcPr>
                <w:p w14:paraId="28B84067">
                  <w:pPr>
                    <w:adjustRightInd/>
                    <w:snapToGrid/>
                    <w:spacing w:after="0"/>
                    <w:rPr>
                      <w:rFonts w:hint="default" w:ascii="Times New Roman" w:hAnsi="Times New Roman" w:eastAsia="宋体" w:cs="Times New Roman"/>
                      <w:color w:val="auto"/>
                      <w:sz w:val="21"/>
                      <w:szCs w:val="21"/>
                    </w:rPr>
                  </w:pPr>
                </w:p>
              </w:tc>
              <w:tc>
                <w:tcPr>
                  <w:tcW w:w="1239" w:type="dxa"/>
                  <w:shd w:val="clear" w:color="auto" w:fill="auto"/>
                  <w:vAlign w:val="center"/>
                </w:tcPr>
                <w:p w14:paraId="0608D4CE">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G2下风向</w:t>
                  </w:r>
                </w:p>
              </w:tc>
              <w:tc>
                <w:tcPr>
                  <w:tcW w:w="833" w:type="dxa"/>
                  <w:shd w:val="clear" w:color="auto" w:fill="auto"/>
                  <w:vAlign w:val="center"/>
                </w:tcPr>
                <w:p w14:paraId="5CAF4104">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1.04</w:t>
                  </w:r>
                </w:p>
              </w:tc>
              <w:tc>
                <w:tcPr>
                  <w:tcW w:w="854" w:type="dxa"/>
                  <w:shd w:val="clear" w:color="auto" w:fill="auto"/>
                  <w:vAlign w:val="center"/>
                </w:tcPr>
                <w:p w14:paraId="5B1E1745">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1.12</w:t>
                  </w:r>
                </w:p>
              </w:tc>
              <w:tc>
                <w:tcPr>
                  <w:tcW w:w="854" w:type="dxa"/>
                  <w:shd w:val="clear" w:color="auto" w:fill="auto"/>
                  <w:vAlign w:val="center"/>
                </w:tcPr>
                <w:p w14:paraId="5006C9A8">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1.15</w:t>
                  </w:r>
                </w:p>
              </w:tc>
              <w:tc>
                <w:tcPr>
                  <w:tcW w:w="854" w:type="dxa"/>
                  <w:shd w:val="clear" w:color="auto" w:fill="auto"/>
                  <w:noWrap/>
                  <w:vAlign w:val="center"/>
                </w:tcPr>
                <w:p w14:paraId="66D4A921">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p>
              </w:tc>
              <w:tc>
                <w:tcPr>
                  <w:tcW w:w="888" w:type="dxa"/>
                  <w:shd w:val="clear" w:color="auto" w:fill="auto"/>
                  <w:vAlign w:val="center"/>
                </w:tcPr>
                <w:p w14:paraId="22374962">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847" w:type="dxa"/>
                  <w:shd w:val="clear" w:color="auto" w:fill="auto"/>
                  <w:noWrap/>
                  <w:vAlign w:val="center"/>
                </w:tcPr>
                <w:p w14:paraId="21F8B7D1">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4ACA75F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37" w:type="dxa"/>
                  <w:vMerge w:val="continue"/>
                  <w:vAlign w:val="center"/>
                </w:tcPr>
                <w:p w14:paraId="69F61FB3">
                  <w:pPr>
                    <w:adjustRightInd/>
                    <w:snapToGrid/>
                    <w:spacing w:after="0"/>
                    <w:rPr>
                      <w:rFonts w:hint="default" w:ascii="Times New Roman" w:hAnsi="Times New Roman" w:eastAsia="宋体" w:cs="Times New Roman"/>
                      <w:color w:val="auto"/>
                      <w:sz w:val="21"/>
                      <w:szCs w:val="21"/>
                    </w:rPr>
                  </w:pPr>
                </w:p>
              </w:tc>
              <w:tc>
                <w:tcPr>
                  <w:tcW w:w="956" w:type="dxa"/>
                  <w:vMerge w:val="continue"/>
                  <w:vAlign w:val="center"/>
                </w:tcPr>
                <w:p w14:paraId="1C2204C2">
                  <w:pPr>
                    <w:adjustRightInd/>
                    <w:snapToGrid/>
                    <w:spacing w:after="0"/>
                    <w:rPr>
                      <w:rFonts w:hint="default" w:ascii="Times New Roman" w:hAnsi="Times New Roman" w:eastAsia="宋体" w:cs="Times New Roman"/>
                      <w:color w:val="auto"/>
                      <w:sz w:val="21"/>
                      <w:szCs w:val="21"/>
                    </w:rPr>
                  </w:pPr>
                </w:p>
              </w:tc>
              <w:tc>
                <w:tcPr>
                  <w:tcW w:w="1239" w:type="dxa"/>
                  <w:shd w:val="clear" w:color="auto" w:fill="auto"/>
                  <w:vAlign w:val="center"/>
                </w:tcPr>
                <w:p w14:paraId="55731B62">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G3下风向</w:t>
                  </w:r>
                </w:p>
              </w:tc>
              <w:tc>
                <w:tcPr>
                  <w:tcW w:w="833" w:type="dxa"/>
                  <w:shd w:val="clear" w:color="auto" w:fill="auto"/>
                  <w:vAlign w:val="center"/>
                </w:tcPr>
                <w:p w14:paraId="5E05ED3F">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1.17</w:t>
                  </w:r>
                </w:p>
              </w:tc>
              <w:tc>
                <w:tcPr>
                  <w:tcW w:w="854" w:type="dxa"/>
                  <w:shd w:val="clear" w:color="auto" w:fill="auto"/>
                  <w:vAlign w:val="center"/>
                </w:tcPr>
                <w:p w14:paraId="70BC9B1C">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1.13</w:t>
                  </w:r>
                </w:p>
              </w:tc>
              <w:tc>
                <w:tcPr>
                  <w:tcW w:w="854" w:type="dxa"/>
                  <w:shd w:val="clear" w:color="auto" w:fill="auto"/>
                  <w:vAlign w:val="center"/>
                </w:tcPr>
                <w:p w14:paraId="08BC0012">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1.14</w:t>
                  </w:r>
                </w:p>
              </w:tc>
              <w:tc>
                <w:tcPr>
                  <w:tcW w:w="854" w:type="dxa"/>
                  <w:shd w:val="clear" w:color="auto" w:fill="auto"/>
                  <w:noWrap/>
                  <w:vAlign w:val="center"/>
                </w:tcPr>
                <w:p w14:paraId="45A490E8">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1.15</w:t>
                  </w:r>
                </w:p>
              </w:tc>
              <w:tc>
                <w:tcPr>
                  <w:tcW w:w="888" w:type="dxa"/>
                  <w:shd w:val="clear" w:color="auto" w:fill="auto"/>
                  <w:vAlign w:val="center"/>
                </w:tcPr>
                <w:p w14:paraId="7284F6BE">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847" w:type="dxa"/>
                  <w:shd w:val="clear" w:color="auto" w:fill="auto"/>
                  <w:noWrap/>
                  <w:vAlign w:val="center"/>
                </w:tcPr>
                <w:p w14:paraId="371D8DB5">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66C5196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37" w:type="dxa"/>
                  <w:vMerge w:val="continue"/>
                  <w:vAlign w:val="center"/>
                </w:tcPr>
                <w:p w14:paraId="10795433">
                  <w:pPr>
                    <w:adjustRightInd/>
                    <w:snapToGrid/>
                    <w:spacing w:after="0"/>
                    <w:rPr>
                      <w:rFonts w:hint="default" w:ascii="Times New Roman" w:hAnsi="Times New Roman" w:eastAsia="宋体" w:cs="Times New Roman"/>
                      <w:color w:val="auto"/>
                      <w:sz w:val="21"/>
                      <w:szCs w:val="21"/>
                    </w:rPr>
                  </w:pPr>
                </w:p>
              </w:tc>
              <w:tc>
                <w:tcPr>
                  <w:tcW w:w="956" w:type="dxa"/>
                  <w:vMerge w:val="continue"/>
                  <w:vAlign w:val="center"/>
                </w:tcPr>
                <w:p w14:paraId="0F793519">
                  <w:pPr>
                    <w:adjustRightInd/>
                    <w:snapToGrid/>
                    <w:spacing w:after="0"/>
                    <w:rPr>
                      <w:rFonts w:hint="default" w:ascii="Times New Roman" w:hAnsi="Times New Roman" w:eastAsia="宋体" w:cs="Times New Roman"/>
                      <w:color w:val="auto"/>
                      <w:sz w:val="21"/>
                      <w:szCs w:val="21"/>
                    </w:rPr>
                  </w:pPr>
                </w:p>
              </w:tc>
              <w:tc>
                <w:tcPr>
                  <w:tcW w:w="1239" w:type="dxa"/>
                  <w:shd w:val="clear" w:color="auto" w:fill="auto"/>
                  <w:vAlign w:val="center"/>
                </w:tcPr>
                <w:p w14:paraId="7AE7B1A6">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G4下风向</w:t>
                  </w:r>
                </w:p>
              </w:tc>
              <w:tc>
                <w:tcPr>
                  <w:tcW w:w="833" w:type="dxa"/>
                  <w:shd w:val="clear" w:color="auto" w:fill="auto"/>
                  <w:vAlign w:val="center"/>
                </w:tcPr>
                <w:p w14:paraId="20737F0C">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1.16</w:t>
                  </w:r>
                </w:p>
              </w:tc>
              <w:tc>
                <w:tcPr>
                  <w:tcW w:w="854" w:type="dxa"/>
                  <w:shd w:val="clear" w:color="auto" w:fill="auto"/>
                  <w:vAlign w:val="center"/>
                </w:tcPr>
                <w:p w14:paraId="2D523B54">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p>
              </w:tc>
              <w:tc>
                <w:tcPr>
                  <w:tcW w:w="854" w:type="dxa"/>
                  <w:shd w:val="clear" w:color="auto" w:fill="auto"/>
                  <w:vAlign w:val="center"/>
                </w:tcPr>
                <w:p w14:paraId="781B8015">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1.17</w:t>
                  </w:r>
                </w:p>
              </w:tc>
              <w:tc>
                <w:tcPr>
                  <w:tcW w:w="854" w:type="dxa"/>
                  <w:shd w:val="clear" w:color="auto" w:fill="auto"/>
                  <w:noWrap/>
                  <w:vAlign w:val="center"/>
                </w:tcPr>
                <w:p w14:paraId="4DBD0278">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1.14</w:t>
                  </w:r>
                </w:p>
              </w:tc>
              <w:tc>
                <w:tcPr>
                  <w:tcW w:w="888" w:type="dxa"/>
                  <w:shd w:val="clear" w:color="auto" w:fill="auto"/>
                  <w:vAlign w:val="center"/>
                </w:tcPr>
                <w:p w14:paraId="0E843801">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847" w:type="dxa"/>
                  <w:shd w:val="clear" w:color="auto" w:fill="auto"/>
                  <w:noWrap/>
                  <w:vAlign w:val="center"/>
                </w:tcPr>
                <w:p w14:paraId="7E3E8E13">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5FC652F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237" w:type="dxa"/>
                  <w:vMerge w:val="continue"/>
                  <w:vAlign w:val="center"/>
                </w:tcPr>
                <w:p w14:paraId="16939AEE">
                  <w:pPr>
                    <w:adjustRightInd/>
                    <w:snapToGrid/>
                    <w:spacing w:after="0"/>
                    <w:rPr>
                      <w:rFonts w:hint="default" w:ascii="Times New Roman" w:hAnsi="Times New Roman" w:eastAsia="宋体" w:cs="Times New Roman"/>
                      <w:color w:val="auto"/>
                      <w:sz w:val="21"/>
                      <w:szCs w:val="21"/>
                    </w:rPr>
                  </w:pPr>
                </w:p>
              </w:tc>
              <w:tc>
                <w:tcPr>
                  <w:tcW w:w="956" w:type="dxa"/>
                  <w:vMerge w:val="continue"/>
                  <w:vAlign w:val="center"/>
                </w:tcPr>
                <w:p w14:paraId="75D8CBFA">
                  <w:pPr>
                    <w:adjustRightInd/>
                    <w:snapToGrid/>
                    <w:spacing w:after="0"/>
                    <w:rPr>
                      <w:rFonts w:hint="default" w:ascii="Times New Roman" w:hAnsi="Times New Roman" w:eastAsia="宋体" w:cs="Times New Roman"/>
                      <w:color w:val="auto"/>
                      <w:sz w:val="21"/>
                      <w:szCs w:val="21"/>
                    </w:rPr>
                  </w:pPr>
                </w:p>
              </w:tc>
              <w:tc>
                <w:tcPr>
                  <w:tcW w:w="1239" w:type="dxa"/>
                  <w:shd w:val="clear" w:color="auto" w:fill="auto"/>
                  <w:vAlign w:val="center"/>
                </w:tcPr>
                <w:p w14:paraId="09420B18">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G5车间外1米</w:t>
                  </w:r>
                </w:p>
              </w:tc>
              <w:tc>
                <w:tcPr>
                  <w:tcW w:w="833" w:type="dxa"/>
                  <w:shd w:val="clear" w:color="auto" w:fill="auto"/>
                  <w:vAlign w:val="center"/>
                </w:tcPr>
                <w:p w14:paraId="6AA97670">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w:t>
                  </w:r>
                </w:p>
              </w:tc>
              <w:tc>
                <w:tcPr>
                  <w:tcW w:w="854" w:type="dxa"/>
                  <w:shd w:val="clear" w:color="auto" w:fill="auto"/>
                  <w:vAlign w:val="center"/>
                </w:tcPr>
                <w:p w14:paraId="645E0260">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1.62</w:t>
                  </w:r>
                </w:p>
              </w:tc>
              <w:tc>
                <w:tcPr>
                  <w:tcW w:w="854" w:type="dxa"/>
                  <w:shd w:val="clear" w:color="auto" w:fill="auto"/>
                  <w:vAlign w:val="center"/>
                </w:tcPr>
                <w:p w14:paraId="082AB698">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1.59</w:t>
                  </w:r>
                </w:p>
              </w:tc>
              <w:tc>
                <w:tcPr>
                  <w:tcW w:w="854" w:type="dxa"/>
                  <w:shd w:val="clear" w:color="auto" w:fill="auto"/>
                  <w:noWrap/>
                  <w:vAlign w:val="center"/>
                </w:tcPr>
                <w:p w14:paraId="6401F5D2">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w:t>
                  </w:r>
                </w:p>
              </w:tc>
              <w:tc>
                <w:tcPr>
                  <w:tcW w:w="888" w:type="dxa"/>
                  <w:shd w:val="clear" w:color="auto" w:fill="auto"/>
                  <w:vAlign w:val="center"/>
                </w:tcPr>
                <w:p w14:paraId="12174FE3">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847" w:type="dxa"/>
                  <w:shd w:val="clear" w:color="auto" w:fill="auto"/>
                  <w:noWrap/>
                  <w:vAlign w:val="center"/>
                </w:tcPr>
                <w:p w14:paraId="5177EC4C">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bl>
          <w:p w14:paraId="25794F6B">
            <w:pPr>
              <w:pStyle w:val="2"/>
              <w:ind w:left="0" w:leftChars="0" w:firstLine="720" w:firstLineChars="3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（3）噪声</w:t>
            </w:r>
          </w:p>
          <w:p w14:paraId="11F68638">
            <w:pPr>
              <w:spacing w:after="0" w:line="500" w:lineRule="exact"/>
              <w:ind w:firstLine="482"/>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现有项目</w:t>
            </w:r>
            <w:r>
              <w:rPr>
                <w:rFonts w:hint="default" w:ascii="Times New Roman" w:hAnsi="Times New Roman" w:eastAsia="宋体" w:cs="Times New Roman"/>
                <w:color w:val="auto"/>
                <w:sz w:val="24"/>
                <w:szCs w:val="24"/>
              </w:rPr>
              <w:t>数据来自NVTT-2024-Y0312号报告。厂界噪声监测结果见表</w:t>
            </w:r>
            <w:r>
              <w:rPr>
                <w:rFonts w:hint="eastAsia" w:ascii="Times New Roman" w:hAnsi="Times New Roman" w:eastAsia="宋体" w:cs="Times New Roman"/>
                <w:color w:val="auto"/>
                <w:sz w:val="24"/>
                <w:szCs w:val="24"/>
                <w:lang w:val="en-US" w:eastAsia="zh-CN"/>
              </w:rPr>
              <w:t>2-1</w:t>
            </w:r>
            <w:r>
              <w:rPr>
                <w:rFonts w:hint="eastAsia" w:cs="Times New Roman"/>
                <w:color w:val="auto"/>
                <w:sz w:val="24"/>
                <w:szCs w:val="24"/>
                <w:lang w:val="en-US" w:eastAsia="zh-CN"/>
              </w:rPr>
              <w:t>3</w:t>
            </w:r>
            <w:r>
              <w:rPr>
                <w:rFonts w:hint="default" w:ascii="Times New Roman" w:hAnsi="Times New Roman" w:eastAsia="宋体" w:cs="Times New Roman"/>
                <w:color w:val="auto"/>
                <w:sz w:val="24"/>
                <w:szCs w:val="24"/>
              </w:rPr>
              <w:t>。</w:t>
            </w:r>
          </w:p>
          <w:p w14:paraId="348D1B88">
            <w:pPr>
              <w:spacing w:before="48" w:beforeLines="20" w:after="0"/>
              <w:jc w:val="center"/>
              <w:rPr>
                <w:rFonts w:hint="default" w:ascii="Times New Roman" w:hAnsi="Times New Roman" w:eastAsia="宋体" w:cs="Times New Roman"/>
                <w:b/>
                <w:color w:val="auto"/>
                <w:sz w:val="24"/>
                <w:szCs w:val="21"/>
              </w:rPr>
            </w:pPr>
          </w:p>
          <w:p w14:paraId="2DF75DB7">
            <w:pPr>
              <w:spacing w:before="48" w:beforeLines="20" w:after="0"/>
              <w:jc w:val="center"/>
              <w:rPr>
                <w:rFonts w:hint="default" w:ascii="Times New Roman" w:hAnsi="Times New Roman" w:eastAsia="宋体" w:cs="Times New Roman"/>
                <w:b/>
                <w:color w:val="auto"/>
                <w:sz w:val="24"/>
                <w:szCs w:val="21"/>
              </w:rPr>
            </w:pPr>
          </w:p>
          <w:p w14:paraId="24440830">
            <w:pPr>
              <w:spacing w:before="48" w:beforeLines="20" w:after="0"/>
              <w:jc w:val="center"/>
              <w:rPr>
                <w:rFonts w:hint="default" w:ascii="Times New Roman" w:hAnsi="Times New Roman" w:eastAsia="宋体" w:cs="Times New Roman"/>
                <w:b/>
                <w:color w:val="auto"/>
                <w:sz w:val="24"/>
                <w:szCs w:val="21"/>
              </w:rPr>
            </w:pPr>
          </w:p>
          <w:p w14:paraId="561EC45B">
            <w:pPr>
              <w:spacing w:before="48" w:beforeLines="20" w:after="0"/>
              <w:jc w:val="center"/>
              <w:rPr>
                <w:rFonts w:hint="default" w:ascii="Times New Roman" w:hAnsi="Times New Roman" w:eastAsia="宋体" w:cs="Times New Roman"/>
                <w:b/>
                <w:color w:val="auto"/>
                <w:sz w:val="24"/>
                <w:szCs w:val="21"/>
              </w:rPr>
            </w:pPr>
            <w:r>
              <w:rPr>
                <w:rFonts w:hint="default" w:ascii="Times New Roman" w:hAnsi="Times New Roman" w:eastAsia="宋体" w:cs="Times New Roman"/>
                <w:b/>
                <w:color w:val="auto"/>
                <w:sz w:val="24"/>
                <w:szCs w:val="21"/>
              </w:rPr>
              <w:t>表</w:t>
            </w:r>
            <w:r>
              <w:rPr>
                <w:rFonts w:hint="eastAsia" w:ascii="Times New Roman" w:hAnsi="Times New Roman" w:eastAsia="宋体" w:cs="Times New Roman"/>
                <w:b/>
                <w:color w:val="auto"/>
                <w:sz w:val="24"/>
                <w:szCs w:val="21"/>
                <w:lang w:val="en-US" w:eastAsia="zh-CN"/>
              </w:rPr>
              <w:t>2-1</w:t>
            </w:r>
            <w:r>
              <w:rPr>
                <w:rFonts w:hint="eastAsia" w:cs="Times New Roman"/>
                <w:b/>
                <w:color w:val="auto"/>
                <w:sz w:val="24"/>
                <w:szCs w:val="21"/>
                <w:lang w:val="en-US" w:eastAsia="zh-CN"/>
              </w:rPr>
              <w:t>3</w:t>
            </w:r>
            <w:r>
              <w:rPr>
                <w:rFonts w:hint="default" w:ascii="Times New Roman" w:hAnsi="Times New Roman" w:eastAsia="宋体" w:cs="Times New Roman"/>
                <w:b/>
                <w:color w:val="auto"/>
                <w:sz w:val="24"/>
                <w:szCs w:val="21"/>
              </w:rPr>
              <w:t xml:space="preserve">  厂界噪声监测结果 单位dB（A）</w:t>
            </w:r>
          </w:p>
          <w:tbl>
            <w:tblPr>
              <w:tblStyle w:val="32"/>
              <w:tblW w:w="4997"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48"/>
              <w:gridCol w:w="3135"/>
              <w:gridCol w:w="3135"/>
            </w:tblGrid>
            <w:tr w14:paraId="25F558E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1276" w:type="pct"/>
                  <w:shd w:val="clear" w:color="auto" w:fill="auto"/>
                  <w:noWrap/>
                  <w:vAlign w:val="center"/>
                </w:tcPr>
                <w:p w14:paraId="314067CE">
                  <w:pPr>
                    <w:spacing w:after="0"/>
                    <w:ind w:firstLine="420"/>
                    <w:jc w:val="center"/>
                    <w:textAlignment w:val="baseline"/>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监测日期</w:t>
                  </w:r>
                </w:p>
              </w:tc>
              <w:tc>
                <w:tcPr>
                  <w:tcW w:w="1862" w:type="pct"/>
                  <w:shd w:val="clear" w:color="auto" w:fill="auto"/>
                  <w:noWrap/>
                  <w:vAlign w:val="center"/>
                </w:tcPr>
                <w:p w14:paraId="46CCBDE3">
                  <w:pPr>
                    <w:spacing w:after="0"/>
                    <w:jc w:val="center"/>
                    <w:textAlignment w:val="baseline"/>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2024年10月23日</w:t>
                  </w:r>
                </w:p>
              </w:tc>
              <w:tc>
                <w:tcPr>
                  <w:tcW w:w="1862" w:type="pct"/>
                  <w:shd w:val="clear" w:color="auto" w:fill="auto"/>
                  <w:noWrap/>
                  <w:vAlign w:val="center"/>
                </w:tcPr>
                <w:p w14:paraId="3670A7BF">
                  <w:pPr>
                    <w:spacing w:after="0"/>
                    <w:jc w:val="center"/>
                    <w:textAlignment w:val="baseline"/>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2024年10月24日</w:t>
                  </w:r>
                </w:p>
              </w:tc>
            </w:tr>
            <w:tr w14:paraId="521AE4D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1276" w:type="pct"/>
                  <w:shd w:val="clear" w:color="auto" w:fill="auto"/>
                  <w:noWrap/>
                  <w:vAlign w:val="center"/>
                </w:tcPr>
                <w:p w14:paraId="660060F1">
                  <w:pPr>
                    <w:spacing w:after="0"/>
                    <w:jc w:val="center"/>
                    <w:textAlignment w:val="baseline"/>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监测结果dB（A）</w:t>
                  </w:r>
                </w:p>
              </w:tc>
              <w:tc>
                <w:tcPr>
                  <w:tcW w:w="1862" w:type="pct"/>
                  <w:shd w:val="clear" w:color="auto" w:fill="auto"/>
                  <w:noWrap/>
                  <w:vAlign w:val="center"/>
                </w:tcPr>
                <w:p w14:paraId="5FC0FD67">
                  <w:pPr>
                    <w:spacing w:after="0"/>
                    <w:jc w:val="center"/>
                    <w:textAlignment w:val="baseline"/>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昼间</w:t>
                  </w:r>
                </w:p>
              </w:tc>
              <w:tc>
                <w:tcPr>
                  <w:tcW w:w="1862" w:type="pct"/>
                  <w:shd w:val="clear" w:color="auto" w:fill="auto"/>
                  <w:vAlign w:val="center"/>
                </w:tcPr>
                <w:p w14:paraId="2B67F2EC">
                  <w:pPr>
                    <w:spacing w:after="0"/>
                    <w:jc w:val="center"/>
                    <w:textAlignment w:val="baseline"/>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昼间</w:t>
                  </w:r>
                </w:p>
              </w:tc>
            </w:tr>
            <w:tr w14:paraId="13EEEF9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6" w:type="pct"/>
                  <w:shd w:val="clear" w:color="auto" w:fill="auto"/>
                  <w:noWrap/>
                  <w:vAlign w:val="center"/>
                </w:tcPr>
                <w:p w14:paraId="5F8D0078">
                  <w:pPr>
                    <w:spacing w:after="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N1</w:t>
                  </w:r>
                </w:p>
              </w:tc>
              <w:tc>
                <w:tcPr>
                  <w:tcW w:w="1862" w:type="pct"/>
                  <w:shd w:val="clear" w:color="auto" w:fill="auto"/>
                  <w:noWrap/>
                  <w:vAlign w:val="center"/>
                </w:tcPr>
                <w:p w14:paraId="022DE61A">
                  <w:pPr>
                    <w:spacing w:after="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61.5</w:t>
                  </w:r>
                </w:p>
              </w:tc>
              <w:tc>
                <w:tcPr>
                  <w:tcW w:w="1862" w:type="pct"/>
                  <w:shd w:val="clear" w:color="auto" w:fill="auto"/>
                  <w:vAlign w:val="center"/>
                </w:tcPr>
                <w:p w14:paraId="6F4599DA">
                  <w:pPr>
                    <w:spacing w:after="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64.4</w:t>
                  </w:r>
                </w:p>
              </w:tc>
            </w:tr>
            <w:tr w14:paraId="6D1CDBD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6" w:type="pct"/>
                  <w:shd w:val="clear" w:color="auto" w:fill="auto"/>
                  <w:noWrap/>
                  <w:vAlign w:val="center"/>
                </w:tcPr>
                <w:p w14:paraId="728246AE">
                  <w:pPr>
                    <w:spacing w:after="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N2</w:t>
                  </w:r>
                </w:p>
              </w:tc>
              <w:tc>
                <w:tcPr>
                  <w:tcW w:w="1862" w:type="pct"/>
                  <w:shd w:val="clear" w:color="auto" w:fill="auto"/>
                  <w:noWrap/>
                  <w:vAlign w:val="center"/>
                </w:tcPr>
                <w:p w14:paraId="77818412">
                  <w:pPr>
                    <w:spacing w:after="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58.1</w:t>
                  </w:r>
                </w:p>
              </w:tc>
              <w:tc>
                <w:tcPr>
                  <w:tcW w:w="1862" w:type="pct"/>
                  <w:shd w:val="clear" w:color="auto" w:fill="auto"/>
                  <w:vAlign w:val="center"/>
                </w:tcPr>
                <w:p w14:paraId="6B3C9985">
                  <w:pPr>
                    <w:spacing w:after="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62.6</w:t>
                  </w:r>
                </w:p>
              </w:tc>
            </w:tr>
            <w:tr w14:paraId="6EA6C4B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6" w:type="pct"/>
                  <w:shd w:val="clear" w:color="auto" w:fill="auto"/>
                  <w:noWrap/>
                  <w:vAlign w:val="center"/>
                </w:tcPr>
                <w:p w14:paraId="1507837F">
                  <w:pPr>
                    <w:spacing w:after="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N3</w:t>
                  </w:r>
                </w:p>
              </w:tc>
              <w:tc>
                <w:tcPr>
                  <w:tcW w:w="1862" w:type="pct"/>
                  <w:shd w:val="clear" w:color="auto" w:fill="auto"/>
                  <w:noWrap/>
                  <w:vAlign w:val="center"/>
                </w:tcPr>
                <w:p w14:paraId="76004243">
                  <w:pPr>
                    <w:spacing w:after="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56.3</w:t>
                  </w:r>
                </w:p>
              </w:tc>
              <w:tc>
                <w:tcPr>
                  <w:tcW w:w="1862" w:type="pct"/>
                  <w:shd w:val="clear" w:color="auto" w:fill="auto"/>
                  <w:vAlign w:val="center"/>
                </w:tcPr>
                <w:p w14:paraId="21EA0EE4">
                  <w:pPr>
                    <w:spacing w:after="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58.5</w:t>
                  </w:r>
                </w:p>
              </w:tc>
            </w:tr>
            <w:tr w14:paraId="0427E45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6" w:type="pct"/>
                  <w:shd w:val="clear" w:color="auto" w:fill="auto"/>
                  <w:noWrap/>
                  <w:vAlign w:val="center"/>
                </w:tcPr>
                <w:p w14:paraId="539F9882">
                  <w:pPr>
                    <w:spacing w:after="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N4</w:t>
                  </w:r>
                </w:p>
              </w:tc>
              <w:tc>
                <w:tcPr>
                  <w:tcW w:w="1862" w:type="pct"/>
                  <w:shd w:val="clear" w:color="auto" w:fill="auto"/>
                  <w:noWrap/>
                  <w:vAlign w:val="center"/>
                </w:tcPr>
                <w:p w14:paraId="4A4520A0">
                  <w:pPr>
                    <w:spacing w:after="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56.6</w:t>
                  </w:r>
                </w:p>
              </w:tc>
              <w:tc>
                <w:tcPr>
                  <w:tcW w:w="1862" w:type="pct"/>
                  <w:shd w:val="clear" w:color="auto" w:fill="auto"/>
                  <w:vAlign w:val="center"/>
                </w:tcPr>
                <w:p w14:paraId="135ECDD6">
                  <w:pPr>
                    <w:spacing w:after="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55.5</w:t>
                  </w:r>
                </w:p>
              </w:tc>
            </w:tr>
            <w:tr w14:paraId="77E5F9A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6" w:type="pct"/>
                  <w:shd w:val="clear" w:color="auto" w:fill="auto"/>
                  <w:noWrap/>
                  <w:vAlign w:val="center"/>
                </w:tcPr>
                <w:p w14:paraId="2ACD537F">
                  <w:pPr>
                    <w:spacing w:after="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最大值</w:t>
                  </w:r>
                </w:p>
              </w:tc>
              <w:tc>
                <w:tcPr>
                  <w:tcW w:w="1862" w:type="pct"/>
                  <w:shd w:val="clear" w:color="auto" w:fill="auto"/>
                  <w:noWrap/>
                  <w:vAlign w:val="center"/>
                </w:tcPr>
                <w:p w14:paraId="1337D761">
                  <w:pPr>
                    <w:spacing w:after="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61.5</w:t>
                  </w:r>
                </w:p>
              </w:tc>
              <w:tc>
                <w:tcPr>
                  <w:tcW w:w="1862" w:type="pct"/>
                  <w:shd w:val="clear" w:color="auto" w:fill="auto"/>
                  <w:vAlign w:val="center"/>
                </w:tcPr>
                <w:p w14:paraId="518ED19F">
                  <w:pPr>
                    <w:spacing w:after="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64.4</w:t>
                  </w:r>
                </w:p>
              </w:tc>
            </w:tr>
            <w:tr w14:paraId="5EC6AD3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6" w:type="pct"/>
                  <w:shd w:val="clear" w:color="auto" w:fill="auto"/>
                  <w:noWrap/>
                  <w:vAlign w:val="center"/>
                </w:tcPr>
                <w:p w14:paraId="1F89C584">
                  <w:pPr>
                    <w:spacing w:after="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评价标准</w:t>
                  </w:r>
                </w:p>
              </w:tc>
              <w:tc>
                <w:tcPr>
                  <w:tcW w:w="1862" w:type="pct"/>
                  <w:shd w:val="clear" w:color="auto" w:fill="auto"/>
                  <w:noWrap/>
                  <w:vAlign w:val="center"/>
                </w:tcPr>
                <w:p w14:paraId="52952D1B">
                  <w:pPr>
                    <w:spacing w:after="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w:t>
                  </w:r>
                </w:p>
              </w:tc>
              <w:tc>
                <w:tcPr>
                  <w:tcW w:w="1862" w:type="pct"/>
                  <w:shd w:val="clear" w:color="auto" w:fill="auto"/>
                  <w:vAlign w:val="center"/>
                </w:tcPr>
                <w:p w14:paraId="2A9FE54B">
                  <w:pPr>
                    <w:spacing w:after="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w:t>
                  </w:r>
                </w:p>
              </w:tc>
            </w:tr>
            <w:tr w14:paraId="44E78CC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6" w:type="pct"/>
                  <w:shd w:val="clear" w:color="auto" w:fill="auto"/>
                  <w:noWrap/>
                  <w:vAlign w:val="center"/>
                </w:tcPr>
                <w:p w14:paraId="37A6BE98">
                  <w:pPr>
                    <w:spacing w:after="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评价结果</w:t>
                  </w:r>
                </w:p>
              </w:tc>
              <w:tc>
                <w:tcPr>
                  <w:tcW w:w="1862" w:type="pct"/>
                  <w:shd w:val="clear" w:color="auto" w:fill="auto"/>
                  <w:noWrap/>
                  <w:vAlign w:val="center"/>
                </w:tcPr>
                <w:p w14:paraId="6357B715">
                  <w:pPr>
                    <w:spacing w:after="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c>
                <w:tcPr>
                  <w:tcW w:w="1862" w:type="pct"/>
                  <w:shd w:val="clear" w:color="auto" w:fill="auto"/>
                  <w:vAlign w:val="center"/>
                </w:tcPr>
                <w:p w14:paraId="3B8C1F2E">
                  <w:pPr>
                    <w:spacing w:after="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bl>
          <w:p w14:paraId="3B3885F1">
            <w:pPr>
              <w:widowControl w:val="0"/>
              <w:spacing w:before="120" w:beforeLines="50" w:after="0"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监测结果表明，监测期间厂界噪声昼间等效连续A声级值符合《工业企业厂界环境噪声排放标准》（GB12348-2008）3类标准。</w:t>
            </w:r>
          </w:p>
          <w:p w14:paraId="1FC7A150">
            <w:pPr>
              <w:widowControl/>
              <w:adjustRightInd w:val="0"/>
              <w:snapToGrid w:val="0"/>
              <w:spacing w:line="360" w:lineRule="auto"/>
              <w:ind w:firstLine="480" w:firstLineChars="200"/>
              <w:jc w:val="left"/>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（4）固体废物</w:t>
            </w:r>
          </w:p>
          <w:p w14:paraId="2AF1171F">
            <w:pPr>
              <w:widowControl/>
              <w:adjustRightInd w:val="0"/>
              <w:snapToGrid w:val="0"/>
              <w:ind w:firstLine="482" w:firstLineChars="200"/>
              <w:jc w:val="center"/>
              <w:rPr>
                <w:rFonts w:hint="default" w:ascii="Times New Roman" w:hAnsi="Times New Roman" w:eastAsia="宋体" w:cs="Times New Roman"/>
                <w:b/>
                <w:color w:val="auto"/>
                <w:sz w:val="24"/>
                <w:szCs w:val="22"/>
              </w:rPr>
            </w:pPr>
            <w:r>
              <w:rPr>
                <w:rFonts w:hint="default" w:ascii="Times New Roman" w:hAnsi="Times New Roman" w:eastAsia="宋体" w:cs="Times New Roman"/>
                <w:b/>
                <w:color w:val="auto"/>
                <w:sz w:val="24"/>
                <w:szCs w:val="22"/>
              </w:rPr>
              <w:t>表</w:t>
            </w:r>
            <w:r>
              <w:rPr>
                <w:rFonts w:hint="default" w:ascii="Times New Roman" w:hAnsi="Times New Roman" w:eastAsia="宋体" w:cs="Times New Roman"/>
                <w:b/>
                <w:color w:val="auto"/>
                <w:kern w:val="0"/>
                <w:sz w:val="24"/>
                <w:lang w:val="fr-FR"/>
              </w:rPr>
              <w:t>2-</w:t>
            </w:r>
            <w:r>
              <w:rPr>
                <w:rFonts w:hint="eastAsia" w:ascii="Times New Roman" w:hAnsi="Times New Roman" w:eastAsia="宋体" w:cs="Times New Roman"/>
                <w:b/>
                <w:color w:val="auto"/>
                <w:kern w:val="0"/>
                <w:sz w:val="24"/>
                <w:lang w:val="en-US" w:eastAsia="zh-CN"/>
              </w:rPr>
              <w:t>1</w:t>
            </w:r>
            <w:r>
              <w:rPr>
                <w:rFonts w:hint="eastAsia" w:cs="Times New Roman"/>
                <w:b/>
                <w:color w:val="auto"/>
                <w:kern w:val="0"/>
                <w:sz w:val="24"/>
                <w:lang w:val="en-US" w:eastAsia="zh-CN"/>
              </w:rPr>
              <w:t>4</w:t>
            </w:r>
            <w:r>
              <w:rPr>
                <w:rFonts w:hint="default" w:ascii="Times New Roman" w:hAnsi="Times New Roman" w:eastAsia="宋体" w:cs="Times New Roman"/>
                <w:b/>
                <w:color w:val="auto"/>
                <w:kern w:val="0"/>
                <w:sz w:val="24"/>
                <w:lang w:val="fr-FR"/>
              </w:rPr>
              <w:t>全厂</w:t>
            </w:r>
            <w:r>
              <w:rPr>
                <w:rFonts w:hint="default" w:ascii="Times New Roman" w:hAnsi="Times New Roman" w:eastAsia="宋体" w:cs="Times New Roman"/>
                <w:b/>
                <w:color w:val="auto"/>
                <w:sz w:val="24"/>
                <w:szCs w:val="22"/>
              </w:rPr>
              <w:t>现有项目固废产生及处置情况</w:t>
            </w:r>
          </w:p>
          <w:tbl>
            <w:tblPr>
              <w:tblStyle w:val="32"/>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473"/>
              <w:gridCol w:w="1149"/>
              <w:gridCol w:w="812"/>
              <w:gridCol w:w="812"/>
              <w:gridCol w:w="812"/>
              <w:gridCol w:w="1486"/>
              <w:gridCol w:w="1033"/>
              <w:gridCol w:w="1033"/>
              <w:gridCol w:w="813"/>
            </w:tblGrid>
            <w:tr w14:paraId="275BD0F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10" w:hRule="atLeast"/>
              </w:trPr>
              <w:tc>
                <w:tcPr>
                  <w:tcW w:w="281" w:type="pct"/>
                  <w:shd w:val="clear" w:color="auto" w:fill="auto"/>
                  <w:vAlign w:val="center"/>
                </w:tcPr>
                <w:p w14:paraId="569D497C">
                  <w:pPr>
                    <w:adjustRightInd/>
                    <w:snapToGrid/>
                    <w:spacing w:after="0"/>
                    <w:jc w:val="center"/>
                    <w:rPr>
                      <w:rFonts w:hint="default" w:ascii="Times New Roman" w:hAnsi="Times New Roman" w:eastAsia="宋体" w:cs="Times New Roman"/>
                      <w:b/>
                      <w:bCs/>
                      <w:color w:val="auto"/>
                    </w:rPr>
                  </w:pPr>
                  <w:bookmarkStart w:id="13" w:name="RANGE!B4"/>
                  <w:r>
                    <w:rPr>
                      <w:rFonts w:hint="default" w:ascii="Times New Roman" w:hAnsi="Times New Roman" w:eastAsia="宋体" w:cs="Times New Roman"/>
                      <w:b/>
                      <w:bCs/>
                      <w:color w:val="auto"/>
                    </w:rPr>
                    <w:t>序号</w:t>
                  </w:r>
                  <w:bookmarkEnd w:id="13"/>
                </w:p>
              </w:tc>
              <w:tc>
                <w:tcPr>
                  <w:tcW w:w="682" w:type="pct"/>
                  <w:shd w:val="clear" w:color="auto" w:fill="auto"/>
                  <w:vAlign w:val="center"/>
                </w:tcPr>
                <w:p w14:paraId="594DF1F7">
                  <w:pPr>
                    <w:adjustRightInd/>
                    <w:snapToGrid/>
                    <w:spacing w:after="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固体废物名称</w:t>
                  </w:r>
                </w:p>
              </w:tc>
              <w:tc>
                <w:tcPr>
                  <w:tcW w:w="482" w:type="pct"/>
                  <w:shd w:val="clear" w:color="auto" w:fill="auto"/>
                  <w:vAlign w:val="center"/>
                </w:tcPr>
                <w:p w14:paraId="0BD155DE">
                  <w:pPr>
                    <w:adjustRightInd/>
                    <w:snapToGrid/>
                    <w:spacing w:after="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产生工序</w:t>
                  </w:r>
                </w:p>
              </w:tc>
              <w:tc>
                <w:tcPr>
                  <w:tcW w:w="482" w:type="pct"/>
                  <w:shd w:val="clear" w:color="auto" w:fill="auto"/>
                  <w:vAlign w:val="center"/>
                </w:tcPr>
                <w:p w14:paraId="024F7A85">
                  <w:pPr>
                    <w:adjustRightInd/>
                    <w:snapToGrid/>
                    <w:spacing w:after="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属性</w:t>
                  </w:r>
                </w:p>
              </w:tc>
              <w:tc>
                <w:tcPr>
                  <w:tcW w:w="482" w:type="pct"/>
                  <w:shd w:val="clear" w:color="auto" w:fill="auto"/>
                  <w:vAlign w:val="center"/>
                </w:tcPr>
                <w:p w14:paraId="7DECFEF5">
                  <w:pPr>
                    <w:adjustRightInd/>
                    <w:snapToGrid/>
                    <w:spacing w:after="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固废类别</w:t>
                  </w:r>
                </w:p>
              </w:tc>
              <w:tc>
                <w:tcPr>
                  <w:tcW w:w="882" w:type="pct"/>
                  <w:shd w:val="clear" w:color="auto" w:fill="auto"/>
                  <w:vAlign w:val="center"/>
                </w:tcPr>
                <w:p w14:paraId="4BAB1340">
                  <w:pPr>
                    <w:adjustRightInd/>
                    <w:snapToGrid/>
                    <w:spacing w:after="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固废代码</w:t>
                  </w:r>
                </w:p>
              </w:tc>
              <w:tc>
                <w:tcPr>
                  <w:tcW w:w="613" w:type="pct"/>
                  <w:shd w:val="clear" w:color="auto" w:fill="auto"/>
                  <w:vAlign w:val="center"/>
                </w:tcPr>
                <w:p w14:paraId="49AC1309">
                  <w:pPr>
                    <w:adjustRightInd/>
                    <w:snapToGrid/>
                    <w:spacing w:after="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环评预估量（t/a）</w:t>
                  </w:r>
                </w:p>
              </w:tc>
              <w:tc>
                <w:tcPr>
                  <w:tcW w:w="613" w:type="pct"/>
                  <w:shd w:val="clear" w:color="auto" w:fill="auto"/>
                  <w:vAlign w:val="center"/>
                </w:tcPr>
                <w:p w14:paraId="15ED51B5">
                  <w:pPr>
                    <w:adjustRightInd/>
                    <w:snapToGrid/>
                    <w:spacing w:after="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实际产生量（t/a）</w:t>
                  </w:r>
                </w:p>
              </w:tc>
              <w:tc>
                <w:tcPr>
                  <w:tcW w:w="482" w:type="pct"/>
                  <w:shd w:val="clear" w:color="auto" w:fill="auto"/>
                  <w:vAlign w:val="center"/>
                </w:tcPr>
                <w:p w14:paraId="3DC7BEF3">
                  <w:pPr>
                    <w:adjustRightInd/>
                    <w:snapToGrid/>
                    <w:spacing w:after="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处置方式</w:t>
                  </w:r>
                </w:p>
              </w:tc>
            </w:tr>
            <w:tr w14:paraId="3DEDFED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281" w:type="pct"/>
                  <w:shd w:val="clear" w:color="auto" w:fill="auto"/>
                  <w:vAlign w:val="center"/>
                </w:tcPr>
                <w:p w14:paraId="702EA73B">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1</w:t>
                  </w:r>
                </w:p>
              </w:tc>
              <w:tc>
                <w:tcPr>
                  <w:tcW w:w="682" w:type="pct"/>
                  <w:shd w:val="clear" w:color="auto" w:fill="auto"/>
                  <w:vAlign w:val="center"/>
                </w:tcPr>
                <w:p w14:paraId="5CAD58DE">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废蔬菜</w:t>
                  </w:r>
                </w:p>
              </w:tc>
              <w:tc>
                <w:tcPr>
                  <w:tcW w:w="482" w:type="pct"/>
                  <w:shd w:val="clear" w:color="auto" w:fill="auto"/>
                  <w:vAlign w:val="center"/>
                </w:tcPr>
                <w:p w14:paraId="06DD05F1">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挑选</w:t>
                  </w:r>
                </w:p>
              </w:tc>
              <w:tc>
                <w:tcPr>
                  <w:tcW w:w="482" w:type="pct"/>
                  <w:shd w:val="clear" w:color="auto" w:fill="auto"/>
                  <w:vAlign w:val="center"/>
                </w:tcPr>
                <w:p w14:paraId="788F09E1">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一般固废</w:t>
                  </w:r>
                </w:p>
              </w:tc>
              <w:tc>
                <w:tcPr>
                  <w:tcW w:w="482" w:type="pct"/>
                  <w:shd w:val="clear" w:color="auto" w:fill="auto"/>
                  <w:vAlign w:val="center"/>
                </w:tcPr>
                <w:p w14:paraId="5839F507">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SW61</w:t>
                  </w:r>
                </w:p>
              </w:tc>
              <w:tc>
                <w:tcPr>
                  <w:tcW w:w="882" w:type="pct"/>
                  <w:shd w:val="clear" w:color="auto" w:fill="auto"/>
                  <w:vAlign w:val="center"/>
                </w:tcPr>
                <w:p w14:paraId="57A4ABDB">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900-002-S61</w:t>
                  </w:r>
                </w:p>
              </w:tc>
              <w:tc>
                <w:tcPr>
                  <w:tcW w:w="613" w:type="pct"/>
                  <w:shd w:val="clear" w:color="auto" w:fill="auto"/>
                  <w:vAlign w:val="center"/>
                </w:tcPr>
                <w:p w14:paraId="3F0BC1B0">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2014.1</w:t>
                  </w:r>
                </w:p>
              </w:tc>
              <w:tc>
                <w:tcPr>
                  <w:tcW w:w="613" w:type="pct"/>
                  <w:shd w:val="clear" w:color="auto" w:fill="auto"/>
                  <w:vAlign w:val="center"/>
                </w:tcPr>
                <w:p w14:paraId="0D812804">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2014.1</w:t>
                  </w:r>
                </w:p>
              </w:tc>
              <w:tc>
                <w:tcPr>
                  <w:tcW w:w="482" w:type="pct"/>
                  <w:shd w:val="clear" w:color="auto" w:fill="auto"/>
                  <w:vAlign w:val="center"/>
                </w:tcPr>
                <w:p w14:paraId="0EB520C4">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环卫清运</w:t>
                  </w:r>
                </w:p>
              </w:tc>
            </w:tr>
            <w:tr w14:paraId="1DFF51C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40" w:hRule="atLeast"/>
              </w:trPr>
              <w:tc>
                <w:tcPr>
                  <w:tcW w:w="281" w:type="pct"/>
                  <w:shd w:val="clear" w:color="auto" w:fill="auto"/>
                  <w:vAlign w:val="center"/>
                </w:tcPr>
                <w:p w14:paraId="0A51C121">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2</w:t>
                  </w:r>
                </w:p>
              </w:tc>
              <w:tc>
                <w:tcPr>
                  <w:tcW w:w="682" w:type="pct"/>
                  <w:shd w:val="clear" w:color="auto" w:fill="auto"/>
                  <w:vAlign w:val="center"/>
                </w:tcPr>
                <w:p w14:paraId="5D9BA481">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废包装材料</w:t>
                  </w:r>
                </w:p>
              </w:tc>
              <w:tc>
                <w:tcPr>
                  <w:tcW w:w="482" w:type="pct"/>
                  <w:shd w:val="clear" w:color="auto" w:fill="auto"/>
                  <w:vAlign w:val="center"/>
                </w:tcPr>
                <w:p w14:paraId="7DDF0819">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原辅料包装</w:t>
                  </w:r>
                </w:p>
              </w:tc>
              <w:tc>
                <w:tcPr>
                  <w:tcW w:w="482" w:type="pct"/>
                  <w:shd w:val="clear" w:color="auto" w:fill="auto"/>
                  <w:vAlign w:val="center"/>
                </w:tcPr>
                <w:p w14:paraId="344A51F5">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一般固废</w:t>
                  </w:r>
                </w:p>
              </w:tc>
              <w:tc>
                <w:tcPr>
                  <w:tcW w:w="482" w:type="pct"/>
                  <w:shd w:val="clear" w:color="auto" w:fill="auto"/>
                  <w:vAlign w:val="center"/>
                </w:tcPr>
                <w:p w14:paraId="55F3CE05">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SW17</w:t>
                  </w:r>
                </w:p>
              </w:tc>
              <w:tc>
                <w:tcPr>
                  <w:tcW w:w="882" w:type="pct"/>
                  <w:shd w:val="clear" w:color="auto" w:fill="auto"/>
                  <w:vAlign w:val="center"/>
                </w:tcPr>
                <w:p w14:paraId="04A8167A">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900-003-S17</w:t>
                  </w:r>
                </w:p>
              </w:tc>
              <w:tc>
                <w:tcPr>
                  <w:tcW w:w="613" w:type="pct"/>
                  <w:shd w:val="clear" w:color="auto" w:fill="auto"/>
                  <w:vAlign w:val="center"/>
                </w:tcPr>
                <w:p w14:paraId="197A950D">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5</w:t>
                  </w:r>
                </w:p>
              </w:tc>
              <w:tc>
                <w:tcPr>
                  <w:tcW w:w="613" w:type="pct"/>
                  <w:shd w:val="clear" w:color="auto" w:fill="auto"/>
                  <w:vAlign w:val="center"/>
                </w:tcPr>
                <w:p w14:paraId="16A714B0">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5</w:t>
                  </w:r>
                </w:p>
              </w:tc>
              <w:tc>
                <w:tcPr>
                  <w:tcW w:w="482" w:type="pct"/>
                  <w:vMerge w:val="restart"/>
                  <w:shd w:val="clear" w:color="auto" w:fill="auto"/>
                  <w:vAlign w:val="center"/>
                </w:tcPr>
                <w:p w14:paraId="333D5609">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外售淮安市沃隆农业科技有限公司</w:t>
                  </w:r>
                </w:p>
              </w:tc>
            </w:tr>
            <w:tr w14:paraId="3460318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281" w:type="pct"/>
                  <w:shd w:val="clear" w:color="auto" w:fill="auto"/>
                  <w:vAlign w:val="center"/>
                </w:tcPr>
                <w:p w14:paraId="4BF67C52">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3</w:t>
                  </w:r>
                </w:p>
              </w:tc>
              <w:tc>
                <w:tcPr>
                  <w:tcW w:w="682" w:type="pct"/>
                  <w:shd w:val="clear" w:color="auto" w:fill="auto"/>
                  <w:vAlign w:val="center"/>
                </w:tcPr>
                <w:p w14:paraId="2FBC27EE">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污泥</w:t>
                  </w:r>
                </w:p>
              </w:tc>
              <w:tc>
                <w:tcPr>
                  <w:tcW w:w="482" w:type="pct"/>
                  <w:vMerge w:val="restart"/>
                  <w:shd w:val="clear" w:color="auto" w:fill="auto"/>
                  <w:vAlign w:val="center"/>
                </w:tcPr>
                <w:p w14:paraId="749C2C48">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污水处理站</w:t>
                  </w:r>
                </w:p>
              </w:tc>
              <w:tc>
                <w:tcPr>
                  <w:tcW w:w="482" w:type="pct"/>
                  <w:shd w:val="clear" w:color="auto" w:fill="auto"/>
                  <w:vAlign w:val="center"/>
                </w:tcPr>
                <w:p w14:paraId="4887572A">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一般固废</w:t>
                  </w:r>
                </w:p>
              </w:tc>
              <w:tc>
                <w:tcPr>
                  <w:tcW w:w="482" w:type="pct"/>
                  <w:shd w:val="clear" w:color="auto" w:fill="auto"/>
                  <w:vAlign w:val="center"/>
                </w:tcPr>
                <w:p w14:paraId="2B6438EA">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SW07</w:t>
                  </w:r>
                </w:p>
              </w:tc>
              <w:tc>
                <w:tcPr>
                  <w:tcW w:w="882" w:type="pct"/>
                  <w:shd w:val="clear" w:color="auto" w:fill="auto"/>
                  <w:noWrap/>
                  <w:vAlign w:val="center"/>
                </w:tcPr>
                <w:p w14:paraId="31D0636A">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900-099-S07</w:t>
                  </w:r>
                </w:p>
              </w:tc>
              <w:tc>
                <w:tcPr>
                  <w:tcW w:w="613" w:type="pct"/>
                  <w:shd w:val="clear" w:color="auto" w:fill="auto"/>
                  <w:vAlign w:val="center"/>
                </w:tcPr>
                <w:p w14:paraId="383D64DF">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900</w:t>
                  </w:r>
                </w:p>
              </w:tc>
              <w:tc>
                <w:tcPr>
                  <w:tcW w:w="613" w:type="pct"/>
                  <w:shd w:val="clear" w:color="auto" w:fill="auto"/>
                  <w:vAlign w:val="center"/>
                </w:tcPr>
                <w:p w14:paraId="14988591">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900</w:t>
                  </w:r>
                </w:p>
              </w:tc>
              <w:tc>
                <w:tcPr>
                  <w:tcW w:w="482" w:type="pct"/>
                  <w:vMerge w:val="continue"/>
                  <w:vAlign w:val="center"/>
                </w:tcPr>
                <w:p w14:paraId="45881B32">
                  <w:pPr>
                    <w:adjustRightInd/>
                    <w:snapToGrid/>
                    <w:spacing w:after="0"/>
                    <w:rPr>
                      <w:rFonts w:hint="default" w:ascii="Times New Roman" w:hAnsi="Times New Roman" w:eastAsia="宋体" w:cs="Times New Roman"/>
                      <w:color w:val="auto"/>
                    </w:rPr>
                  </w:pPr>
                </w:p>
              </w:tc>
            </w:tr>
            <w:tr w14:paraId="783D061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281" w:type="pct"/>
                  <w:shd w:val="clear" w:color="auto" w:fill="auto"/>
                  <w:vAlign w:val="center"/>
                </w:tcPr>
                <w:p w14:paraId="78E6CD42">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4</w:t>
                  </w:r>
                </w:p>
              </w:tc>
              <w:tc>
                <w:tcPr>
                  <w:tcW w:w="682" w:type="pct"/>
                  <w:shd w:val="clear" w:color="auto" w:fill="auto"/>
                  <w:vAlign w:val="center"/>
                </w:tcPr>
                <w:p w14:paraId="2B81012E">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废食用油渣</w:t>
                  </w:r>
                </w:p>
              </w:tc>
              <w:tc>
                <w:tcPr>
                  <w:tcW w:w="482" w:type="pct"/>
                  <w:vMerge w:val="continue"/>
                  <w:vAlign w:val="center"/>
                </w:tcPr>
                <w:p w14:paraId="55355AFF">
                  <w:pPr>
                    <w:adjustRightInd/>
                    <w:snapToGrid/>
                    <w:spacing w:after="0"/>
                    <w:rPr>
                      <w:rFonts w:hint="default" w:ascii="Times New Roman" w:hAnsi="Times New Roman" w:eastAsia="宋体" w:cs="Times New Roman"/>
                      <w:color w:val="auto"/>
                    </w:rPr>
                  </w:pPr>
                </w:p>
              </w:tc>
              <w:tc>
                <w:tcPr>
                  <w:tcW w:w="482" w:type="pct"/>
                  <w:shd w:val="clear" w:color="auto" w:fill="auto"/>
                  <w:vAlign w:val="center"/>
                </w:tcPr>
                <w:p w14:paraId="3DA0FD66">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一般固废</w:t>
                  </w:r>
                </w:p>
              </w:tc>
              <w:tc>
                <w:tcPr>
                  <w:tcW w:w="482" w:type="pct"/>
                  <w:shd w:val="clear" w:color="auto" w:fill="auto"/>
                  <w:vAlign w:val="center"/>
                </w:tcPr>
                <w:p w14:paraId="7BF66A1D">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SW13</w:t>
                  </w:r>
                </w:p>
              </w:tc>
              <w:tc>
                <w:tcPr>
                  <w:tcW w:w="882" w:type="pct"/>
                  <w:shd w:val="clear" w:color="auto" w:fill="auto"/>
                  <w:noWrap/>
                  <w:vAlign w:val="center"/>
                </w:tcPr>
                <w:p w14:paraId="7EC182BD">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900-099-S13</w:t>
                  </w:r>
                </w:p>
              </w:tc>
              <w:tc>
                <w:tcPr>
                  <w:tcW w:w="613" w:type="pct"/>
                  <w:shd w:val="clear" w:color="auto" w:fill="auto"/>
                  <w:vAlign w:val="center"/>
                </w:tcPr>
                <w:p w14:paraId="49A2DFD0">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0.48</w:t>
                  </w:r>
                </w:p>
              </w:tc>
              <w:tc>
                <w:tcPr>
                  <w:tcW w:w="613" w:type="pct"/>
                  <w:shd w:val="clear" w:color="auto" w:fill="auto"/>
                  <w:vAlign w:val="center"/>
                </w:tcPr>
                <w:p w14:paraId="07934F08">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0.48</w:t>
                  </w:r>
                </w:p>
              </w:tc>
              <w:tc>
                <w:tcPr>
                  <w:tcW w:w="482" w:type="pct"/>
                  <w:vMerge w:val="continue"/>
                  <w:vAlign w:val="center"/>
                </w:tcPr>
                <w:p w14:paraId="0E024E4A">
                  <w:pPr>
                    <w:adjustRightInd/>
                    <w:snapToGrid/>
                    <w:spacing w:after="0"/>
                    <w:rPr>
                      <w:rFonts w:hint="default" w:ascii="Times New Roman" w:hAnsi="Times New Roman" w:eastAsia="宋体" w:cs="Times New Roman"/>
                      <w:color w:val="auto"/>
                    </w:rPr>
                  </w:pPr>
                </w:p>
              </w:tc>
            </w:tr>
            <w:tr w14:paraId="0A0DDD5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540" w:hRule="atLeast"/>
              </w:trPr>
              <w:tc>
                <w:tcPr>
                  <w:tcW w:w="281" w:type="pct"/>
                  <w:shd w:val="clear" w:color="auto" w:fill="auto"/>
                  <w:vAlign w:val="center"/>
                </w:tcPr>
                <w:p w14:paraId="33DC1F72">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5</w:t>
                  </w:r>
                </w:p>
              </w:tc>
              <w:tc>
                <w:tcPr>
                  <w:tcW w:w="682" w:type="pct"/>
                  <w:shd w:val="clear" w:color="auto" w:fill="auto"/>
                  <w:vAlign w:val="center"/>
                </w:tcPr>
                <w:p w14:paraId="6505E066">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废3M检测试片</w:t>
                  </w:r>
                </w:p>
              </w:tc>
              <w:tc>
                <w:tcPr>
                  <w:tcW w:w="482" w:type="pct"/>
                  <w:shd w:val="clear" w:color="auto" w:fill="auto"/>
                  <w:vAlign w:val="center"/>
                </w:tcPr>
                <w:p w14:paraId="3902AE01">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化验室</w:t>
                  </w:r>
                </w:p>
              </w:tc>
              <w:tc>
                <w:tcPr>
                  <w:tcW w:w="482" w:type="pct"/>
                  <w:shd w:val="clear" w:color="auto" w:fill="auto"/>
                  <w:vAlign w:val="center"/>
                </w:tcPr>
                <w:p w14:paraId="75A40145">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一般固废</w:t>
                  </w:r>
                </w:p>
              </w:tc>
              <w:tc>
                <w:tcPr>
                  <w:tcW w:w="482" w:type="pct"/>
                  <w:shd w:val="clear" w:color="auto" w:fill="auto"/>
                  <w:vAlign w:val="center"/>
                </w:tcPr>
                <w:p w14:paraId="3C63DAE7">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SW92</w:t>
                  </w:r>
                </w:p>
              </w:tc>
              <w:tc>
                <w:tcPr>
                  <w:tcW w:w="882" w:type="pct"/>
                  <w:shd w:val="clear" w:color="auto" w:fill="auto"/>
                  <w:noWrap/>
                  <w:vAlign w:val="center"/>
                </w:tcPr>
                <w:p w14:paraId="727DE0E0">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900-001-S92</w:t>
                  </w:r>
                </w:p>
              </w:tc>
              <w:tc>
                <w:tcPr>
                  <w:tcW w:w="613" w:type="pct"/>
                  <w:shd w:val="clear" w:color="auto" w:fill="auto"/>
                  <w:vAlign w:val="center"/>
                </w:tcPr>
                <w:p w14:paraId="528237C8">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0.072</w:t>
                  </w:r>
                </w:p>
              </w:tc>
              <w:tc>
                <w:tcPr>
                  <w:tcW w:w="613" w:type="pct"/>
                  <w:shd w:val="clear" w:color="auto" w:fill="auto"/>
                  <w:vAlign w:val="center"/>
                </w:tcPr>
                <w:p w14:paraId="04284D4A">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0.072</w:t>
                  </w:r>
                </w:p>
              </w:tc>
              <w:tc>
                <w:tcPr>
                  <w:tcW w:w="482" w:type="pct"/>
                  <w:shd w:val="clear" w:color="auto" w:fill="auto"/>
                  <w:vAlign w:val="center"/>
                </w:tcPr>
                <w:p w14:paraId="382AD65B">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环卫清运</w:t>
                  </w:r>
                </w:p>
              </w:tc>
            </w:tr>
            <w:tr w14:paraId="352DD8B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40" w:hRule="atLeast"/>
              </w:trPr>
              <w:tc>
                <w:tcPr>
                  <w:tcW w:w="281" w:type="pct"/>
                  <w:shd w:val="clear" w:color="auto" w:fill="auto"/>
                  <w:vAlign w:val="center"/>
                </w:tcPr>
                <w:p w14:paraId="6177AC69">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6</w:t>
                  </w:r>
                </w:p>
              </w:tc>
              <w:tc>
                <w:tcPr>
                  <w:tcW w:w="682" w:type="pct"/>
                  <w:shd w:val="clear" w:color="auto" w:fill="auto"/>
                  <w:vAlign w:val="center"/>
                </w:tcPr>
                <w:p w14:paraId="21F3710D">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废食用油</w:t>
                  </w:r>
                </w:p>
              </w:tc>
              <w:tc>
                <w:tcPr>
                  <w:tcW w:w="482" w:type="pct"/>
                  <w:shd w:val="clear" w:color="auto" w:fill="auto"/>
                  <w:vAlign w:val="center"/>
                </w:tcPr>
                <w:p w14:paraId="109D5EAA">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油烟净化器</w:t>
                  </w:r>
                </w:p>
              </w:tc>
              <w:tc>
                <w:tcPr>
                  <w:tcW w:w="482" w:type="pct"/>
                  <w:shd w:val="clear" w:color="auto" w:fill="auto"/>
                  <w:vAlign w:val="center"/>
                </w:tcPr>
                <w:p w14:paraId="681C2993">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一般固废</w:t>
                  </w:r>
                </w:p>
              </w:tc>
              <w:tc>
                <w:tcPr>
                  <w:tcW w:w="482" w:type="pct"/>
                  <w:shd w:val="clear" w:color="auto" w:fill="auto"/>
                  <w:vAlign w:val="center"/>
                </w:tcPr>
                <w:p w14:paraId="0E92460A">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SW61</w:t>
                  </w:r>
                </w:p>
              </w:tc>
              <w:tc>
                <w:tcPr>
                  <w:tcW w:w="882" w:type="pct"/>
                  <w:shd w:val="clear" w:color="auto" w:fill="auto"/>
                  <w:vAlign w:val="center"/>
                </w:tcPr>
                <w:p w14:paraId="0C0EF47C">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900-002-S61</w:t>
                  </w:r>
                </w:p>
              </w:tc>
              <w:tc>
                <w:tcPr>
                  <w:tcW w:w="613" w:type="pct"/>
                  <w:shd w:val="clear" w:color="auto" w:fill="auto"/>
                  <w:vAlign w:val="center"/>
                </w:tcPr>
                <w:p w14:paraId="69EB2848">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0.8082</w:t>
                  </w:r>
                </w:p>
              </w:tc>
              <w:tc>
                <w:tcPr>
                  <w:tcW w:w="613" w:type="pct"/>
                  <w:shd w:val="clear" w:color="auto" w:fill="auto"/>
                  <w:vAlign w:val="center"/>
                </w:tcPr>
                <w:p w14:paraId="4C279DD6">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0.8082</w:t>
                  </w:r>
                </w:p>
              </w:tc>
              <w:tc>
                <w:tcPr>
                  <w:tcW w:w="482" w:type="pct"/>
                  <w:shd w:val="clear" w:color="auto" w:fill="auto"/>
                  <w:vAlign w:val="center"/>
                </w:tcPr>
                <w:p w14:paraId="45D2053B">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环卫清运</w:t>
                  </w:r>
                </w:p>
              </w:tc>
            </w:tr>
            <w:tr w14:paraId="23885B5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40" w:hRule="atLeast"/>
              </w:trPr>
              <w:tc>
                <w:tcPr>
                  <w:tcW w:w="281" w:type="pct"/>
                  <w:shd w:val="clear" w:color="auto" w:fill="auto"/>
                  <w:vAlign w:val="center"/>
                </w:tcPr>
                <w:p w14:paraId="43E08A02">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7</w:t>
                  </w:r>
                </w:p>
              </w:tc>
              <w:tc>
                <w:tcPr>
                  <w:tcW w:w="682" w:type="pct"/>
                  <w:shd w:val="clear" w:color="auto" w:fill="auto"/>
                  <w:vAlign w:val="center"/>
                </w:tcPr>
                <w:p w14:paraId="5DB89ED0">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职工生活垃圾</w:t>
                  </w:r>
                </w:p>
              </w:tc>
              <w:tc>
                <w:tcPr>
                  <w:tcW w:w="482" w:type="pct"/>
                  <w:shd w:val="clear" w:color="auto" w:fill="auto"/>
                  <w:vAlign w:val="center"/>
                </w:tcPr>
                <w:p w14:paraId="6496EA19">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生活办公</w:t>
                  </w:r>
                </w:p>
              </w:tc>
              <w:tc>
                <w:tcPr>
                  <w:tcW w:w="482" w:type="pct"/>
                  <w:shd w:val="clear" w:color="auto" w:fill="auto"/>
                  <w:vAlign w:val="center"/>
                </w:tcPr>
                <w:p w14:paraId="37BC62B4">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一般固废</w:t>
                  </w:r>
                </w:p>
              </w:tc>
              <w:tc>
                <w:tcPr>
                  <w:tcW w:w="482" w:type="pct"/>
                  <w:shd w:val="clear" w:color="auto" w:fill="auto"/>
                  <w:vAlign w:val="center"/>
                </w:tcPr>
                <w:p w14:paraId="65576389">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SW64</w:t>
                  </w:r>
                </w:p>
              </w:tc>
              <w:tc>
                <w:tcPr>
                  <w:tcW w:w="882" w:type="pct"/>
                  <w:shd w:val="clear" w:color="auto" w:fill="auto"/>
                  <w:noWrap/>
                  <w:vAlign w:val="center"/>
                </w:tcPr>
                <w:p w14:paraId="19164F95">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900-099-S64</w:t>
                  </w:r>
                </w:p>
              </w:tc>
              <w:tc>
                <w:tcPr>
                  <w:tcW w:w="613" w:type="pct"/>
                  <w:shd w:val="clear" w:color="auto" w:fill="auto"/>
                  <w:vAlign w:val="center"/>
                </w:tcPr>
                <w:p w14:paraId="6A541D92">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15</w:t>
                  </w:r>
                </w:p>
              </w:tc>
              <w:tc>
                <w:tcPr>
                  <w:tcW w:w="613" w:type="pct"/>
                  <w:shd w:val="clear" w:color="auto" w:fill="auto"/>
                  <w:vAlign w:val="center"/>
                </w:tcPr>
                <w:p w14:paraId="5C822EBB">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15</w:t>
                  </w:r>
                </w:p>
              </w:tc>
              <w:tc>
                <w:tcPr>
                  <w:tcW w:w="482" w:type="pct"/>
                  <w:shd w:val="clear" w:color="auto" w:fill="auto"/>
                  <w:vAlign w:val="center"/>
                </w:tcPr>
                <w:p w14:paraId="005E7C68">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环卫清运</w:t>
                  </w:r>
                </w:p>
              </w:tc>
            </w:tr>
          </w:tbl>
          <w:p w14:paraId="70AB01D2">
            <w:pPr>
              <w:widowControl/>
              <w:adjustRightInd w:val="0"/>
              <w:snapToGrid w:val="0"/>
              <w:spacing w:before="120" w:beforeLines="50" w:line="360" w:lineRule="auto"/>
              <w:ind w:firstLine="482" w:firstLineChars="20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4.现有项目污染物排放情况</w:t>
            </w:r>
          </w:p>
          <w:p w14:paraId="0B394C14">
            <w:pPr>
              <w:spacing w:line="500" w:lineRule="exact"/>
              <w:ind w:firstLine="480" w:firstLineChars="200"/>
              <w:jc w:val="left"/>
              <w:rPr>
                <w:rFonts w:hint="default" w:ascii="Times New Roman" w:hAnsi="Times New Roman" w:eastAsia="宋体" w:cs="Times New Roman"/>
                <w:bCs/>
                <w:color w:val="auto"/>
                <w:szCs w:val="21"/>
              </w:rPr>
            </w:pPr>
            <w:r>
              <w:rPr>
                <w:rFonts w:hint="default" w:ascii="Times New Roman" w:hAnsi="Times New Roman" w:eastAsia="宋体" w:cs="Times New Roman"/>
                <w:color w:val="auto"/>
                <w:sz w:val="24"/>
              </w:rPr>
              <w:t>现有项目总量达标情况见表2-1</w:t>
            </w:r>
            <w:r>
              <w:rPr>
                <w:rFonts w:hint="eastAsia" w:cs="Times New Roman"/>
                <w:color w:val="auto"/>
                <w:sz w:val="24"/>
                <w:lang w:val="en-US" w:eastAsia="zh-CN"/>
              </w:rPr>
              <w:t>5</w:t>
            </w:r>
            <w:r>
              <w:rPr>
                <w:rFonts w:hint="default" w:ascii="Times New Roman" w:hAnsi="Times New Roman" w:eastAsia="宋体" w:cs="Times New Roman"/>
                <w:color w:val="auto"/>
                <w:sz w:val="24"/>
              </w:rPr>
              <w:t>。</w:t>
            </w:r>
          </w:p>
          <w:p w14:paraId="46A15AFA">
            <w:pPr>
              <w:spacing w:line="500" w:lineRule="exact"/>
              <w:jc w:val="center"/>
              <w:rPr>
                <w:rStyle w:val="116"/>
                <w:rFonts w:hint="default" w:ascii="Times New Roman" w:hAnsi="Times New Roman" w:eastAsia="宋体" w:cs="Times New Roman"/>
                <w:b/>
                <w:color w:val="auto"/>
                <w:sz w:val="24"/>
                <w:szCs w:val="24"/>
              </w:rPr>
            </w:pPr>
          </w:p>
          <w:p w14:paraId="582FD366">
            <w:pPr>
              <w:spacing w:line="500" w:lineRule="exact"/>
              <w:jc w:val="center"/>
              <w:rPr>
                <w:rStyle w:val="116"/>
                <w:rFonts w:hint="default" w:ascii="Times New Roman" w:hAnsi="Times New Roman" w:eastAsia="宋体" w:cs="Times New Roman"/>
                <w:b/>
                <w:color w:val="auto"/>
                <w:sz w:val="24"/>
                <w:szCs w:val="24"/>
              </w:rPr>
            </w:pPr>
          </w:p>
          <w:p w14:paraId="146AA344">
            <w:pPr>
              <w:spacing w:line="500" w:lineRule="exact"/>
              <w:jc w:val="center"/>
              <w:rPr>
                <w:rFonts w:hint="default" w:ascii="Times New Roman" w:hAnsi="Times New Roman" w:eastAsia="宋体" w:cs="Times New Roman"/>
                <w:b/>
                <w:color w:val="auto"/>
                <w:sz w:val="24"/>
              </w:rPr>
            </w:pPr>
            <w:r>
              <w:rPr>
                <w:rStyle w:val="116"/>
                <w:rFonts w:hint="default" w:ascii="Times New Roman" w:hAnsi="Times New Roman" w:eastAsia="宋体" w:cs="Times New Roman"/>
                <w:b/>
                <w:color w:val="auto"/>
                <w:sz w:val="24"/>
                <w:szCs w:val="24"/>
              </w:rPr>
              <w:t>表2-1</w:t>
            </w:r>
            <w:r>
              <w:rPr>
                <w:rStyle w:val="116"/>
                <w:rFonts w:hint="default" w:ascii="Times New Roman" w:hAnsi="Times New Roman" w:cs="Times New Roman"/>
                <w:b/>
                <w:color w:val="auto"/>
                <w:sz w:val="24"/>
                <w:szCs w:val="24"/>
                <w:lang w:val="en-US" w:eastAsia="zh-CN"/>
              </w:rPr>
              <w:t>5</w:t>
            </w:r>
            <w:r>
              <w:rPr>
                <w:rStyle w:val="116"/>
                <w:rFonts w:hint="default" w:ascii="Times New Roman" w:hAnsi="Times New Roman" w:eastAsia="宋体" w:cs="Times New Roman"/>
                <w:b/>
                <w:color w:val="auto"/>
                <w:sz w:val="24"/>
                <w:szCs w:val="24"/>
              </w:rPr>
              <w:t>现有项目污染物排放总量与控制指标对照情况</w:t>
            </w:r>
          </w:p>
          <w:tbl>
            <w:tblPr>
              <w:tblStyle w:val="32"/>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99"/>
              <w:gridCol w:w="1469"/>
              <w:gridCol w:w="1773"/>
              <w:gridCol w:w="1577"/>
              <w:gridCol w:w="1400"/>
              <w:gridCol w:w="802"/>
            </w:tblGrid>
            <w:tr w14:paraId="5DE9A95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2" w:type="pct"/>
                  <w:gridSpan w:val="2"/>
                  <w:shd w:val="clear" w:color="auto" w:fill="auto"/>
                  <w:vAlign w:val="center"/>
                </w:tcPr>
                <w:p w14:paraId="464E0BC8">
                  <w:pPr>
                    <w:adjustRightInd/>
                    <w:snapToGrid/>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种类</w:t>
                  </w:r>
                </w:p>
              </w:tc>
              <w:tc>
                <w:tcPr>
                  <w:tcW w:w="1052" w:type="pct"/>
                  <w:shd w:val="clear" w:color="auto" w:fill="auto"/>
                  <w:vAlign w:val="center"/>
                </w:tcPr>
                <w:p w14:paraId="416581CE">
                  <w:pPr>
                    <w:adjustRightInd/>
                    <w:snapToGrid/>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w:t>
                  </w:r>
                </w:p>
              </w:tc>
              <w:tc>
                <w:tcPr>
                  <w:tcW w:w="936" w:type="pct"/>
                  <w:shd w:val="clear" w:color="auto" w:fill="auto"/>
                  <w:vAlign w:val="center"/>
                </w:tcPr>
                <w:p w14:paraId="7D11A4A9">
                  <w:pPr>
                    <w:adjustRightInd/>
                    <w:snapToGrid/>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环评</w:t>
                  </w:r>
                  <w:r>
                    <w:rPr>
                      <w:rFonts w:hint="eastAsia" w:cs="Times New Roman"/>
                      <w:b/>
                      <w:bCs/>
                      <w:color w:val="auto"/>
                      <w:sz w:val="21"/>
                      <w:szCs w:val="21"/>
                      <w:lang w:val="en-US" w:eastAsia="zh-CN"/>
                    </w:rPr>
                    <w:t>批复接管</w:t>
                  </w:r>
                  <w:r>
                    <w:rPr>
                      <w:rFonts w:hint="default" w:ascii="Times New Roman" w:hAnsi="Times New Roman" w:eastAsia="宋体" w:cs="Times New Roman"/>
                      <w:b/>
                      <w:bCs/>
                      <w:color w:val="auto"/>
                      <w:sz w:val="21"/>
                      <w:szCs w:val="21"/>
                    </w:rPr>
                    <w:t>量（t/a）</w:t>
                  </w:r>
                </w:p>
              </w:tc>
              <w:tc>
                <w:tcPr>
                  <w:tcW w:w="831" w:type="pct"/>
                  <w:shd w:val="clear" w:color="auto" w:fill="auto"/>
                  <w:vAlign w:val="center"/>
                </w:tcPr>
                <w:p w14:paraId="5CB9B5C7">
                  <w:pPr>
                    <w:adjustRightInd/>
                    <w:snapToGrid/>
                    <w:spacing w:after="0"/>
                    <w:jc w:val="center"/>
                    <w:rPr>
                      <w:rFonts w:hint="eastAsia"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实际接管</w:t>
                  </w:r>
                  <w:r>
                    <w:rPr>
                      <w:rFonts w:hint="default" w:ascii="Times New Roman" w:hAnsi="Times New Roman" w:eastAsia="宋体" w:cs="Times New Roman"/>
                      <w:b/>
                      <w:bCs/>
                      <w:color w:val="auto"/>
                      <w:sz w:val="21"/>
                      <w:szCs w:val="21"/>
                    </w:rPr>
                    <w:t>量（t/a）</w:t>
                  </w:r>
                  <w:r>
                    <w:rPr>
                      <w:rFonts w:hint="eastAsia" w:cs="Times New Roman"/>
                      <w:b/>
                      <w:bCs/>
                      <w:color w:val="auto"/>
                      <w:sz w:val="21"/>
                      <w:szCs w:val="21"/>
                      <w:lang w:val="en-US" w:eastAsia="zh-CN"/>
                    </w:rPr>
                    <w:t>*</w:t>
                  </w:r>
                </w:p>
              </w:tc>
              <w:tc>
                <w:tcPr>
                  <w:tcW w:w="476" w:type="pct"/>
                  <w:shd w:val="clear" w:color="auto" w:fill="auto"/>
                  <w:vAlign w:val="center"/>
                </w:tcPr>
                <w:p w14:paraId="3D02BC6D">
                  <w:pPr>
                    <w:adjustRightInd/>
                    <w:snapToGrid/>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评价结果</w:t>
                  </w:r>
                </w:p>
              </w:tc>
            </w:tr>
            <w:tr w14:paraId="03534E4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0" w:type="pct"/>
                  <w:vMerge w:val="restart"/>
                  <w:shd w:val="clear" w:color="auto" w:fill="auto"/>
                  <w:vAlign w:val="center"/>
                </w:tcPr>
                <w:p w14:paraId="08B82EBB">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w:t>
                  </w:r>
                </w:p>
              </w:tc>
              <w:tc>
                <w:tcPr>
                  <w:tcW w:w="872" w:type="pct"/>
                  <w:vMerge w:val="restart"/>
                  <w:shd w:val="clear" w:color="auto" w:fill="auto"/>
                  <w:vAlign w:val="center"/>
                </w:tcPr>
                <w:p w14:paraId="08690C13">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综合废水（生产废水+生活污水）</w:t>
                  </w:r>
                </w:p>
              </w:tc>
              <w:tc>
                <w:tcPr>
                  <w:tcW w:w="1052" w:type="pct"/>
                  <w:shd w:val="clear" w:color="auto" w:fill="auto"/>
                  <w:vAlign w:val="center"/>
                </w:tcPr>
                <w:p w14:paraId="160ADD69">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废水量</w:t>
                  </w:r>
                </w:p>
              </w:tc>
              <w:tc>
                <w:tcPr>
                  <w:tcW w:w="936" w:type="pct"/>
                  <w:shd w:val="clear" w:color="auto" w:fill="auto"/>
                  <w:vAlign w:val="center"/>
                </w:tcPr>
                <w:p w14:paraId="2106617D">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429074</w:t>
                  </w:r>
                </w:p>
              </w:tc>
              <w:tc>
                <w:tcPr>
                  <w:tcW w:w="831" w:type="pct"/>
                  <w:shd w:val="clear" w:color="auto" w:fill="auto"/>
                  <w:vAlign w:val="center"/>
                </w:tcPr>
                <w:p w14:paraId="5B4D46BE">
                  <w:pPr>
                    <w:adjustRightInd/>
                    <w:snapToGrid/>
                    <w:spacing w:after="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rPr>
                    <w:t>138534</w:t>
                  </w:r>
                </w:p>
              </w:tc>
              <w:tc>
                <w:tcPr>
                  <w:tcW w:w="476" w:type="pct"/>
                  <w:shd w:val="clear" w:color="auto" w:fill="auto"/>
                  <w:noWrap/>
                  <w:vAlign w:val="center"/>
                </w:tcPr>
                <w:p w14:paraId="23ABF6F0">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达标</w:t>
                  </w:r>
                </w:p>
              </w:tc>
            </w:tr>
            <w:tr w14:paraId="19D67C1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0" w:type="pct"/>
                  <w:vMerge w:val="continue"/>
                  <w:vAlign w:val="center"/>
                </w:tcPr>
                <w:p w14:paraId="4B649BCA">
                  <w:pPr>
                    <w:adjustRightInd/>
                    <w:snapToGrid/>
                    <w:spacing w:after="0"/>
                    <w:rPr>
                      <w:rFonts w:hint="default" w:ascii="Times New Roman" w:hAnsi="Times New Roman" w:eastAsia="宋体" w:cs="Times New Roman"/>
                      <w:color w:val="auto"/>
                      <w:sz w:val="21"/>
                      <w:szCs w:val="21"/>
                    </w:rPr>
                  </w:pPr>
                </w:p>
              </w:tc>
              <w:tc>
                <w:tcPr>
                  <w:tcW w:w="872" w:type="pct"/>
                  <w:vMerge w:val="continue"/>
                  <w:vAlign w:val="center"/>
                </w:tcPr>
                <w:p w14:paraId="29758613">
                  <w:pPr>
                    <w:adjustRightInd/>
                    <w:snapToGrid/>
                    <w:spacing w:after="0"/>
                    <w:rPr>
                      <w:rFonts w:hint="default" w:ascii="Times New Roman" w:hAnsi="Times New Roman" w:eastAsia="宋体" w:cs="Times New Roman"/>
                      <w:color w:val="auto"/>
                      <w:sz w:val="21"/>
                      <w:szCs w:val="21"/>
                    </w:rPr>
                  </w:pPr>
                </w:p>
              </w:tc>
              <w:tc>
                <w:tcPr>
                  <w:tcW w:w="1052" w:type="pct"/>
                  <w:shd w:val="clear" w:color="auto" w:fill="auto"/>
                  <w:vAlign w:val="center"/>
                </w:tcPr>
                <w:p w14:paraId="15F0B21A">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p>
              </w:tc>
              <w:tc>
                <w:tcPr>
                  <w:tcW w:w="1577" w:type="dxa"/>
                  <w:shd w:val="clear" w:color="auto" w:fill="auto"/>
                  <w:vAlign w:val="center"/>
                </w:tcPr>
                <w:p w14:paraId="0EDBC8FE">
                  <w:pPr>
                    <w:widowControl/>
                    <w:jc w:val="center"/>
                    <w:rPr>
                      <w:rFonts w:hint="default" w:ascii="Times New Roman" w:hAnsi="Times New Roman" w:eastAsia="宋体" w:cs="Times New Roman"/>
                      <w:color w:val="auto"/>
                      <w:sz w:val="21"/>
                      <w:szCs w:val="21"/>
                    </w:rPr>
                  </w:pPr>
                  <w:r>
                    <w:rPr>
                      <w:rFonts w:hint="eastAsia"/>
                      <w:color w:val="auto"/>
                      <w:sz w:val="21"/>
                      <w:szCs w:val="21"/>
                    </w:rPr>
                    <w:t>57.40</w:t>
                  </w:r>
                </w:p>
              </w:tc>
              <w:tc>
                <w:tcPr>
                  <w:tcW w:w="1400" w:type="dxa"/>
                  <w:shd w:val="clear" w:color="auto" w:fill="auto"/>
                  <w:vAlign w:val="center"/>
                </w:tcPr>
                <w:p w14:paraId="14E90170">
                  <w:pPr>
                    <w:adjustRightInd/>
                    <w:snapToGrid/>
                    <w:spacing w:after="0"/>
                    <w:jc w:val="center"/>
                    <w:rPr>
                      <w:rFonts w:hint="default" w:ascii="Times New Roman" w:hAnsi="Times New Roman" w:eastAsia="宋体" w:cs="Times New Roman"/>
                      <w:color w:val="auto"/>
                      <w:sz w:val="21"/>
                      <w:szCs w:val="21"/>
                      <w:lang w:val="en-US" w:eastAsia="zh-CN"/>
                    </w:rPr>
                  </w:pPr>
                  <w:r>
                    <w:rPr>
                      <w:rFonts w:ascii="Times New Roman" w:hAnsi="Times New Roman" w:eastAsia="等线"/>
                      <w:color w:val="auto"/>
                      <w:sz w:val="21"/>
                      <w:szCs w:val="21"/>
                    </w:rPr>
                    <w:t>2.2512</w:t>
                  </w:r>
                </w:p>
              </w:tc>
              <w:tc>
                <w:tcPr>
                  <w:tcW w:w="476" w:type="pct"/>
                  <w:shd w:val="clear" w:color="auto" w:fill="auto"/>
                  <w:noWrap/>
                  <w:vAlign w:val="center"/>
                </w:tcPr>
                <w:p w14:paraId="33E97F91">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达标</w:t>
                  </w:r>
                </w:p>
              </w:tc>
            </w:tr>
            <w:tr w14:paraId="053FE6C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0" w:type="pct"/>
                  <w:vMerge w:val="continue"/>
                  <w:vAlign w:val="center"/>
                </w:tcPr>
                <w:p w14:paraId="76E46279">
                  <w:pPr>
                    <w:adjustRightInd/>
                    <w:snapToGrid/>
                    <w:spacing w:after="0"/>
                    <w:rPr>
                      <w:rFonts w:hint="default" w:ascii="Times New Roman" w:hAnsi="Times New Roman" w:eastAsia="宋体" w:cs="Times New Roman"/>
                      <w:color w:val="auto"/>
                      <w:sz w:val="21"/>
                      <w:szCs w:val="21"/>
                    </w:rPr>
                  </w:pPr>
                </w:p>
              </w:tc>
              <w:tc>
                <w:tcPr>
                  <w:tcW w:w="872" w:type="pct"/>
                  <w:vMerge w:val="continue"/>
                  <w:vAlign w:val="center"/>
                </w:tcPr>
                <w:p w14:paraId="697236CC">
                  <w:pPr>
                    <w:adjustRightInd/>
                    <w:snapToGrid/>
                    <w:spacing w:after="0"/>
                    <w:rPr>
                      <w:rFonts w:hint="default" w:ascii="Times New Roman" w:hAnsi="Times New Roman" w:eastAsia="宋体" w:cs="Times New Roman"/>
                      <w:color w:val="auto"/>
                      <w:sz w:val="21"/>
                      <w:szCs w:val="21"/>
                    </w:rPr>
                  </w:pPr>
                </w:p>
              </w:tc>
              <w:tc>
                <w:tcPr>
                  <w:tcW w:w="1052" w:type="pct"/>
                  <w:shd w:val="clear" w:color="auto" w:fill="auto"/>
                  <w:vAlign w:val="center"/>
                </w:tcPr>
                <w:p w14:paraId="605DF00E">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p>
              </w:tc>
              <w:tc>
                <w:tcPr>
                  <w:tcW w:w="1577" w:type="dxa"/>
                  <w:shd w:val="clear" w:color="auto" w:fill="auto"/>
                  <w:vAlign w:val="center"/>
                </w:tcPr>
                <w:p w14:paraId="499A2F2D">
                  <w:pPr>
                    <w:widowControl/>
                    <w:jc w:val="center"/>
                    <w:rPr>
                      <w:rFonts w:hint="default" w:ascii="Times New Roman" w:hAnsi="Times New Roman" w:eastAsia="宋体" w:cs="Times New Roman"/>
                      <w:color w:val="auto"/>
                      <w:sz w:val="21"/>
                      <w:szCs w:val="21"/>
                    </w:rPr>
                  </w:pPr>
                  <w:r>
                    <w:rPr>
                      <w:rFonts w:hint="eastAsia"/>
                      <w:color w:val="auto"/>
                      <w:sz w:val="21"/>
                      <w:szCs w:val="21"/>
                    </w:rPr>
                    <w:t>36.49</w:t>
                  </w:r>
                </w:p>
              </w:tc>
              <w:tc>
                <w:tcPr>
                  <w:tcW w:w="1400" w:type="dxa"/>
                  <w:shd w:val="clear" w:color="auto" w:fill="auto"/>
                  <w:vAlign w:val="center"/>
                </w:tcPr>
                <w:p w14:paraId="5A03F767">
                  <w:pPr>
                    <w:adjustRightInd/>
                    <w:snapToGrid/>
                    <w:spacing w:after="0"/>
                    <w:jc w:val="center"/>
                    <w:rPr>
                      <w:rFonts w:hint="default" w:ascii="Times New Roman" w:hAnsi="Times New Roman" w:eastAsia="宋体" w:cs="Times New Roman"/>
                      <w:color w:val="auto"/>
                      <w:sz w:val="21"/>
                      <w:szCs w:val="21"/>
                      <w:lang w:val="en-US" w:eastAsia="zh-CN"/>
                    </w:rPr>
                  </w:pPr>
                  <w:r>
                    <w:rPr>
                      <w:rFonts w:ascii="Times New Roman" w:hAnsi="Times New Roman" w:eastAsia="等线"/>
                      <w:color w:val="auto"/>
                      <w:sz w:val="21"/>
                      <w:szCs w:val="21"/>
                    </w:rPr>
                    <w:t>0.4727</w:t>
                  </w:r>
                </w:p>
              </w:tc>
              <w:tc>
                <w:tcPr>
                  <w:tcW w:w="476" w:type="pct"/>
                  <w:shd w:val="clear" w:color="auto" w:fill="auto"/>
                  <w:noWrap/>
                  <w:vAlign w:val="center"/>
                </w:tcPr>
                <w:p w14:paraId="0CC79041">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达标</w:t>
                  </w:r>
                </w:p>
              </w:tc>
            </w:tr>
            <w:tr w14:paraId="60338BC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0" w:type="pct"/>
                  <w:vMerge w:val="continue"/>
                  <w:vAlign w:val="center"/>
                </w:tcPr>
                <w:p w14:paraId="47871106">
                  <w:pPr>
                    <w:adjustRightInd/>
                    <w:snapToGrid/>
                    <w:spacing w:after="0"/>
                    <w:rPr>
                      <w:rFonts w:hint="default" w:ascii="Times New Roman" w:hAnsi="Times New Roman" w:eastAsia="宋体" w:cs="Times New Roman"/>
                      <w:color w:val="auto"/>
                      <w:sz w:val="21"/>
                      <w:szCs w:val="21"/>
                    </w:rPr>
                  </w:pPr>
                </w:p>
              </w:tc>
              <w:tc>
                <w:tcPr>
                  <w:tcW w:w="872" w:type="pct"/>
                  <w:vMerge w:val="continue"/>
                  <w:vAlign w:val="center"/>
                </w:tcPr>
                <w:p w14:paraId="53F990C8">
                  <w:pPr>
                    <w:adjustRightInd/>
                    <w:snapToGrid/>
                    <w:spacing w:after="0"/>
                    <w:rPr>
                      <w:rFonts w:hint="default" w:ascii="Times New Roman" w:hAnsi="Times New Roman" w:eastAsia="宋体" w:cs="Times New Roman"/>
                      <w:color w:val="auto"/>
                      <w:sz w:val="21"/>
                      <w:szCs w:val="21"/>
                    </w:rPr>
                  </w:pPr>
                </w:p>
              </w:tc>
              <w:tc>
                <w:tcPr>
                  <w:tcW w:w="1052" w:type="pct"/>
                  <w:shd w:val="clear" w:color="auto" w:fill="auto"/>
                  <w:vAlign w:val="center"/>
                </w:tcPr>
                <w:p w14:paraId="7991D4CE">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c>
                <w:tcPr>
                  <w:tcW w:w="1577" w:type="dxa"/>
                  <w:shd w:val="clear" w:color="auto" w:fill="auto"/>
                  <w:vAlign w:val="center"/>
                </w:tcPr>
                <w:p w14:paraId="26977E72">
                  <w:pPr>
                    <w:widowControl/>
                    <w:jc w:val="center"/>
                    <w:rPr>
                      <w:rFonts w:hint="default" w:ascii="Times New Roman" w:hAnsi="Times New Roman" w:eastAsia="宋体" w:cs="Times New Roman"/>
                      <w:color w:val="auto"/>
                      <w:sz w:val="21"/>
                      <w:szCs w:val="21"/>
                    </w:rPr>
                  </w:pPr>
                  <w:r>
                    <w:rPr>
                      <w:rFonts w:hint="eastAsia"/>
                      <w:color w:val="auto"/>
                      <w:sz w:val="21"/>
                      <w:szCs w:val="21"/>
                    </w:rPr>
                    <w:t>17.11</w:t>
                  </w:r>
                </w:p>
              </w:tc>
              <w:tc>
                <w:tcPr>
                  <w:tcW w:w="1400" w:type="dxa"/>
                  <w:shd w:val="clear" w:color="auto" w:fill="auto"/>
                  <w:vAlign w:val="center"/>
                </w:tcPr>
                <w:p w14:paraId="09BF435F">
                  <w:pPr>
                    <w:adjustRightInd/>
                    <w:snapToGrid/>
                    <w:spacing w:after="0"/>
                    <w:jc w:val="center"/>
                    <w:rPr>
                      <w:rFonts w:hint="default" w:ascii="Times New Roman" w:hAnsi="Times New Roman" w:eastAsia="宋体" w:cs="Times New Roman"/>
                      <w:color w:val="auto"/>
                      <w:sz w:val="21"/>
                      <w:szCs w:val="21"/>
                      <w:lang w:val="en-US" w:eastAsia="zh-CN"/>
                    </w:rPr>
                  </w:pPr>
                  <w:r>
                    <w:rPr>
                      <w:rFonts w:ascii="Times New Roman" w:hAnsi="Times New Roman" w:eastAsia="等线"/>
                      <w:color w:val="auto"/>
                      <w:sz w:val="21"/>
                      <w:szCs w:val="21"/>
                    </w:rPr>
                    <w:t>3.827</w:t>
                  </w:r>
                </w:p>
              </w:tc>
              <w:tc>
                <w:tcPr>
                  <w:tcW w:w="476" w:type="pct"/>
                  <w:shd w:val="clear" w:color="auto" w:fill="auto"/>
                  <w:noWrap/>
                  <w:vAlign w:val="center"/>
                </w:tcPr>
                <w:p w14:paraId="114185BE">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达标</w:t>
                  </w:r>
                </w:p>
              </w:tc>
            </w:tr>
            <w:tr w14:paraId="7A7CF24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0" w:type="pct"/>
                  <w:vMerge w:val="continue"/>
                  <w:vAlign w:val="center"/>
                </w:tcPr>
                <w:p w14:paraId="78B3A3D7">
                  <w:pPr>
                    <w:adjustRightInd/>
                    <w:snapToGrid/>
                    <w:spacing w:after="0"/>
                    <w:rPr>
                      <w:rFonts w:hint="default" w:ascii="Times New Roman" w:hAnsi="Times New Roman" w:eastAsia="宋体" w:cs="Times New Roman"/>
                      <w:color w:val="auto"/>
                      <w:sz w:val="21"/>
                      <w:szCs w:val="21"/>
                    </w:rPr>
                  </w:pPr>
                </w:p>
              </w:tc>
              <w:tc>
                <w:tcPr>
                  <w:tcW w:w="872" w:type="pct"/>
                  <w:vMerge w:val="continue"/>
                  <w:vAlign w:val="center"/>
                </w:tcPr>
                <w:p w14:paraId="2AAF86D9">
                  <w:pPr>
                    <w:adjustRightInd/>
                    <w:snapToGrid/>
                    <w:spacing w:after="0"/>
                    <w:rPr>
                      <w:rFonts w:hint="default" w:ascii="Times New Roman" w:hAnsi="Times New Roman" w:eastAsia="宋体" w:cs="Times New Roman"/>
                      <w:color w:val="auto"/>
                      <w:sz w:val="21"/>
                      <w:szCs w:val="21"/>
                    </w:rPr>
                  </w:pPr>
                </w:p>
              </w:tc>
              <w:tc>
                <w:tcPr>
                  <w:tcW w:w="1052" w:type="pct"/>
                  <w:shd w:val="clear" w:color="auto" w:fill="auto"/>
                  <w:vAlign w:val="center"/>
                </w:tcPr>
                <w:p w14:paraId="0AD74951">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氨氮</w:t>
                  </w:r>
                </w:p>
              </w:tc>
              <w:tc>
                <w:tcPr>
                  <w:tcW w:w="1577" w:type="dxa"/>
                  <w:shd w:val="clear" w:color="auto" w:fill="auto"/>
                  <w:vAlign w:val="center"/>
                </w:tcPr>
                <w:p w14:paraId="793A8898">
                  <w:pPr>
                    <w:widowControl/>
                    <w:jc w:val="center"/>
                    <w:rPr>
                      <w:rFonts w:hint="default" w:ascii="Times New Roman" w:hAnsi="Times New Roman" w:eastAsia="宋体" w:cs="Times New Roman"/>
                      <w:color w:val="auto"/>
                      <w:sz w:val="21"/>
                      <w:szCs w:val="21"/>
                    </w:rPr>
                  </w:pPr>
                  <w:r>
                    <w:rPr>
                      <w:rFonts w:hint="eastAsia"/>
                      <w:color w:val="auto"/>
                      <w:sz w:val="21"/>
                      <w:szCs w:val="21"/>
                    </w:rPr>
                    <w:t>1.20</w:t>
                  </w:r>
                </w:p>
              </w:tc>
              <w:tc>
                <w:tcPr>
                  <w:tcW w:w="1400" w:type="dxa"/>
                  <w:shd w:val="clear" w:color="auto" w:fill="auto"/>
                  <w:vAlign w:val="center"/>
                </w:tcPr>
                <w:p w14:paraId="634705DF">
                  <w:pPr>
                    <w:adjustRightInd/>
                    <w:snapToGrid/>
                    <w:spacing w:after="0"/>
                    <w:jc w:val="center"/>
                    <w:rPr>
                      <w:rFonts w:hint="default" w:ascii="Times New Roman" w:hAnsi="Times New Roman" w:eastAsia="宋体" w:cs="Times New Roman"/>
                      <w:color w:val="auto"/>
                      <w:sz w:val="21"/>
                      <w:szCs w:val="21"/>
                      <w:lang w:val="en-US" w:eastAsia="zh-CN"/>
                    </w:rPr>
                  </w:pPr>
                  <w:r>
                    <w:rPr>
                      <w:rFonts w:ascii="Times New Roman" w:hAnsi="Times New Roman" w:eastAsia="等线"/>
                      <w:color w:val="auto"/>
                      <w:sz w:val="21"/>
                      <w:szCs w:val="21"/>
                    </w:rPr>
                    <w:t>0.0904</w:t>
                  </w:r>
                </w:p>
              </w:tc>
              <w:tc>
                <w:tcPr>
                  <w:tcW w:w="476" w:type="pct"/>
                  <w:shd w:val="clear" w:color="auto" w:fill="auto"/>
                  <w:noWrap/>
                  <w:vAlign w:val="center"/>
                </w:tcPr>
                <w:p w14:paraId="31A4F7DF">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达标</w:t>
                  </w:r>
                </w:p>
              </w:tc>
            </w:tr>
            <w:tr w14:paraId="0A67A45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0" w:type="pct"/>
                  <w:vMerge w:val="continue"/>
                  <w:vAlign w:val="center"/>
                </w:tcPr>
                <w:p w14:paraId="1B86F772">
                  <w:pPr>
                    <w:adjustRightInd/>
                    <w:snapToGrid/>
                    <w:spacing w:after="0"/>
                    <w:rPr>
                      <w:rFonts w:hint="default" w:ascii="Times New Roman" w:hAnsi="Times New Roman" w:eastAsia="宋体" w:cs="Times New Roman"/>
                      <w:color w:val="auto"/>
                      <w:sz w:val="21"/>
                      <w:szCs w:val="21"/>
                    </w:rPr>
                  </w:pPr>
                </w:p>
              </w:tc>
              <w:tc>
                <w:tcPr>
                  <w:tcW w:w="872" w:type="pct"/>
                  <w:vMerge w:val="continue"/>
                  <w:vAlign w:val="center"/>
                </w:tcPr>
                <w:p w14:paraId="6167C3C8">
                  <w:pPr>
                    <w:adjustRightInd/>
                    <w:snapToGrid/>
                    <w:spacing w:after="0"/>
                    <w:rPr>
                      <w:rFonts w:hint="default" w:ascii="Times New Roman" w:hAnsi="Times New Roman" w:eastAsia="宋体" w:cs="Times New Roman"/>
                      <w:color w:val="auto"/>
                      <w:sz w:val="21"/>
                      <w:szCs w:val="21"/>
                    </w:rPr>
                  </w:pPr>
                </w:p>
              </w:tc>
              <w:tc>
                <w:tcPr>
                  <w:tcW w:w="1052" w:type="pct"/>
                  <w:shd w:val="clear" w:color="auto" w:fill="auto"/>
                  <w:vAlign w:val="center"/>
                </w:tcPr>
                <w:p w14:paraId="14CA69D3">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总氮</w:t>
                  </w:r>
                </w:p>
              </w:tc>
              <w:tc>
                <w:tcPr>
                  <w:tcW w:w="1577" w:type="dxa"/>
                  <w:shd w:val="clear" w:color="auto" w:fill="auto"/>
                  <w:vAlign w:val="center"/>
                </w:tcPr>
                <w:p w14:paraId="288C077E">
                  <w:pPr>
                    <w:widowControl/>
                    <w:jc w:val="center"/>
                    <w:rPr>
                      <w:rFonts w:hint="default" w:ascii="Times New Roman" w:hAnsi="Times New Roman" w:eastAsia="宋体" w:cs="Times New Roman"/>
                      <w:color w:val="auto"/>
                      <w:sz w:val="21"/>
                      <w:szCs w:val="21"/>
                    </w:rPr>
                  </w:pPr>
                  <w:r>
                    <w:rPr>
                      <w:rFonts w:hint="eastAsia"/>
                      <w:color w:val="auto"/>
                      <w:sz w:val="21"/>
                      <w:szCs w:val="21"/>
                    </w:rPr>
                    <w:t>2.27</w:t>
                  </w:r>
                </w:p>
              </w:tc>
              <w:tc>
                <w:tcPr>
                  <w:tcW w:w="1400" w:type="dxa"/>
                  <w:shd w:val="clear" w:color="auto" w:fill="auto"/>
                  <w:vAlign w:val="center"/>
                </w:tcPr>
                <w:p w14:paraId="11AA0B58">
                  <w:pPr>
                    <w:adjustRightInd/>
                    <w:snapToGrid/>
                    <w:spacing w:after="0"/>
                    <w:jc w:val="center"/>
                    <w:rPr>
                      <w:rFonts w:hint="default" w:ascii="Times New Roman" w:hAnsi="Times New Roman" w:eastAsia="宋体" w:cs="Times New Roman"/>
                      <w:color w:val="auto"/>
                      <w:sz w:val="21"/>
                      <w:szCs w:val="21"/>
                      <w:lang w:val="en-US" w:eastAsia="zh-CN"/>
                    </w:rPr>
                  </w:pPr>
                  <w:r>
                    <w:rPr>
                      <w:rFonts w:ascii="Times New Roman" w:hAnsi="Times New Roman" w:eastAsia="等线"/>
                      <w:color w:val="auto"/>
                      <w:sz w:val="21"/>
                      <w:szCs w:val="21"/>
                    </w:rPr>
                    <w:t>0.1698</w:t>
                  </w:r>
                </w:p>
              </w:tc>
              <w:tc>
                <w:tcPr>
                  <w:tcW w:w="476" w:type="pct"/>
                  <w:shd w:val="clear" w:color="auto" w:fill="auto"/>
                  <w:noWrap/>
                  <w:vAlign w:val="center"/>
                </w:tcPr>
                <w:p w14:paraId="458EAE23">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达标</w:t>
                  </w:r>
                </w:p>
              </w:tc>
            </w:tr>
            <w:tr w14:paraId="2E940F9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0" w:type="pct"/>
                  <w:vMerge w:val="continue"/>
                  <w:vAlign w:val="center"/>
                </w:tcPr>
                <w:p w14:paraId="6A293147">
                  <w:pPr>
                    <w:adjustRightInd/>
                    <w:snapToGrid/>
                    <w:spacing w:after="0"/>
                    <w:rPr>
                      <w:rFonts w:hint="default" w:ascii="Times New Roman" w:hAnsi="Times New Roman" w:eastAsia="宋体" w:cs="Times New Roman"/>
                      <w:color w:val="auto"/>
                      <w:sz w:val="21"/>
                      <w:szCs w:val="21"/>
                    </w:rPr>
                  </w:pPr>
                </w:p>
              </w:tc>
              <w:tc>
                <w:tcPr>
                  <w:tcW w:w="872" w:type="pct"/>
                  <w:vMerge w:val="continue"/>
                  <w:vAlign w:val="center"/>
                </w:tcPr>
                <w:p w14:paraId="6C789F69">
                  <w:pPr>
                    <w:adjustRightInd/>
                    <w:snapToGrid/>
                    <w:spacing w:after="0"/>
                    <w:rPr>
                      <w:rFonts w:hint="default" w:ascii="Times New Roman" w:hAnsi="Times New Roman" w:eastAsia="宋体" w:cs="Times New Roman"/>
                      <w:color w:val="auto"/>
                      <w:sz w:val="21"/>
                      <w:szCs w:val="21"/>
                    </w:rPr>
                  </w:pPr>
                </w:p>
              </w:tc>
              <w:tc>
                <w:tcPr>
                  <w:tcW w:w="1052" w:type="pct"/>
                  <w:shd w:val="clear" w:color="auto" w:fill="auto"/>
                  <w:vAlign w:val="center"/>
                </w:tcPr>
                <w:p w14:paraId="5B3A8041">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总磷</w:t>
                  </w:r>
                </w:p>
              </w:tc>
              <w:tc>
                <w:tcPr>
                  <w:tcW w:w="1577" w:type="dxa"/>
                  <w:shd w:val="clear" w:color="auto" w:fill="auto"/>
                  <w:vAlign w:val="center"/>
                </w:tcPr>
                <w:p w14:paraId="02E1C578">
                  <w:pPr>
                    <w:widowControl/>
                    <w:jc w:val="center"/>
                    <w:rPr>
                      <w:rFonts w:hint="default" w:ascii="Times New Roman" w:hAnsi="Times New Roman" w:eastAsia="宋体" w:cs="Times New Roman"/>
                      <w:color w:val="auto"/>
                      <w:sz w:val="21"/>
                      <w:szCs w:val="21"/>
                    </w:rPr>
                  </w:pPr>
                  <w:r>
                    <w:rPr>
                      <w:rFonts w:hint="eastAsia"/>
                      <w:color w:val="auto"/>
                      <w:sz w:val="21"/>
                      <w:szCs w:val="21"/>
                    </w:rPr>
                    <w:t>0.21</w:t>
                  </w:r>
                </w:p>
              </w:tc>
              <w:tc>
                <w:tcPr>
                  <w:tcW w:w="1400" w:type="dxa"/>
                  <w:shd w:val="clear" w:color="auto" w:fill="auto"/>
                  <w:vAlign w:val="center"/>
                </w:tcPr>
                <w:p w14:paraId="5F113155">
                  <w:pPr>
                    <w:adjustRightInd/>
                    <w:snapToGrid/>
                    <w:spacing w:after="0"/>
                    <w:jc w:val="center"/>
                    <w:rPr>
                      <w:rFonts w:hint="default" w:ascii="Times New Roman" w:hAnsi="Times New Roman" w:eastAsia="宋体" w:cs="Times New Roman"/>
                      <w:color w:val="auto"/>
                      <w:sz w:val="21"/>
                      <w:szCs w:val="21"/>
                    </w:rPr>
                  </w:pPr>
                  <w:r>
                    <w:rPr>
                      <w:rFonts w:ascii="Times New Roman" w:hAnsi="Times New Roman" w:eastAsia="等线"/>
                      <w:color w:val="auto"/>
                      <w:sz w:val="21"/>
                      <w:szCs w:val="21"/>
                    </w:rPr>
                    <w:t>0.0418</w:t>
                  </w:r>
                </w:p>
              </w:tc>
              <w:tc>
                <w:tcPr>
                  <w:tcW w:w="476" w:type="pct"/>
                  <w:shd w:val="clear" w:color="auto" w:fill="auto"/>
                  <w:noWrap/>
                  <w:vAlign w:val="center"/>
                </w:tcPr>
                <w:p w14:paraId="029C4687">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达标</w:t>
                  </w:r>
                </w:p>
              </w:tc>
            </w:tr>
            <w:tr w14:paraId="4F8317F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0" w:type="pct"/>
                  <w:vMerge w:val="continue"/>
                  <w:vAlign w:val="center"/>
                </w:tcPr>
                <w:p w14:paraId="2D4245F8">
                  <w:pPr>
                    <w:adjustRightInd/>
                    <w:snapToGrid/>
                    <w:spacing w:after="0"/>
                    <w:rPr>
                      <w:rFonts w:hint="default" w:ascii="Times New Roman" w:hAnsi="Times New Roman" w:eastAsia="宋体" w:cs="Times New Roman"/>
                      <w:color w:val="auto"/>
                      <w:sz w:val="21"/>
                      <w:szCs w:val="21"/>
                    </w:rPr>
                  </w:pPr>
                </w:p>
              </w:tc>
              <w:tc>
                <w:tcPr>
                  <w:tcW w:w="872" w:type="pct"/>
                  <w:vMerge w:val="continue"/>
                  <w:vAlign w:val="center"/>
                </w:tcPr>
                <w:p w14:paraId="0B2C51F8">
                  <w:pPr>
                    <w:adjustRightInd/>
                    <w:snapToGrid/>
                    <w:spacing w:after="0"/>
                    <w:rPr>
                      <w:rFonts w:hint="default" w:ascii="Times New Roman" w:hAnsi="Times New Roman" w:eastAsia="宋体" w:cs="Times New Roman"/>
                      <w:color w:val="auto"/>
                      <w:sz w:val="21"/>
                      <w:szCs w:val="21"/>
                    </w:rPr>
                  </w:pPr>
                </w:p>
              </w:tc>
              <w:tc>
                <w:tcPr>
                  <w:tcW w:w="1052" w:type="pct"/>
                  <w:shd w:val="clear" w:color="auto" w:fill="auto"/>
                  <w:vAlign w:val="center"/>
                </w:tcPr>
                <w:p w14:paraId="6C5741D6">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动植物油</w:t>
                  </w:r>
                </w:p>
              </w:tc>
              <w:tc>
                <w:tcPr>
                  <w:tcW w:w="1577" w:type="dxa"/>
                  <w:shd w:val="clear" w:color="auto" w:fill="auto"/>
                  <w:vAlign w:val="center"/>
                </w:tcPr>
                <w:p w14:paraId="0AE67E03">
                  <w:pPr>
                    <w:widowControl/>
                    <w:jc w:val="center"/>
                    <w:rPr>
                      <w:rFonts w:hint="default" w:ascii="Times New Roman" w:hAnsi="Times New Roman" w:eastAsia="宋体" w:cs="Times New Roman"/>
                      <w:color w:val="auto"/>
                      <w:sz w:val="21"/>
                      <w:szCs w:val="21"/>
                    </w:rPr>
                  </w:pPr>
                  <w:r>
                    <w:rPr>
                      <w:rFonts w:hint="eastAsia"/>
                      <w:color w:val="auto"/>
                      <w:sz w:val="21"/>
                      <w:szCs w:val="21"/>
                    </w:rPr>
                    <w:t>0.09</w:t>
                  </w:r>
                </w:p>
              </w:tc>
              <w:tc>
                <w:tcPr>
                  <w:tcW w:w="1400" w:type="dxa"/>
                  <w:shd w:val="clear" w:color="auto" w:fill="auto"/>
                  <w:vAlign w:val="center"/>
                </w:tcPr>
                <w:p w14:paraId="192ECC18">
                  <w:pPr>
                    <w:adjustRightInd/>
                    <w:snapToGrid/>
                    <w:spacing w:after="0"/>
                    <w:jc w:val="center"/>
                    <w:rPr>
                      <w:rFonts w:hint="default" w:ascii="Times New Roman" w:hAnsi="Times New Roman" w:eastAsia="宋体" w:cs="Times New Roman"/>
                      <w:color w:val="auto"/>
                      <w:sz w:val="21"/>
                      <w:szCs w:val="21"/>
                    </w:rPr>
                  </w:pPr>
                  <w:r>
                    <w:rPr>
                      <w:rFonts w:ascii="Times New Roman" w:hAnsi="Times New Roman" w:eastAsia="等线"/>
                      <w:color w:val="auto"/>
                      <w:sz w:val="21"/>
                      <w:szCs w:val="21"/>
                    </w:rPr>
                    <w:t>0.0042</w:t>
                  </w:r>
                </w:p>
              </w:tc>
              <w:tc>
                <w:tcPr>
                  <w:tcW w:w="476" w:type="pct"/>
                  <w:shd w:val="clear" w:color="auto" w:fill="auto"/>
                  <w:noWrap/>
                  <w:vAlign w:val="center"/>
                </w:tcPr>
                <w:p w14:paraId="6BB4E35B">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达标</w:t>
                  </w:r>
                </w:p>
              </w:tc>
            </w:tr>
            <w:tr w14:paraId="5716F9D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0" w:type="pct"/>
                  <w:vMerge w:val="continue"/>
                  <w:vAlign w:val="center"/>
                </w:tcPr>
                <w:p w14:paraId="7A20D9BE">
                  <w:pPr>
                    <w:adjustRightInd/>
                    <w:snapToGrid/>
                    <w:spacing w:after="0"/>
                    <w:rPr>
                      <w:rFonts w:hint="default" w:ascii="Times New Roman" w:hAnsi="Times New Roman" w:eastAsia="宋体" w:cs="Times New Roman"/>
                      <w:color w:val="auto"/>
                      <w:sz w:val="21"/>
                      <w:szCs w:val="21"/>
                    </w:rPr>
                  </w:pPr>
                </w:p>
              </w:tc>
              <w:tc>
                <w:tcPr>
                  <w:tcW w:w="872" w:type="pct"/>
                  <w:vMerge w:val="continue"/>
                  <w:vAlign w:val="center"/>
                </w:tcPr>
                <w:p w14:paraId="4D682C1E">
                  <w:pPr>
                    <w:adjustRightInd/>
                    <w:snapToGrid/>
                    <w:spacing w:after="0"/>
                    <w:rPr>
                      <w:rFonts w:hint="default" w:ascii="Times New Roman" w:hAnsi="Times New Roman" w:eastAsia="宋体" w:cs="Times New Roman"/>
                      <w:color w:val="auto"/>
                      <w:sz w:val="21"/>
                      <w:szCs w:val="21"/>
                    </w:rPr>
                  </w:pPr>
                </w:p>
              </w:tc>
              <w:tc>
                <w:tcPr>
                  <w:tcW w:w="1052" w:type="pct"/>
                  <w:shd w:val="clear" w:color="auto" w:fill="auto"/>
                  <w:vAlign w:val="center"/>
                </w:tcPr>
                <w:p w14:paraId="0BA04769">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LAS</w:t>
                  </w:r>
                </w:p>
              </w:tc>
              <w:tc>
                <w:tcPr>
                  <w:tcW w:w="1577" w:type="dxa"/>
                  <w:shd w:val="clear" w:color="auto" w:fill="auto"/>
                  <w:vAlign w:val="center"/>
                </w:tcPr>
                <w:p w14:paraId="6F5E901E">
                  <w:pPr>
                    <w:widowControl/>
                    <w:jc w:val="center"/>
                    <w:rPr>
                      <w:rFonts w:hint="default" w:ascii="Times New Roman" w:hAnsi="Times New Roman" w:eastAsia="宋体" w:cs="Times New Roman"/>
                      <w:color w:val="auto"/>
                      <w:sz w:val="21"/>
                      <w:szCs w:val="21"/>
                    </w:rPr>
                  </w:pPr>
                  <w:r>
                    <w:rPr>
                      <w:rFonts w:hint="eastAsia"/>
                      <w:color w:val="auto"/>
                      <w:sz w:val="21"/>
                      <w:szCs w:val="21"/>
                    </w:rPr>
                    <w:t>0.22</w:t>
                  </w:r>
                </w:p>
              </w:tc>
              <w:tc>
                <w:tcPr>
                  <w:tcW w:w="1400" w:type="dxa"/>
                  <w:shd w:val="clear" w:color="auto" w:fill="auto"/>
                  <w:vAlign w:val="center"/>
                </w:tcPr>
                <w:p w14:paraId="15E29B0D">
                  <w:pPr>
                    <w:adjustRightInd/>
                    <w:snapToGrid/>
                    <w:spacing w:after="0"/>
                    <w:jc w:val="center"/>
                    <w:rPr>
                      <w:rFonts w:hint="default" w:ascii="Times New Roman" w:hAnsi="Times New Roman" w:eastAsia="宋体" w:cs="Times New Roman"/>
                      <w:color w:val="auto"/>
                      <w:sz w:val="21"/>
                      <w:szCs w:val="21"/>
                    </w:rPr>
                  </w:pPr>
                  <w:r>
                    <w:rPr>
                      <w:rFonts w:ascii="Times New Roman" w:hAnsi="Times New Roman" w:eastAsia="等线"/>
                      <w:color w:val="auto"/>
                      <w:sz w:val="21"/>
                      <w:szCs w:val="21"/>
                    </w:rPr>
                    <w:t>0.0035</w:t>
                  </w:r>
                </w:p>
              </w:tc>
              <w:tc>
                <w:tcPr>
                  <w:tcW w:w="476" w:type="pct"/>
                  <w:shd w:val="clear" w:color="auto" w:fill="auto"/>
                  <w:noWrap/>
                  <w:vAlign w:val="center"/>
                </w:tcPr>
                <w:p w14:paraId="61D82B07">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达标</w:t>
                  </w:r>
                </w:p>
              </w:tc>
            </w:tr>
            <w:tr w14:paraId="130D464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0" w:type="pct"/>
                  <w:vMerge w:val="restart"/>
                  <w:shd w:val="clear" w:color="auto" w:fill="auto"/>
                  <w:vAlign w:val="center"/>
                </w:tcPr>
                <w:p w14:paraId="7F4A8B31">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872" w:type="pct"/>
                  <w:shd w:val="clear" w:color="auto" w:fill="auto"/>
                  <w:vAlign w:val="center"/>
                </w:tcPr>
                <w:p w14:paraId="18B96DA6">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有组织</w:t>
                  </w:r>
                </w:p>
              </w:tc>
              <w:tc>
                <w:tcPr>
                  <w:tcW w:w="1052" w:type="pct"/>
                  <w:shd w:val="clear" w:color="auto" w:fill="auto"/>
                  <w:vAlign w:val="center"/>
                </w:tcPr>
                <w:p w14:paraId="36E313DD">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油烟</w:t>
                  </w:r>
                </w:p>
              </w:tc>
              <w:tc>
                <w:tcPr>
                  <w:tcW w:w="936" w:type="pct"/>
                  <w:shd w:val="clear" w:color="auto" w:fill="auto"/>
                  <w:vAlign w:val="center"/>
                </w:tcPr>
                <w:p w14:paraId="7EAD7D02">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0.09205</w:t>
                  </w:r>
                </w:p>
              </w:tc>
              <w:tc>
                <w:tcPr>
                  <w:tcW w:w="831" w:type="pct"/>
                  <w:shd w:val="clear" w:color="auto" w:fill="auto"/>
                  <w:noWrap/>
                  <w:vAlign w:val="center"/>
                </w:tcPr>
                <w:p w14:paraId="5B5692DD">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0.0232</w:t>
                  </w:r>
                </w:p>
              </w:tc>
              <w:tc>
                <w:tcPr>
                  <w:tcW w:w="476" w:type="pct"/>
                  <w:shd w:val="clear" w:color="auto" w:fill="auto"/>
                  <w:noWrap/>
                  <w:vAlign w:val="center"/>
                </w:tcPr>
                <w:p w14:paraId="2B34E477">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达标</w:t>
                  </w:r>
                </w:p>
              </w:tc>
            </w:tr>
            <w:tr w14:paraId="250F0C9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0" w:type="pct"/>
                  <w:vMerge w:val="continue"/>
                  <w:vAlign w:val="center"/>
                </w:tcPr>
                <w:p w14:paraId="322261FA">
                  <w:pPr>
                    <w:adjustRightInd/>
                    <w:snapToGrid/>
                    <w:spacing w:after="0"/>
                    <w:jc w:val="center"/>
                    <w:rPr>
                      <w:rFonts w:hint="default" w:ascii="Times New Roman" w:hAnsi="Times New Roman" w:eastAsia="宋体" w:cs="Times New Roman"/>
                      <w:color w:val="auto"/>
                      <w:sz w:val="21"/>
                      <w:szCs w:val="21"/>
                    </w:rPr>
                  </w:pPr>
                </w:p>
              </w:tc>
              <w:tc>
                <w:tcPr>
                  <w:tcW w:w="872" w:type="pct"/>
                  <w:vMerge w:val="restart"/>
                  <w:shd w:val="clear" w:color="auto" w:fill="auto"/>
                  <w:vAlign w:val="center"/>
                </w:tcPr>
                <w:p w14:paraId="787B4F5E">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无组织</w:t>
                  </w:r>
                </w:p>
              </w:tc>
              <w:tc>
                <w:tcPr>
                  <w:tcW w:w="1052" w:type="pct"/>
                  <w:shd w:val="clear" w:color="auto" w:fill="auto"/>
                  <w:vAlign w:val="center"/>
                </w:tcPr>
                <w:p w14:paraId="126E945F">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w:t>
                  </w:r>
                </w:p>
              </w:tc>
              <w:tc>
                <w:tcPr>
                  <w:tcW w:w="936" w:type="pct"/>
                  <w:shd w:val="clear" w:color="auto" w:fill="auto"/>
                  <w:vAlign w:val="center"/>
                </w:tcPr>
                <w:p w14:paraId="68F443BB">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0.26</w:t>
                  </w:r>
                </w:p>
              </w:tc>
              <w:tc>
                <w:tcPr>
                  <w:tcW w:w="831" w:type="pct"/>
                  <w:shd w:val="clear" w:color="auto" w:fill="auto"/>
                  <w:noWrap/>
                  <w:vAlign w:val="center"/>
                </w:tcPr>
                <w:p w14:paraId="60777028">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476" w:type="pct"/>
                  <w:shd w:val="clear" w:color="auto" w:fill="auto"/>
                  <w:noWrap/>
                  <w:vAlign w:val="center"/>
                </w:tcPr>
                <w:p w14:paraId="18A08DCC">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达标</w:t>
                  </w:r>
                </w:p>
              </w:tc>
            </w:tr>
            <w:tr w14:paraId="011C56B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0" w:type="pct"/>
                  <w:vMerge w:val="continue"/>
                  <w:vAlign w:val="center"/>
                </w:tcPr>
                <w:p w14:paraId="2A2E8BF0">
                  <w:pPr>
                    <w:adjustRightInd/>
                    <w:snapToGrid/>
                    <w:spacing w:after="0"/>
                    <w:jc w:val="center"/>
                    <w:rPr>
                      <w:rFonts w:hint="default" w:ascii="Times New Roman" w:hAnsi="Times New Roman" w:eastAsia="宋体" w:cs="Times New Roman"/>
                      <w:color w:val="auto"/>
                      <w:sz w:val="21"/>
                      <w:szCs w:val="21"/>
                    </w:rPr>
                  </w:pPr>
                </w:p>
              </w:tc>
              <w:tc>
                <w:tcPr>
                  <w:tcW w:w="872" w:type="pct"/>
                  <w:vMerge w:val="continue"/>
                  <w:vAlign w:val="center"/>
                </w:tcPr>
                <w:p w14:paraId="4D650109">
                  <w:pPr>
                    <w:adjustRightInd/>
                    <w:snapToGrid/>
                    <w:spacing w:after="0"/>
                    <w:rPr>
                      <w:rFonts w:hint="default" w:ascii="Times New Roman" w:hAnsi="Times New Roman" w:eastAsia="宋体" w:cs="Times New Roman"/>
                      <w:color w:val="auto"/>
                      <w:sz w:val="21"/>
                      <w:szCs w:val="21"/>
                    </w:rPr>
                  </w:pPr>
                </w:p>
              </w:tc>
              <w:tc>
                <w:tcPr>
                  <w:tcW w:w="1052" w:type="pct"/>
                  <w:shd w:val="clear" w:color="auto" w:fill="auto"/>
                  <w:vAlign w:val="center"/>
                </w:tcPr>
                <w:p w14:paraId="5FEAFE33">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硫化氢</w:t>
                  </w:r>
                </w:p>
              </w:tc>
              <w:tc>
                <w:tcPr>
                  <w:tcW w:w="936" w:type="pct"/>
                  <w:shd w:val="clear" w:color="auto" w:fill="auto"/>
                  <w:vAlign w:val="center"/>
                </w:tcPr>
                <w:p w14:paraId="74195947">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w:t>
                  </w:r>
                </w:p>
              </w:tc>
              <w:tc>
                <w:tcPr>
                  <w:tcW w:w="831" w:type="pct"/>
                  <w:shd w:val="clear" w:color="auto" w:fill="auto"/>
                  <w:noWrap/>
                  <w:vAlign w:val="center"/>
                </w:tcPr>
                <w:p w14:paraId="639D3EFA">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476" w:type="pct"/>
                  <w:shd w:val="clear" w:color="auto" w:fill="auto"/>
                  <w:noWrap/>
                  <w:vAlign w:val="center"/>
                </w:tcPr>
                <w:p w14:paraId="61A762E3">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达标</w:t>
                  </w:r>
                </w:p>
              </w:tc>
            </w:tr>
            <w:tr w14:paraId="26279FA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0" w:type="pct"/>
                  <w:vMerge w:val="continue"/>
                  <w:vAlign w:val="center"/>
                </w:tcPr>
                <w:p w14:paraId="3FCFFBFC">
                  <w:pPr>
                    <w:adjustRightInd/>
                    <w:snapToGrid/>
                    <w:spacing w:after="0"/>
                    <w:jc w:val="center"/>
                    <w:rPr>
                      <w:rFonts w:hint="default" w:ascii="Times New Roman" w:hAnsi="Times New Roman" w:eastAsia="宋体" w:cs="Times New Roman"/>
                      <w:color w:val="auto"/>
                      <w:sz w:val="21"/>
                      <w:szCs w:val="21"/>
                    </w:rPr>
                  </w:pPr>
                </w:p>
              </w:tc>
              <w:tc>
                <w:tcPr>
                  <w:tcW w:w="872" w:type="pct"/>
                  <w:vMerge w:val="continue"/>
                  <w:vAlign w:val="center"/>
                </w:tcPr>
                <w:p w14:paraId="352CB675">
                  <w:pPr>
                    <w:adjustRightInd/>
                    <w:snapToGrid/>
                    <w:spacing w:after="0"/>
                    <w:rPr>
                      <w:rFonts w:hint="default" w:ascii="Times New Roman" w:hAnsi="Times New Roman" w:eastAsia="宋体" w:cs="Times New Roman"/>
                      <w:color w:val="auto"/>
                      <w:sz w:val="21"/>
                      <w:szCs w:val="21"/>
                    </w:rPr>
                  </w:pPr>
                </w:p>
              </w:tc>
              <w:tc>
                <w:tcPr>
                  <w:tcW w:w="1052" w:type="pct"/>
                  <w:shd w:val="clear" w:color="auto" w:fill="auto"/>
                  <w:vAlign w:val="center"/>
                </w:tcPr>
                <w:p w14:paraId="1734583F">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w:t>
                  </w:r>
                </w:p>
              </w:tc>
              <w:tc>
                <w:tcPr>
                  <w:tcW w:w="936" w:type="pct"/>
                  <w:shd w:val="clear" w:color="auto" w:fill="auto"/>
                  <w:vAlign w:val="center"/>
                </w:tcPr>
                <w:p w14:paraId="733C35AD">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w:t>
                  </w:r>
                </w:p>
              </w:tc>
              <w:tc>
                <w:tcPr>
                  <w:tcW w:w="831" w:type="pct"/>
                  <w:shd w:val="clear" w:color="auto" w:fill="auto"/>
                  <w:noWrap/>
                  <w:vAlign w:val="center"/>
                </w:tcPr>
                <w:p w14:paraId="08B39AAE">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476" w:type="pct"/>
                  <w:shd w:val="clear" w:color="auto" w:fill="auto"/>
                  <w:noWrap/>
                  <w:vAlign w:val="center"/>
                </w:tcPr>
                <w:p w14:paraId="52D2CC4B">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达标</w:t>
                  </w:r>
                </w:p>
              </w:tc>
            </w:tr>
            <w:tr w14:paraId="4203041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0" w:type="pct"/>
                  <w:vMerge w:val="restart"/>
                  <w:vAlign w:val="center"/>
                </w:tcPr>
                <w:p w14:paraId="012A3468">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固体废物</w:t>
                  </w:r>
                </w:p>
              </w:tc>
              <w:tc>
                <w:tcPr>
                  <w:tcW w:w="1924" w:type="pct"/>
                  <w:gridSpan w:val="2"/>
                  <w:vAlign w:val="center"/>
                </w:tcPr>
                <w:p w14:paraId="162CFC0E">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一般工业固体废物</w:t>
                  </w:r>
                </w:p>
              </w:tc>
              <w:tc>
                <w:tcPr>
                  <w:tcW w:w="936" w:type="pct"/>
                  <w:shd w:val="clear" w:color="auto" w:fill="auto"/>
                  <w:vAlign w:val="center"/>
                </w:tcPr>
                <w:p w14:paraId="4BCA2BCA">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831" w:type="pct"/>
                  <w:shd w:val="clear" w:color="auto" w:fill="auto"/>
                  <w:noWrap/>
                  <w:vAlign w:val="center"/>
                </w:tcPr>
                <w:p w14:paraId="7CF464ED">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rPr>
                    <w:t>0</w:t>
                  </w:r>
                </w:p>
              </w:tc>
              <w:tc>
                <w:tcPr>
                  <w:tcW w:w="476" w:type="pct"/>
                  <w:shd w:val="clear" w:color="auto" w:fill="auto"/>
                  <w:noWrap/>
                  <w:vAlign w:val="center"/>
                </w:tcPr>
                <w:p w14:paraId="031D0106">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达标</w:t>
                  </w:r>
                </w:p>
              </w:tc>
            </w:tr>
            <w:tr w14:paraId="4DFF886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830" w:type="pct"/>
                  <w:vMerge w:val="continue"/>
                  <w:vAlign w:val="center"/>
                </w:tcPr>
                <w:p w14:paraId="538E35A8">
                  <w:pPr>
                    <w:adjustRightInd/>
                    <w:snapToGrid/>
                    <w:spacing w:after="0"/>
                    <w:rPr>
                      <w:rFonts w:hint="default" w:ascii="Times New Roman" w:hAnsi="Times New Roman" w:eastAsia="宋体" w:cs="Times New Roman"/>
                      <w:color w:val="auto"/>
                      <w:sz w:val="21"/>
                      <w:szCs w:val="21"/>
                    </w:rPr>
                  </w:pPr>
                </w:p>
              </w:tc>
              <w:tc>
                <w:tcPr>
                  <w:tcW w:w="1924" w:type="pct"/>
                  <w:gridSpan w:val="2"/>
                  <w:vAlign w:val="center"/>
                </w:tcPr>
                <w:p w14:paraId="519E1A1A">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生活垃圾</w:t>
                  </w:r>
                </w:p>
              </w:tc>
              <w:tc>
                <w:tcPr>
                  <w:tcW w:w="936" w:type="pct"/>
                  <w:shd w:val="clear" w:color="auto" w:fill="auto"/>
                  <w:vAlign w:val="center"/>
                </w:tcPr>
                <w:p w14:paraId="05EC81FE">
                  <w:pPr>
                    <w:adjustRightInd/>
                    <w:snapToGrid/>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831" w:type="pct"/>
                  <w:shd w:val="clear" w:color="auto" w:fill="auto"/>
                  <w:noWrap/>
                  <w:vAlign w:val="center"/>
                </w:tcPr>
                <w:p w14:paraId="4980A45E">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rPr>
                    <w:t>0</w:t>
                  </w:r>
                </w:p>
              </w:tc>
              <w:tc>
                <w:tcPr>
                  <w:tcW w:w="476" w:type="pct"/>
                  <w:shd w:val="clear" w:color="auto" w:fill="auto"/>
                  <w:noWrap/>
                  <w:vAlign w:val="center"/>
                </w:tcPr>
                <w:p w14:paraId="4765F218">
                  <w:pPr>
                    <w:adjustRightInd/>
                    <w:snapToGrid/>
                    <w:spacing w:after="0"/>
                    <w:jc w:val="center"/>
                    <w:rPr>
                      <w:rFonts w:hint="default" w:ascii="Times New Roman" w:hAnsi="Times New Roman" w:eastAsia="宋体" w:cs="Times New Roman"/>
                      <w:color w:val="auto"/>
                    </w:rPr>
                  </w:pPr>
                  <w:r>
                    <w:rPr>
                      <w:rFonts w:hint="default" w:ascii="Times New Roman" w:hAnsi="Times New Roman" w:eastAsia="宋体" w:cs="Times New Roman"/>
                      <w:color w:val="auto"/>
                    </w:rPr>
                    <w:t>达标</w:t>
                  </w:r>
                </w:p>
              </w:tc>
            </w:tr>
          </w:tbl>
          <w:p w14:paraId="0DC94D54">
            <w:pPr>
              <w:widowControl/>
              <w:adjustRightInd w:val="0"/>
              <w:snapToGrid w:val="0"/>
              <w:spacing w:before="120" w:beforeLines="50" w:line="360" w:lineRule="auto"/>
              <w:ind w:firstLine="422" w:firstLineChars="20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
                <w:bCs/>
                <w:color w:val="auto"/>
                <w:sz w:val="21"/>
                <w:szCs w:val="21"/>
              </w:rPr>
              <w:t>*</w:t>
            </w:r>
            <w:r>
              <w:rPr>
                <w:rFonts w:hint="eastAsia" w:cs="Times New Roman"/>
                <w:b/>
                <w:bCs/>
                <w:color w:val="auto"/>
                <w:sz w:val="21"/>
                <w:szCs w:val="21"/>
                <w:lang w:eastAsia="zh-CN"/>
              </w:rPr>
              <w:t>注：</w:t>
            </w:r>
            <w:r>
              <w:rPr>
                <w:rFonts w:hint="eastAsia" w:ascii="Times New Roman" w:hAnsi="Times New Roman" w:eastAsia="宋体" w:cs="Times New Roman"/>
                <w:bCs/>
                <w:color w:val="auto"/>
                <w:sz w:val="21"/>
                <w:szCs w:val="21"/>
                <w:lang w:eastAsia="zh-CN"/>
              </w:rPr>
              <w:t>根据验收</w:t>
            </w:r>
            <w:r>
              <w:rPr>
                <w:rFonts w:hint="eastAsia" w:cs="Times New Roman"/>
                <w:bCs/>
                <w:color w:val="auto"/>
                <w:sz w:val="21"/>
                <w:szCs w:val="21"/>
                <w:lang w:eastAsia="zh-CN"/>
              </w:rPr>
              <w:t>废水排放量数据，企业生产负荷</w:t>
            </w:r>
            <w:r>
              <w:rPr>
                <w:rFonts w:hint="eastAsia" w:cs="Times New Roman"/>
                <w:bCs/>
                <w:color w:val="auto"/>
                <w:sz w:val="21"/>
                <w:szCs w:val="21"/>
                <w:lang w:val="en-US" w:eastAsia="zh-CN"/>
              </w:rPr>
              <w:t>95%，折算满负荷生产时，水量为145825</w:t>
            </w:r>
            <w:r>
              <w:rPr>
                <w:rFonts w:hint="default" w:ascii="Times New Roman" w:hAnsi="Times New Roman" w:eastAsia="宋体" w:cs="Times New Roman"/>
                <w:b w:val="0"/>
                <w:bCs w:val="0"/>
                <w:color w:val="auto"/>
                <w:sz w:val="21"/>
                <w:szCs w:val="21"/>
              </w:rPr>
              <w:t>t/a</w:t>
            </w:r>
            <w:r>
              <w:rPr>
                <w:rFonts w:hint="eastAsia" w:cs="Times New Roman"/>
                <w:b w:val="0"/>
                <w:bCs w:val="0"/>
                <w:color w:val="auto"/>
                <w:sz w:val="21"/>
                <w:szCs w:val="21"/>
                <w:lang w:eastAsia="zh-CN"/>
              </w:rPr>
              <w:t>；</w:t>
            </w:r>
            <w:r>
              <w:rPr>
                <w:rFonts w:hint="eastAsia" w:cs="Times New Roman"/>
                <w:b w:val="0"/>
                <w:bCs w:val="0"/>
                <w:color w:val="auto"/>
                <w:sz w:val="21"/>
                <w:szCs w:val="21"/>
                <w:lang w:val="en-US" w:eastAsia="zh-CN"/>
              </w:rPr>
              <w:t>实际污染物排放量根据2024年10月23日~24日，南京万全检测技术有限公司的检测报告核算，实际污水处理厂处理效率比环评预估效率高（详见表2-10），故实际排放量较低。</w:t>
            </w:r>
          </w:p>
          <w:p w14:paraId="596CC87F">
            <w:pPr>
              <w:widowControl/>
              <w:adjustRightInd w:val="0"/>
              <w:snapToGrid w:val="0"/>
              <w:spacing w:before="120" w:beforeLines="50" w:line="360" w:lineRule="auto"/>
              <w:ind w:firstLine="482" w:firstLineChars="20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5.现有项目存在的主要环境问题</w:t>
            </w:r>
            <w:r>
              <w:rPr>
                <w:rFonts w:hint="eastAsia" w:cs="Times New Roman"/>
                <w:b/>
                <w:bCs/>
                <w:color w:val="auto"/>
                <w:sz w:val="24"/>
                <w:lang w:eastAsia="zh-CN"/>
              </w:rPr>
              <w:t>以及</w:t>
            </w:r>
            <w:r>
              <w:rPr>
                <w:rFonts w:hint="eastAsia" w:ascii="Times New Roman" w:hAnsi="Times New Roman" w:eastAsia="宋体" w:cs="Times New Roman"/>
                <w:b/>
                <w:bCs/>
                <w:color w:val="auto"/>
                <w:sz w:val="24"/>
              </w:rPr>
              <w:t>“以新带老”措施</w:t>
            </w:r>
          </w:p>
          <w:p w14:paraId="254593E0">
            <w:pPr>
              <w:widowControl/>
              <w:adjustRightInd w:val="0"/>
              <w:snapToGrid w:val="0"/>
              <w:spacing w:line="360" w:lineRule="auto"/>
              <w:ind w:firstLine="480" w:firstLineChars="200"/>
              <w:rPr>
                <w:rFonts w:hint="eastAsia"/>
                <w:color w:val="auto"/>
                <w:sz w:val="24"/>
              </w:rPr>
            </w:pPr>
            <w:r>
              <w:rPr>
                <w:rFonts w:hint="default" w:ascii="Times New Roman" w:hAnsi="Times New Roman" w:eastAsia="宋体" w:cs="Times New Roman"/>
                <w:bCs/>
                <w:color w:val="auto"/>
                <w:sz w:val="24"/>
              </w:rPr>
              <w:t>经现场勘查，现有项目各环保措施均正常运行，各排污口、原料仓库均规范化设置及管理，同时，企业已按规范完善排污许可申报、执行报告及例行监测。</w:t>
            </w:r>
            <w:r>
              <w:rPr>
                <w:color w:val="auto"/>
                <w:sz w:val="24"/>
              </w:rPr>
              <w:t>本项目为</w:t>
            </w:r>
            <w:r>
              <w:rPr>
                <w:rFonts w:hint="eastAsia"/>
                <w:color w:val="auto"/>
                <w:sz w:val="24"/>
                <w:lang w:eastAsia="zh-CN"/>
              </w:rPr>
              <w:t>扩</w:t>
            </w:r>
            <w:r>
              <w:rPr>
                <w:color w:val="auto"/>
                <w:sz w:val="24"/>
              </w:rPr>
              <w:t>建项目，项目所在地现状为空地，无历史遗留问题。故不存在与本项目有关的原有污染情况及主要环境问题</w:t>
            </w:r>
            <w:r>
              <w:rPr>
                <w:rFonts w:hint="eastAsia"/>
                <w:color w:val="auto"/>
                <w:sz w:val="24"/>
              </w:rPr>
              <w:t>。</w:t>
            </w:r>
          </w:p>
          <w:p w14:paraId="1731082F">
            <w:pPr>
              <w:widowControl/>
              <w:adjustRightInd w:val="0"/>
              <w:snapToGrid w:val="0"/>
              <w:spacing w:line="360" w:lineRule="auto"/>
              <w:ind w:firstLine="480" w:firstLineChars="200"/>
              <w:rPr>
                <w:rFonts w:hint="eastAsia" w:cs="Times New Roman"/>
                <w:bCs/>
                <w:color w:val="auto"/>
                <w:sz w:val="24"/>
                <w:lang w:val="en-US" w:eastAsia="zh-CN"/>
              </w:rPr>
            </w:pPr>
            <w:r>
              <w:rPr>
                <w:rFonts w:hint="eastAsia" w:ascii="Times New Roman" w:hAnsi="Times New Roman" w:eastAsia="宋体" w:cs="Times New Roman"/>
                <w:bCs/>
                <w:color w:val="auto"/>
                <w:sz w:val="24"/>
                <w:lang w:val="en-US" w:eastAsia="zh-CN"/>
              </w:rPr>
              <w:t>根据现有项目，</w:t>
            </w:r>
            <w:r>
              <w:rPr>
                <w:rFonts w:hint="eastAsia" w:cs="Times New Roman"/>
                <w:bCs/>
                <w:color w:val="auto"/>
                <w:sz w:val="24"/>
                <w:lang w:val="en-US" w:eastAsia="zh-CN"/>
              </w:rPr>
              <w:t>企业对生产环境部分工艺进行改进，减少废水排放量。清洗环节原来是直接排放，现在改为过滤循环使用，水量减少原计划水量的约30%；杀菌冷却原来靠进自来水调节冷却水温度，现在改为冷水机对杀菌冷却水降温，这个环节减少约37.6%。根据对项目的回顾，现有项目生产废水419000t/a，按照企业减排措施，现有项目生产废水削减量约283249t/a。原综合废水为429074t/a，根据减排废水量，则以新带老后现有项目综合废水为145825t/a。</w:t>
            </w:r>
          </w:p>
          <w:p w14:paraId="77E7E74F">
            <w:pPr>
              <w:pStyle w:val="2"/>
              <w:rPr>
                <w:rFonts w:hint="default"/>
                <w:color w:val="auto"/>
                <w:lang w:val="en-US" w:eastAsia="zh-CN"/>
              </w:rPr>
            </w:pPr>
          </w:p>
          <w:p w14:paraId="06852477">
            <w:pPr>
              <w:widowControl/>
              <w:adjustRightInd w:val="0"/>
              <w:snapToGrid w:val="0"/>
              <w:spacing w:line="360" w:lineRule="auto"/>
              <w:rPr>
                <w:rFonts w:hint="default" w:cs="Times New Roman"/>
                <w:bCs/>
                <w:color w:val="auto"/>
                <w:sz w:val="24"/>
                <w:lang w:val="en-US" w:eastAsia="zh-CN"/>
              </w:rPr>
            </w:pPr>
          </w:p>
        </w:tc>
      </w:tr>
    </w:tbl>
    <w:p w14:paraId="4F9423BC">
      <w:pPr>
        <w:widowControl/>
        <w:jc w:val="center"/>
        <w:outlineLvl w:val="0"/>
        <w:rPr>
          <w:b/>
          <w:snapToGrid w:val="0"/>
          <w:color w:val="auto"/>
          <w:sz w:val="30"/>
          <w:szCs w:val="30"/>
        </w:rPr>
      </w:pPr>
      <w:r>
        <w:rPr>
          <w:snapToGrid w:val="0"/>
          <w:color w:val="auto"/>
          <w:sz w:val="36"/>
          <w:szCs w:val="36"/>
        </w:rPr>
        <w:br w:type="page"/>
      </w:r>
      <w:bookmarkStart w:id="14" w:name="_Toc22431"/>
      <w:r>
        <w:rPr>
          <w:rFonts w:hAnsi="宋体"/>
          <w:b/>
          <w:snapToGrid w:val="0"/>
          <w:color w:val="auto"/>
          <w:sz w:val="30"/>
          <w:szCs w:val="30"/>
        </w:rPr>
        <w:t>三、区域环境质量现状、环境保护目标及评价标准</w:t>
      </w:r>
      <w:bookmarkEnd w:id="14"/>
    </w:p>
    <w:tbl>
      <w:tblPr>
        <w:tblStyle w:val="3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8634"/>
      </w:tblGrid>
      <w:tr w14:paraId="518FD5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06" w:hRule="atLeast"/>
          <w:jc w:val="center"/>
        </w:trPr>
        <w:tc>
          <w:tcPr>
            <w:tcW w:w="234" w:type="pct"/>
            <w:vAlign w:val="center"/>
          </w:tcPr>
          <w:p w14:paraId="42476304">
            <w:pPr>
              <w:adjustRightInd w:val="0"/>
              <w:snapToGrid w:val="0"/>
              <w:jc w:val="center"/>
              <w:rPr>
                <w:b/>
                <w:bCs/>
                <w:color w:val="auto"/>
                <w:kern w:val="0"/>
                <w:szCs w:val="21"/>
              </w:rPr>
            </w:pPr>
            <w:r>
              <w:rPr>
                <w:rFonts w:hAnsi="宋体"/>
                <w:b/>
                <w:bCs/>
                <w:color w:val="auto"/>
                <w:kern w:val="0"/>
                <w:szCs w:val="21"/>
              </w:rPr>
              <w:t>区域</w:t>
            </w:r>
          </w:p>
          <w:p w14:paraId="274D6C4C">
            <w:pPr>
              <w:adjustRightInd w:val="0"/>
              <w:snapToGrid w:val="0"/>
              <w:jc w:val="center"/>
              <w:rPr>
                <w:b/>
                <w:bCs/>
                <w:color w:val="auto"/>
                <w:kern w:val="0"/>
                <w:szCs w:val="21"/>
              </w:rPr>
            </w:pPr>
            <w:r>
              <w:rPr>
                <w:rFonts w:hAnsi="宋体"/>
                <w:b/>
                <w:bCs/>
                <w:color w:val="auto"/>
                <w:kern w:val="0"/>
                <w:szCs w:val="21"/>
              </w:rPr>
              <w:t>环境</w:t>
            </w:r>
          </w:p>
          <w:p w14:paraId="4AD39692">
            <w:pPr>
              <w:adjustRightInd w:val="0"/>
              <w:snapToGrid w:val="0"/>
              <w:jc w:val="center"/>
              <w:rPr>
                <w:b/>
                <w:bCs/>
                <w:color w:val="auto"/>
                <w:kern w:val="0"/>
                <w:szCs w:val="21"/>
              </w:rPr>
            </w:pPr>
            <w:r>
              <w:rPr>
                <w:rFonts w:hAnsi="宋体"/>
                <w:b/>
                <w:bCs/>
                <w:color w:val="auto"/>
                <w:kern w:val="0"/>
                <w:szCs w:val="21"/>
              </w:rPr>
              <w:t>质量</w:t>
            </w:r>
          </w:p>
          <w:p w14:paraId="503CFCCB">
            <w:pPr>
              <w:adjustRightInd w:val="0"/>
              <w:snapToGrid w:val="0"/>
              <w:jc w:val="center"/>
              <w:rPr>
                <w:b/>
                <w:bCs/>
                <w:color w:val="auto"/>
                <w:kern w:val="0"/>
                <w:szCs w:val="21"/>
              </w:rPr>
            </w:pPr>
            <w:r>
              <w:rPr>
                <w:rFonts w:hAnsi="宋体"/>
                <w:b/>
                <w:bCs/>
                <w:color w:val="auto"/>
                <w:kern w:val="0"/>
                <w:szCs w:val="21"/>
              </w:rPr>
              <w:t>现状</w:t>
            </w:r>
          </w:p>
        </w:tc>
        <w:tc>
          <w:tcPr>
            <w:tcW w:w="4766" w:type="pct"/>
            <w:vAlign w:val="center"/>
          </w:tcPr>
          <w:p w14:paraId="1CCC83A9">
            <w:pPr>
              <w:widowControl/>
              <w:adjustRightInd w:val="0"/>
              <w:snapToGrid w:val="0"/>
              <w:spacing w:line="360" w:lineRule="auto"/>
              <w:ind w:firstLine="482" w:firstLineChars="200"/>
              <w:rPr>
                <w:b/>
                <w:color w:val="auto"/>
                <w:kern w:val="0"/>
                <w:sz w:val="24"/>
                <w:szCs w:val="20"/>
              </w:rPr>
            </w:pPr>
            <w:r>
              <w:rPr>
                <w:b/>
                <w:color w:val="auto"/>
                <w:kern w:val="0"/>
                <w:sz w:val="24"/>
                <w:szCs w:val="20"/>
              </w:rPr>
              <w:t>1.</w:t>
            </w:r>
            <w:r>
              <w:rPr>
                <w:rFonts w:hAnsi="宋体"/>
                <w:b/>
                <w:color w:val="auto"/>
                <w:kern w:val="0"/>
                <w:sz w:val="24"/>
                <w:szCs w:val="20"/>
              </w:rPr>
              <w:t>大气环境质量</w:t>
            </w:r>
            <w:r>
              <w:rPr>
                <w:rFonts w:hAnsi="宋体"/>
                <w:b/>
                <w:color w:val="auto"/>
                <w:kern w:val="0"/>
                <w:sz w:val="24"/>
                <w:szCs w:val="28"/>
              </w:rPr>
              <w:t>现状</w:t>
            </w:r>
          </w:p>
          <w:p w14:paraId="3E178852">
            <w:pPr>
              <w:adjustRightInd w:val="0"/>
              <w:snapToGrid w:val="0"/>
              <w:spacing w:line="360" w:lineRule="auto"/>
              <w:ind w:firstLine="480" w:firstLineChars="200"/>
              <w:rPr>
                <w:color w:val="auto"/>
                <w:sz w:val="24"/>
              </w:rPr>
            </w:pPr>
            <w:r>
              <w:rPr>
                <w:rFonts w:hAnsi="宋体"/>
                <w:color w:val="auto"/>
                <w:sz w:val="24"/>
              </w:rPr>
              <w:t>（</w:t>
            </w:r>
            <w:r>
              <w:rPr>
                <w:color w:val="auto"/>
                <w:sz w:val="24"/>
              </w:rPr>
              <w:t>1</w:t>
            </w:r>
            <w:r>
              <w:rPr>
                <w:rFonts w:hAnsi="宋体"/>
                <w:color w:val="auto"/>
                <w:sz w:val="24"/>
              </w:rPr>
              <w:t>）项目所在区域达标判断</w:t>
            </w:r>
          </w:p>
          <w:p w14:paraId="0E0F1B6C">
            <w:pPr>
              <w:adjustRightInd w:val="0"/>
              <w:snapToGrid w:val="0"/>
              <w:spacing w:line="360" w:lineRule="auto"/>
              <w:ind w:firstLine="480" w:firstLineChars="200"/>
              <w:rPr>
                <w:rFonts w:hint="default" w:ascii="Times New Roman" w:hAnsi="宋体" w:eastAsia="宋体" w:cs="Times New Roman"/>
                <w:bCs/>
                <w:color w:val="auto"/>
                <w:sz w:val="24"/>
              </w:rPr>
            </w:pPr>
            <w:r>
              <w:rPr>
                <w:rFonts w:hint="default" w:ascii="Times New Roman" w:hAnsi="Times New Roman" w:eastAsia="宋体" w:cs="Times New Roman"/>
                <w:color w:val="auto"/>
                <w:kern w:val="0"/>
                <w:sz w:val="24"/>
              </w:rPr>
              <w:t>根据淮安市生态环境局202</w:t>
            </w:r>
            <w:r>
              <w:rPr>
                <w:rFonts w:hint="eastAsia" w:ascii="Times New Roman" w:hAnsi="Times New Roman" w:eastAsia="宋体" w:cs="Times New Roman"/>
                <w:color w:val="auto"/>
                <w:kern w:val="0"/>
                <w:sz w:val="24"/>
                <w:lang w:val="en-US" w:eastAsia="zh-CN"/>
              </w:rPr>
              <w:t>5</w:t>
            </w:r>
            <w:r>
              <w:rPr>
                <w:rFonts w:hint="default" w:ascii="Times New Roman" w:hAnsi="Times New Roman" w:eastAsia="宋体" w:cs="Times New Roman"/>
                <w:color w:val="auto"/>
                <w:kern w:val="0"/>
                <w:sz w:val="24"/>
              </w:rPr>
              <w:t>年6月5日发布的《202</w:t>
            </w:r>
            <w:r>
              <w:rPr>
                <w:rFonts w:hint="eastAsia" w:ascii="Times New Roman" w:hAnsi="Times New Roman" w:eastAsia="宋体" w:cs="Times New Roman"/>
                <w:color w:val="auto"/>
                <w:kern w:val="0"/>
                <w:sz w:val="24"/>
                <w:lang w:val="en-US" w:eastAsia="zh-CN"/>
              </w:rPr>
              <w:t>4</w:t>
            </w:r>
            <w:r>
              <w:rPr>
                <w:rFonts w:hint="default" w:ascii="Times New Roman" w:hAnsi="Times New Roman" w:eastAsia="宋体" w:cs="Times New Roman"/>
                <w:color w:val="auto"/>
                <w:kern w:val="0"/>
                <w:sz w:val="24"/>
              </w:rPr>
              <w:t>年淮安市生态环境状况公报》，202</w:t>
            </w:r>
            <w:r>
              <w:rPr>
                <w:rFonts w:hint="eastAsia" w:ascii="Times New Roman" w:hAnsi="Times New Roman" w:eastAsia="宋体" w:cs="Times New Roman"/>
                <w:color w:val="auto"/>
                <w:kern w:val="0"/>
                <w:sz w:val="24"/>
                <w:lang w:val="en-US" w:eastAsia="zh-CN"/>
              </w:rPr>
              <w:t>4</w:t>
            </w:r>
            <w:r>
              <w:rPr>
                <w:rFonts w:hint="default" w:ascii="Times New Roman" w:hAnsi="Times New Roman" w:eastAsia="宋体" w:cs="Times New Roman"/>
                <w:color w:val="auto"/>
                <w:kern w:val="0"/>
                <w:sz w:val="24"/>
              </w:rPr>
              <w:t>年，全市细颗粒物（PM</w:t>
            </w:r>
            <w:r>
              <w:rPr>
                <w:rFonts w:hint="default" w:ascii="Times New Roman" w:hAnsi="Times New Roman" w:eastAsia="宋体" w:cs="Times New Roman"/>
                <w:color w:val="auto"/>
                <w:kern w:val="0"/>
                <w:sz w:val="24"/>
                <w:vertAlign w:val="subscript"/>
                <w:lang w:val="en-US" w:eastAsia="zh-CN"/>
              </w:rPr>
              <w:t>2.</w:t>
            </w:r>
            <w:r>
              <w:rPr>
                <w:rFonts w:hint="default" w:ascii="Times New Roman" w:hAnsi="Times New Roman" w:eastAsia="宋体" w:cs="Times New Roman"/>
                <w:color w:val="auto"/>
                <w:kern w:val="0"/>
                <w:sz w:val="24"/>
                <w:vertAlign w:val="subscript"/>
              </w:rPr>
              <w:t>5</w:t>
            </w:r>
            <w:r>
              <w:rPr>
                <w:rFonts w:hint="default" w:ascii="Times New Roman" w:hAnsi="Times New Roman" w:eastAsia="宋体" w:cs="Times New Roman"/>
                <w:color w:val="auto"/>
                <w:kern w:val="0"/>
                <w:sz w:val="24"/>
              </w:rPr>
              <w:t>）、可吸入颗粒物（PM</w:t>
            </w:r>
            <w:r>
              <w:rPr>
                <w:rFonts w:hint="default" w:ascii="Times New Roman" w:hAnsi="Times New Roman" w:eastAsia="宋体" w:cs="Times New Roman"/>
                <w:color w:val="auto"/>
                <w:kern w:val="0"/>
                <w:sz w:val="24"/>
                <w:vertAlign w:val="subscript"/>
              </w:rPr>
              <w:t>10</w:t>
            </w:r>
            <w:r>
              <w:rPr>
                <w:rFonts w:hint="default" w:ascii="Times New Roman" w:hAnsi="Times New Roman" w:eastAsia="宋体" w:cs="Times New Roman"/>
                <w:color w:val="auto"/>
                <w:kern w:val="0"/>
                <w:sz w:val="24"/>
              </w:rPr>
              <w:t>）、二氧化硫（SO</w:t>
            </w:r>
            <w:r>
              <w:rPr>
                <w:rFonts w:hint="default" w:ascii="Times New Roman" w:hAnsi="Times New Roman" w:eastAsia="宋体" w:cs="Times New Roman"/>
                <w:color w:val="auto"/>
                <w:kern w:val="0"/>
                <w:sz w:val="24"/>
                <w:vertAlign w:val="subscript"/>
              </w:rPr>
              <w:t>2</w:t>
            </w:r>
            <w:r>
              <w:rPr>
                <w:rFonts w:hint="default" w:ascii="Times New Roman" w:hAnsi="Times New Roman" w:eastAsia="宋体" w:cs="Times New Roman"/>
                <w:color w:val="auto"/>
                <w:kern w:val="0"/>
                <w:sz w:val="24"/>
              </w:rPr>
              <w:t>）、二氧化氮（NO</w:t>
            </w:r>
            <w:r>
              <w:rPr>
                <w:rFonts w:hint="default" w:ascii="Times New Roman" w:hAnsi="Times New Roman" w:eastAsia="宋体" w:cs="Times New Roman"/>
                <w:color w:val="auto"/>
                <w:kern w:val="0"/>
                <w:sz w:val="24"/>
                <w:vertAlign w:val="subscript"/>
              </w:rPr>
              <w:t>2</w:t>
            </w:r>
            <w:r>
              <w:rPr>
                <w:rFonts w:hint="default" w:ascii="Times New Roman" w:hAnsi="Times New Roman" w:eastAsia="宋体" w:cs="Times New Roman"/>
                <w:color w:val="auto"/>
                <w:kern w:val="0"/>
                <w:sz w:val="24"/>
              </w:rPr>
              <w:t>）、一氧化碳（CO）和臭氧（O</w:t>
            </w:r>
            <w:r>
              <w:rPr>
                <w:rFonts w:hint="default" w:ascii="Times New Roman" w:hAnsi="Times New Roman" w:eastAsia="宋体" w:cs="Times New Roman"/>
                <w:color w:val="auto"/>
                <w:kern w:val="0"/>
                <w:sz w:val="24"/>
                <w:vertAlign w:val="subscript"/>
              </w:rPr>
              <w:t>3</w:t>
            </w:r>
            <w:r>
              <w:rPr>
                <w:rFonts w:hint="default" w:ascii="Times New Roman" w:hAnsi="Times New Roman" w:eastAsia="宋体" w:cs="Times New Roman"/>
                <w:color w:val="auto"/>
                <w:kern w:val="0"/>
                <w:sz w:val="24"/>
              </w:rPr>
              <w:t>）浓度年均浓度分别为3</w:t>
            </w:r>
            <w:r>
              <w:rPr>
                <w:rFonts w:hint="eastAsia" w:ascii="Times New Roman" w:hAnsi="Times New Roman" w:eastAsia="宋体" w:cs="Times New Roman"/>
                <w:color w:val="auto"/>
                <w:kern w:val="0"/>
                <w:sz w:val="24"/>
                <w:lang w:val="en-US" w:eastAsia="zh-CN"/>
              </w:rPr>
              <w:t>7</w:t>
            </w:r>
            <w:r>
              <w:rPr>
                <w:rFonts w:hint="default" w:ascii="Times New Roman" w:hAnsi="Times New Roman" w:eastAsia="宋体" w:cs="Times New Roman"/>
                <w:color w:val="auto"/>
                <w:kern w:val="0"/>
                <w:sz w:val="24"/>
              </w:rPr>
              <w:t>微克/立方米、5</w:t>
            </w:r>
            <w:r>
              <w:rPr>
                <w:rFonts w:hint="eastAsia" w:ascii="Times New Roman" w:hAnsi="Times New Roman" w:eastAsia="宋体" w:cs="Times New Roman"/>
                <w:color w:val="auto"/>
                <w:kern w:val="0"/>
                <w:sz w:val="24"/>
                <w:lang w:val="en-US" w:eastAsia="zh-CN"/>
              </w:rPr>
              <w:t>4</w:t>
            </w:r>
            <w:r>
              <w:rPr>
                <w:rFonts w:hint="default" w:ascii="Times New Roman" w:hAnsi="Times New Roman" w:eastAsia="宋体" w:cs="Times New Roman"/>
                <w:color w:val="auto"/>
                <w:kern w:val="0"/>
                <w:sz w:val="24"/>
              </w:rPr>
              <w:t>微克/立方米、</w:t>
            </w:r>
            <w:r>
              <w:rPr>
                <w:rFonts w:hint="eastAsia" w:ascii="Times New Roman" w:hAnsi="Times New Roman" w:eastAsia="宋体" w:cs="Times New Roman"/>
                <w:color w:val="auto"/>
                <w:kern w:val="0"/>
                <w:sz w:val="24"/>
                <w:lang w:val="en-US" w:eastAsia="zh-CN"/>
              </w:rPr>
              <w:t>7</w:t>
            </w:r>
            <w:r>
              <w:rPr>
                <w:rFonts w:hint="default" w:ascii="Times New Roman" w:hAnsi="Times New Roman" w:eastAsia="宋体" w:cs="Times New Roman"/>
                <w:color w:val="auto"/>
                <w:kern w:val="0"/>
                <w:sz w:val="24"/>
              </w:rPr>
              <w:t>微克/立方米、25微克/立方米、</w:t>
            </w:r>
            <w:r>
              <w:rPr>
                <w:rFonts w:hint="eastAsia" w:ascii="Times New Roman" w:hAnsi="Times New Roman" w:eastAsia="宋体" w:cs="Times New Roman"/>
                <w:color w:val="auto"/>
                <w:kern w:val="0"/>
                <w:sz w:val="24"/>
                <w:lang w:val="en-US" w:eastAsia="zh-CN"/>
              </w:rPr>
              <w:t>0.9</w:t>
            </w:r>
            <w:r>
              <w:rPr>
                <w:rFonts w:hint="default" w:ascii="Times New Roman" w:hAnsi="Times New Roman" w:eastAsia="宋体" w:cs="Times New Roman"/>
                <w:color w:val="auto"/>
                <w:kern w:val="0"/>
                <w:sz w:val="24"/>
              </w:rPr>
              <w:t>毫克立方米、15</w:t>
            </w:r>
            <w:r>
              <w:rPr>
                <w:rFonts w:hint="eastAsia" w:ascii="Times New Roman" w:hAnsi="Times New Roman" w:eastAsia="宋体" w:cs="Times New Roman"/>
                <w:color w:val="auto"/>
                <w:kern w:val="0"/>
                <w:sz w:val="24"/>
                <w:lang w:val="en-US" w:eastAsia="zh-CN"/>
              </w:rPr>
              <w:t>2</w:t>
            </w:r>
            <w:r>
              <w:rPr>
                <w:rFonts w:hint="default" w:ascii="Times New Roman" w:hAnsi="Times New Roman" w:eastAsia="宋体" w:cs="Times New Roman"/>
                <w:color w:val="auto"/>
                <w:kern w:val="0"/>
                <w:sz w:val="24"/>
              </w:rPr>
              <w:t>微克/立方米。与202</w:t>
            </w:r>
            <w:r>
              <w:rPr>
                <w:rFonts w:hint="eastAsia" w:ascii="Times New Roman" w:hAnsi="Times New Roman" w:eastAsia="宋体" w:cs="Times New Roman"/>
                <w:color w:val="auto"/>
                <w:kern w:val="0"/>
                <w:sz w:val="24"/>
                <w:lang w:val="en-US" w:eastAsia="zh-CN"/>
              </w:rPr>
              <w:t>3</w:t>
            </w:r>
            <w:r>
              <w:rPr>
                <w:rFonts w:hint="default" w:ascii="Times New Roman" w:hAnsi="Times New Roman" w:eastAsia="宋体" w:cs="Times New Roman"/>
                <w:color w:val="auto"/>
                <w:kern w:val="0"/>
                <w:sz w:val="24"/>
              </w:rPr>
              <w:t>年相比，PM</w:t>
            </w:r>
            <w:r>
              <w:rPr>
                <w:rFonts w:hint="default" w:ascii="Times New Roman" w:hAnsi="Times New Roman" w:eastAsia="宋体" w:cs="Times New Roman"/>
                <w:color w:val="auto"/>
                <w:kern w:val="0"/>
                <w:sz w:val="24"/>
                <w:vertAlign w:val="subscript"/>
              </w:rPr>
              <w:t>10</w:t>
            </w:r>
            <w:r>
              <w:rPr>
                <w:rFonts w:hint="eastAsia"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SO</w:t>
            </w:r>
            <w:r>
              <w:rPr>
                <w:rFonts w:hint="default" w:ascii="Times New Roman" w:hAnsi="Times New Roman" w:eastAsia="宋体" w:cs="Times New Roman"/>
                <w:color w:val="auto"/>
                <w:kern w:val="0"/>
                <w:sz w:val="24"/>
                <w:vertAlign w:val="subscript"/>
              </w:rPr>
              <w:t>2</w:t>
            </w:r>
            <w:r>
              <w:rPr>
                <w:rFonts w:hint="eastAsia"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CO</w:t>
            </w:r>
            <w:r>
              <w:rPr>
                <w:rFonts w:hint="eastAsia"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O</w:t>
            </w:r>
            <w:r>
              <w:rPr>
                <w:rFonts w:hint="default" w:ascii="Times New Roman" w:hAnsi="Times New Roman" w:eastAsia="宋体" w:cs="Times New Roman"/>
                <w:color w:val="auto"/>
                <w:kern w:val="0"/>
                <w:sz w:val="24"/>
                <w:vertAlign w:val="subscript"/>
              </w:rPr>
              <w:t>3</w:t>
            </w:r>
            <w:r>
              <w:rPr>
                <w:rFonts w:hint="default" w:ascii="Times New Roman" w:hAnsi="Times New Roman" w:eastAsia="宋体" w:cs="Times New Roman"/>
                <w:color w:val="auto"/>
                <w:kern w:val="0"/>
                <w:sz w:val="24"/>
              </w:rPr>
              <w:t>污染</w:t>
            </w:r>
            <w:r>
              <w:rPr>
                <w:rFonts w:hint="eastAsia" w:ascii="Times New Roman" w:hAnsi="Times New Roman" w:eastAsia="宋体" w:cs="Times New Roman"/>
                <w:color w:val="auto"/>
                <w:kern w:val="0"/>
                <w:sz w:val="24"/>
                <w:lang w:val="en-US" w:eastAsia="zh-CN"/>
              </w:rPr>
              <w:t>均</w:t>
            </w:r>
            <w:r>
              <w:rPr>
                <w:rFonts w:hint="default" w:ascii="Times New Roman" w:hAnsi="Times New Roman" w:eastAsia="宋体" w:cs="Times New Roman"/>
                <w:color w:val="auto"/>
                <w:kern w:val="0"/>
                <w:sz w:val="24"/>
              </w:rPr>
              <w:t>有所改善，</w:t>
            </w:r>
            <w:r>
              <w:rPr>
                <w:rFonts w:hint="eastAsia" w:ascii="Times New Roman" w:hAnsi="Times New Roman" w:eastAsia="宋体" w:cs="Times New Roman"/>
                <w:color w:val="auto"/>
                <w:kern w:val="0"/>
                <w:sz w:val="24"/>
                <w:lang w:val="en-US" w:eastAsia="zh-CN"/>
              </w:rPr>
              <w:t>降幅分别为6.9%、12.5%、10%、3.8%</w:t>
            </w:r>
            <w:r>
              <w:rPr>
                <w:rFonts w:hint="eastAsia"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PM</w:t>
            </w:r>
            <w:r>
              <w:rPr>
                <w:rFonts w:hint="default" w:ascii="Times New Roman" w:hAnsi="Times New Roman" w:eastAsia="宋体" w:cs="Times New Roman"/>
                <w:color w:val="auto"/>
                <w:kern w:val="0"/>
                <w:sz w:val="24"/>
                <w:vertAlign w:val="subscript"/>
                <w:lang w:val="en-US" w:eastAsia="zh-CN"/>
              </w:rPr>
              <w:t>2.</w:t>
            </w:r>
            <w:r>
              <w:rPr>
                <w:rFonts w:hint="default" w:ascii="Times New Roman" w:hAnsi="Times New Roman" w:eastAsia="宋体" w:cs="Times New Roman"/>
                <w:color w:val="auto"/>
                <w:kern w:val="0"/>
                <w:sz w:val="24"/>
                <w:vertAlign w:val="subscript"/>
              </w:rPr>
              <w:t>5</w:t>
            </w:r>
            <w:r>
              <w:rPr>
                <w:rFonts w:hint="eastAsia" w:ascii="Times New Roman" w:hAnsi="Times New Roman" w:eastAsia="宋体" w:cs="Times New Roman"/>
                <w:color w:val="auto"/>
                <w:kern w:val="0"/>
                <w:sz w:val="24"/>
                <w:lang w:val="en-US" w:eastAsia="zh-CN"/>
              </w:rPr>
              <w:t>、</w:t>
            </w:r>
            <w:r>
              <w:rPr>
                <w:rFonts w:hint="default" w:ascii="Times New Roman" w:hAnsi="Times New Roman" w:eastAsia="宋体" w:cs="Times New Roman"/>
                <w:color w:val="auto"/>
                <w:kern w:val="0"/>
                <w:sz w:val="24"/>
              </w:rPr>
              <w:t>O</w:t>
            </w:r>
            <w:r>
              <w:rPr>
                <w:rFonts w:hint="default" w:ascii="Times New Roman" w:hAnsi="Times New Roman" w:eastAsia="宋体" w:cs="Times New Roman"/>
                <w:color w:val="auto"/>
                <w:kern w:val="0"/>
                <w:sz w:val="24"/>
                <w:vertAlign w:val="subscript"/>
              </w:rPr>
              <w:t>3</w:t>
            </w:r>
            <w:r>
              <w:rPr>
                <w:rFonts w:hint="eastAsia" w:ascii="Times New Roman" w:hAnsi="Times New Roman" w:eastAsia="宋体" w:cs="Times New Roman"/>
                <w:color w:val="auto"/>
                <w:kern w:val="0"/>
                <w:sz w:val="24"/>
                <w:lang w:val="en-US" w:eastAsia="zh-CN"/>
              </w:rPr>
              <w:t>、</w:t>
            </w:r>
            <w:r>
              <w:rPr>
                <w:rFonts w:hint="default" w:ascii="Times New Roman" w:hAnsi="Times New Roman" w:eastAsia="宋体" w:cs="Times New Roman"/>
                <w:color w:val="auto"/>
                <w:kern w:val="0"/>
                <w:sz w:val="24"/>
              </w:rPr>
              <w:t>PM</w:t>
            </w:r>
            <w:r>
              <w:rPr>
                <w:rFonts w:hint="default" w:ascii="Times New Roman" w:hAnsi="Times New Roman" w:eastAsia="宋体" w:cs="Times New Roman"/>
                <w:color w:val="auto"/>
                <w:kern w:val="0"/>
                <w:sz w:val="24"/>
                <w:vertAlign w:val="subscript"/>
              </w:rPr>
              <w:t>10</w:t>
            </w:r>
            <w:r>
              <w:rPr>
                <w:rFonts w:hint="default" w:ascii="Times New Roman" w:hAnsi="Times New Roman" w:eastAsia="宋体" w:cs="Times New Roman"/>
                <w:color w:val="auto"/>
                <w:kern w:val="0"/>
                <w:sz w:val="24"/>
              </w:rPr>
              <w:t>为首要污染物的超标天</w:t>
            </w:r>
            <w:r>
              <w:rPr>
                <w:rFonts w:hint="eastAsia" w:ascii="Times New Roman" w:hAnsi="Times New Roman" w:eastAsia="宋体" w:cs="Times New Roman"/>
                <w:color w:val="auto"/>
                <w:kern w:val="0"/>
                <w:sz w:val="24"/>
                <w:lang w:val="en-US" w:eastAsia="zh-CN"/>
              </w:rPr>
              <w:t>分别</w:t>
            </w:r>
            <w:r>
              <w:rPr>
                <w:rFonts w:hint="default" w:ascii="Times New Roman" w:hAnsi="Times New Roman" w:eastAsia="宋体" w:cs="Times New Roman"/>
                <w:color w:val="auto"/>
                <w:kern w:val="0"/>
                <w:sz w:val="24"/>
              </w:rPr>
              <w:t>减少3天</w:t>
            </w:r>
            <w:r>
              <w:rPr>
                <w:rFonts w:hint="eastAsia" w:ascii="Times New Roman" w:hAnsi="Times New Roman" w:eastAsia="宋体" w:cs="Times New Roman"/>
                <w:color w:val="auto"/>
                <w:kern w:val="0"/>
                <w:sz w:val="24"/>
                <w:lang w:eastAsia="zh-CN"/>
              </w:rPr>
              <w:t>、</w:t>
            </w:r>
            <w:r>
              <w:rPr>
                <w:rFonts w:hint="eastAsia" w:ascii="Times New Roman" w:hAnsi="Times New Roman" w:eastAsia="宋体" w:cs="Times New Roman"/>
                <w:color w:val="auto"/>
                <w:kern w:val="0"/>
                <w:sz w:val="24"/>
                <w:lang w:val="en-US" w:eastAsia="zh-CN"/>
              </w:rPr>
              <w:t>7天、7天，</w:t>
            </w:r>
            <w:r>
              <w:rPr>
                <w:rFonts w:hint="default" w:ascii="Times New Roman" w:hAnsi="Times New Roman" w:eastAsia="宋体" w:cs="Times New Roman"/>
                <w:color w:val="auto"/>
                <w:kern w:val="0"/>
                <w:sz w:val="24"/>
              </w:rPr>
              <w:t>PM</w:t>
            </w:r>
            <w:r>
              <w:rPr>
                <w:rFonts w:hint="default" w:ascii="Times New Roman" w:hAnsi="Times New Roman" w:eastAsia="宋体" w:cs="Times New Roman"/>
                <w:color w:val="auto"/>
                <w:kern w:val="0"/>
                <w:sz w:val="24"/>
                <w:vertAlign w:val="subscript"/>
              </w:rPr>
              <w:t>10</w:t>
            </w:r>
            <w:r>
              <w:rPr>
                <w:rFonts w:hint="default" w:ascii="Times New Roman" w:hAnsi="Times New Roman" w:eastAsia="宋体" w:cs="Times New Roman"/>
                <w:color w:val="auto"/>
                <w:kern w:val="0"/>
                <w:sz w:val="24"/>
              </w:rPr>
              <w:t>作为首要污染物的超标天数及占比明显减少</w:t>
            </w:r>
            <w:r>
              <w:rPr>
                <w:rFonts w:hint="default" w:ascii="Times New Roman" w:hAnsi="Times New Roman" w:eastAsia="宋体" w:cs="Times New Roman"/>
                <w:color w:val="auto"/>
                <w:kern w:val="0"/>
                <w:sz w:val="24"/>
                <w:highlight w:val="none"/>
              </w:rPr>
              <w:t>。可吸入颗粒物（PM</w:t>
            </w:r>
            <w:r>
              <w:rPr>
                <w:rFonts w:hint="default" w:ascii="Times New Roman" w:hAnsi="Times New Roman" w:eastAsia="宋体" w:cs="Times New Roman"/>
                <w:color w:val="auto"/>
                <w:kern w:val="0"/>
                <w:sz w:val="24"/>
                <w:highlight w:val="none"/>
                <w:vertAlign w:val="subscript"/>
              </w:rPr>
              <w:t>10</w:t>
            </w:r>
            <w:r>
              <w:rPr>
                <w:rFonts w:hint="default" w:ascii="Times New Roman" w:hAnsi="Times New Roman" w:eastAsia="宋体" w:cs="Times New Roman"/>
                <w:color w:val="auto"/>
                <w:kern w:val="0"/>
                <w:sz w:val="24"/>
                <w:highlight w:val="none"/>
              </w:rPr>
              <w:t>）、二氧化硫（SO</w:t>
            </w:r>
            <w:r>
              <w:rPr>
                <w:rFonts w:hint="default" w:ascii="Times New Roman" w:hAnsi="Times New Roman" w:eastAsia="宋体" w:cs="Times New Roman"/>
                <w:color w:val="auto"/>
                <w:kern w:val="0"/>
                <w:sz w:val="24"/>
                <w:highlight w:val="none"/>
                <w:vertAlign w:val="subscript"/>
              </w:rPr>
              <w:t>2</w:t>
            </w:r>
            <w:r>
              <w:rPr>
                <w:rFonts w:hint="default" w:ascii="Times New Roman" w:hAnsi="Times New Roman" w:eastAsia="宋体" w:cs="Times New Roman"/>
                <w:color w:val="auto"/>
                <w:kern w:val="0"/>
                <w:sz w:val="24"/>
                <w:highlight w:val="none"/>
              </w:rPr>
              <w:t>）、二氧化氮（NO</w:t>
            </w:r>
            <w:r>
              <w:rPr>
                <w:rFonts w:hint="default" w:ascii="Times New Roman" w:hAnsi="Times New Roman" w:eastAsia="宋体" w:cs="Times New Roman"/>
                <w:color w:val="auto"/>
                <w:kern w:val="0"/>
                <w:sz w:val="24"/>
                <w:highlight w:val="none"/>
                <w:vertAlign w:val="subscript"/>
              </w:rPr>
              <w:t>2</w:t>
            </w:r>
            <w:r>
              <w:rPr>
                <w:rFonts w:hint="default" w:ascii="Times New Roman" w:hAnsi="Times New Roman" w:eastAsia="宋体" w:cs="Times New Roman"/>
                <w:color w:val="auto"/>
                <w:kern w:val="0"/>
                <w:sz w:val="24"/>
                <w:highlight w:val="none"/>
              </w:rPr>
              <w:t>）、一氧化碳（CO）和臭氧（O</w:t>
            </w:r>
            <w:r>
              <w:rPr>
                <w:rFonts w:hint="default" w:ascii="Times New Roman" w:hAnsi="Times New Roman" w:eastAsia="宋体" w:cs="Times New Roman"/>
                <w:color w:val="auto"/>
                <w:kern w:val="0"/>
                <w:sz w:val="24"/>
                <w:highlight w:val="none"/>
                <w:vertAlign w:val="subscript"/>
              </w:rPr>
              <w:t>3</w:t>
            </w:r>
            <w:r>
              <w:rPr>
                <w:rFonts w:hint="default" w:ascii="Times New Roman" w:hAnsi="Times New Roman" w:eastAsia="宋体" w:cs="Times New Roman"/>
                <w:color w:val="auto"/>
                <w:kern w:val="0"/>
                <w:sz w:val="24"/>
                <w:highlight w:val="none"/>
              </w:rPr>
              <w:t>）污染物浓度达到国家二级标准</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PM</w:t>
            </w:r>
            <w:r>
              <w:rPr>
                <w:rFonts w:hint="default" w:ascii="Times New Roman" w:hAnsi="Times New Roman" w:eastAsia="宋体" w:cs="Times New Roman"/>
                <w:color w:val="auto"/>
                <w:kern w:val="0"/>
                <w:sz w:val="24"/>
                <w:highlight w:val="none"/>
                <w:vertAlign w:val="subscript"/>
              </w:rPr>
              <w:t>2.5</w:t>
            </w:r>
            <w:r>
              <w:rPr>
                <w:rFonts w:hint="default" w:ascii="Times New Roman" w:hAnsi="Times New Roman" w:eastAsia="宋体" w:cs="Times New Roman"/>
                <w:color w:val="auto"/>
                <w:kern w:val="0"/>
                <w:sz w:val="24"/>
                <w:highlight w:val="none"/>
              </w:rPr>
              <w:t>浓度</w:t>
            </w:r>
            <w:r>
              <w:rPr>
                <w:rFonts w:hint="default" w:ascii="Times New Roman" w:hAnsi="Times New Roman" w:eastAsia="宋体" w:cs="Times New Roman"/>
                <w:color w:val="auto"/>
                <w:kern w:val="0"/>
                <w:sz w:val="24"/>
                <w:highlight w:val="none"/>
                <w:lang w:val="en-US" w:eastAsia="zh-CN"/>
              </w:rPr>
              <w:t>为</w:t>
            </w:r>
            <w:r>
              <w:rPr>
                <w:rFonts w:hint="default" w:ascii="Times New Roman" w:hAnsi="Times New Roman" w:eastAsia="宋体" w:cs="Times New Roman"/>
                <w:color w:val="auto"/>
                <w:kern w:val="0"/>
                <w:sz w:val="24"/>
                <w:highlight w:val="none"/>
              </w:rPr>
              <w:t>3</w:t>
            </w:r>
            <w:r>
              <w:rPr>
                <w:rFonts w:hint="eastAsia" w:ascii="Times New Roman" w:hAnsi="Times New Roman" w:eastAsia="宋体" w:cs="Times New Roman"/>
                <w:color w:val="auto"/>
                <w:kern w:val="0"/>
                <w:sz w:val="24"/>
                <w:highlight w:val="none"/>
                <w:lang w:val="en-US" w:eastAsia="zh-CN"/>
              </w:rPr>
              <w:t>7</w:t>
            </w:r>
            <w:r>
              <w:rPr>
                <w:rFonts w:hint="default" w:ascii="Times New Roman" w:hAnsi="Times New Roman" w:eastAsia="宋体" w:cs="Times New Roman"/>
                <w:color w:val="auto"/>
                <w:kern w:val="0"/>
                <w:sz w:val="24"/>
                <w:highlight w:val="none"/>
              </w:rPr>
              <w:t>微克/立方米，未达到</w:t>
            </w:r>
            <w:r>
              <w:rPr>
                <w:rFonts w:hint="default" w:ascii="Times New Roman" w:hAnsi="宋体" w:eastAsia="宋体" w:cs="Times New Roman"/>
                <w:bCs/>
                <w:color w:val="auto"/>
                <w:sz w:val="24"/>
              </w:rPr>
              <w:t>国家二级标准，</w:t>
            </w:r>
            <w:r>
              <w:rPr>
                <w:rFonts w:hint="default" w:ascii="Times New Roman" w:hAnsi="宋体" w:eastAsia="宋体" w:cs="Times New Roman"/>
                <w:bCs/>
                <w:color w:val="auto"/>
                <w:sz w:val="24"/>
                <w:lang w:val="en-US" w:eastAsia="zh-CN"/>
              </w:rPr>
              <w:t>不达标因子为</w:t>
            </w:r>
            <w:r>
              <w:rPr>
                <w:rFonts w:hint="default" w:ascii="Times New Roman" w:hAnsi="宋体" w:eastAsia="宋体" w:cs="Times New Roman"/>
                <w:bCs/>
                <w:color w:val="auto"/>
                <w:sz w:val="24"/>
              </w:rPr>
              <w:t>PM2.5</w:t>
            </w:r>
            <w:r>
              <w:rPr>
                <w:rFonts w:hint="default" w:ascii="Times New Roman" w:hAnsi="宋体" w:eastAsia="宋体" w:cs="Times New Roman"/>
                <w:bCs/>
                <w:color w:val="auto"/>
                <w:sz w:val="24"/>
                <w:lang w:val="en-US" w:eastAsia="zh-CN"/>
              </w:rPr>
              <w:t>，</w:t>
            </w:r>
            <w:r>
              <w:rPr>
                <w:rFonts w:hint="default" w:ascii="Times New Roman" w:hAnsi="宋体" w:eastAsia="宋体" w:cs="Times New Roman"/>
                <w:bCs/>
                <w:color w:val="auto"/>
                <w:sz w:val="24"/>
              </w:rPr>
              <w:t>故建设项目所在地为不达标区</w:t>
            </w:r>
            <w:r>
              <w:rPr>
                <w:rFonts w:hint="default" w:ascii="Times New Roman" w:hAnsi="宋体" w:eastAsia="宋体" w:cs="Times New Roman"/>
                <w:bCs/>
                <w:color w:val="auto"/>
                <w:sz w:val="24"/>
                <w:lang w:eastAsia="zh-CN"/>
              </w:rPr>
              <w:t>。</w:t>
            </w:r>
          </w:p>
          <w:p w14:paraId="4C84D2F1">
            <w:pPr>
              <w:adjustRightInd w:val="0"/>
              <w:snapToGrid w:val="0"/>
              <w:spacing w:line="360" w:lineRule="auto"/>
              <w:ind w:firstLine="480" w:firstLineChars="200"/>
              <w:rPr>
                <w:rFonts w:hint="default" w:ascii="Times New Roman" w:hAnsi="宋体" w:eastAsia="宋体" w:cs="Times New Roman"/>
                <w:bCs/>
                <w:color w:val="auto"/>
                <w:sz w:val="24"/>
              </w:rPr>
            </w:pPr>
            <w:r>
              <w:rPr>
                <w:rFonts w:hint="default" w:ascii="Times New Roman" w:hAnsi="宋体" w:eastAsia="宋体" w:cs="Times New Roman"/>
                <w:bCs/>
                <w:color w:val="auto"/>
                <w:sz w:val="24"/>
              </w:rPr>
              <w:t>随着《关于印发&lt;淮安市202</w:t>
            </w:r>
            <w:r>
              <w:rPr>
                <w:rFonts w:hint="eastAsia" w:ascii="Times New Roman" w:hAnsi="宋体" w:eastAsia="宋体" w:cs="Times New Roman"/>
                <w:bCs/>
                <w:color w:val="auto"/>
                <w:sz w:val="24"/>
                <w:lang w:val="en-US" w:eastAsia="zh-CN"/>
              </w:rPr>
              <w:t>4</w:t>
            </w:r>
            <w:r>
              <w:rPr>
                <w:rFonts w:hint="default" w:ascii="Times New Roman" w:hAnsi="宋体" w:eastAsia="宋体" w:cs="Times New Roman"/>
                <w:bCs/>
                <w:color w:val="auto"/>
                <w:sz w:val="24"/>
              </w:rPr>
              <w:t>年大气污染防治工作计划&gt;&lt;淮安市202</w:t>
            </w:r>
            <w:r>
              <w:rPr>
                <w:rFonts w:hint="eastAsia" w:ascii="Times New Roman" w:hAnsi="宋体" w:eastAsia="宋体" w:cs="Times New Roman"/>
                <w:bCs/>
                <w:color w:val="auto"/>
                <w:sz w:val="24"/>
                <w:lang w:val="en-US" w:eastAsia="zh-CN"/>
              </w:rPr>
              <w:t>4</w:t>
            </w:r>
            <w:r>
              <w:rPr>
                <w:rFonts w:hint="default" w:ascii="Times New Roman" w:hAnsi="宋体" w:eastAsia="宋体" w:cs="Times New Roman"/>
                <w:bCs/>
                <w:color w:val="auto"/>
                <w:sz w:val="24"/>
              </w:rPr>
              <w:t>年水生态环境保护工作计划&gt;的通知》（淮污防攻坚指办</w:t>
            </w:r>
            <w:r>
              <w:rPr>
                <w:rFonts w:hint="eastAsia" w:hAnsi="宋体" w:cs="Times New Roman"/>
                <w:bCs/>
                <w:color w:val="auto"/>
                <w:sz w:val="24"/>
                <w:lang w:eastAsia="zh-CN"/>
              </w:rPr>
              <w:t>〔2024〕50号</w:t>
            </w:r>
            <w:r>
              <w:rPr>
                <w:rFonts w:hint="default" w:ascii="Times New Roman" w:hAnsi="宋体" w:eastAsia="宋体" w:cs="Times New Roman"/>
                <w:bCs/>
                <w:color w:val="auto"/>
                <w:sz w:val="24"/>
              </w:rPr>
              <w:t>）等防治计划的落实，淮安市持续开展空气质量改善行动以及“开展三源整治、留住蓝天白云”扬尘管控集中整治行动，深入推进“48小时+12天”大气环境质量改善专项攻坚，预期淮安市环境空气质量状况会进一步改善。</w:t>
            </w:r>
          </w:p>
          <w:p w14:paraId="2F2994FA">
            <w:pPr>
              <w:spacing w:line="360" w:lineRule="auto"/>
              <w:ind w:firstLine="480" w:firstLineChars="200"/>
              <w:rPr>
                <w:color w:val="auto"/>
                <w:sz w:val="24"/>
              </w:rPr>
            </w:pPr>
            <w:r>
              <w:rPr>
                <w:color w:val="auto"/>
                <w:sz w:val="24"/>
              </w:rPr>
              <w:t>（2）特征污染物环境质量现状评价</w:t>
            </w:r>
          </w:p>
          <w:p w14:paraId="17460670">
            <w:pPr>
              <w:adjustRightInd w:val="0"/>
              <w:snapToGrid w:val="0"/>
              <w:spacing w:line="360" w:lineRule="auto"/>
              <w:ind w:firstLine="480" w:firstLineChars="200"/>
              <w:rPr>
                <w:rFonts w:hint="eastAsia" w:eastAsia="宋体"/>
                <w:bCs/>
                <w:color w:val="auto"/>
                <w:sz w:val="24"/>
                <w:lang w:eastAsia="zh-CN"/>
              </w:rPr>
            </w:pPr>
            <w:r>
              <w:rPr>
                <w:rFonts w:hint="default" w:ascii="Times New Roman" w:hAnsi="宋体" w:eastAsia="宋体" w:cs="Times New Roman"/>
                <w:bCs/>
                <w:color w:val="auto"/>
                <w:sz w:val="24"/>
              </w:rPr>
              <w:t>根据《环境影响评价技术导则 大气环境》（HJ2.2-2018）中6.2.2中要求引用周边现状数据。非甲烷总烃</w:t>
            </w:r>
            <w:r>
              <w:rPr>
                <w:rFonts w:hint="eastAsia" w:ascii="Times New Roman" w:hAnsi="宋体" w:eastAsia="宋体" w:cs="Times New Roman"/>
                <w:bCs/>
                <w:color w:val="auto"/>
                <w:sz w:val="24"/>
                <w:lang w:eastAsia="zh-CN"/>
              </w:rPr>
              <w:t>、氨、硫化氢</w:t>
            </w:r>
            <w:r>
              <w:rPr>
                <w:rFonts w:hint="default" w:ascii="Times New Roman" w:hAnsi="宋体" w:eastAsia="宋体" w:cs="Times New Roman"/>
                <w:bCs/>
                <w:color w:val="auto"/>
                <w:sz w:val="24"/>
              </w:rPr>
              <w:t>引用监测数据来自《</w:t>
            </w:r>
            <w:bookmarkStart w:id="15" w:name="_Toc524095471"/>
            <w:bookmarkStart w:id="16" w:name="_Toc532803390"/>
            <w:bookmarkStart w:id="17" w:name="_Toc534897963"/>
            <w:bookmarkStart w:id="18" w:name="_Toc65075719"/>
            <w:bookmarkStart w:id="19" w:name="_Toc524351740"/>
            <w:bookmarkStart w:id="20" w:name="_Toc67469396"/>
            <w:bookmarkStart w:id="21" w:name="_Toc67471736"/>
            <w:bookmarkStart w:id="22" w:name="_Toc410899414"/>
            <w:bookmarkStart w:id="23" w:name="_Toc409710322"/>
            <w:bookmarkStart w:id="24" w:name="_Toc410833009"/>
            <w:bookmarkStart w:id="25" w:name="_Toc57503573"/>
            <w:bookmarkStart w:id="26" w:name="_Toc532803576"/>
            <w:bookmarkStart w:id="27" w:name="_Toc67473071"/>
            <w:bookmarkStart w:id="28" w:name="_Toc68562211"/>
            <w:bookmarkStart w:id="29" w:name="_Toc2324631"/>
            <w:bookmarkStart w:id="30" w:name="_Toc523994995"/>
            <w:r>
              <w:rPr>
                <w:rFonts w:hint="default" w:ascii="Times New Roman" w:hAnsi="宋体" w:eastAsia="宋体" w:cs="Times New Roman"/>
                <w:bCs/>
                <w:color w:val="auto"/>
                <w:sz w:val="24"/>
              </w:rPr>
              <w:t>涟水县新港电子产业园开发建设规划（2023-2035）环境影响报告书</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rPr>
                <w:rFonts w:hint="default" w:ascii="Times New Roman" w:hAnsi="宋体" w:eastAsia="宋体" w:cs="Times New Roman"/>
                <w:bCs/>
                <w:color w:val="auto"/>
                <w:sz w:val="24"/>
              </w:rPr>
              <w:t>》（报告编号：</w:t>
            </w:r>
            <w:r>
              <w:rPr>
                <w:rFonts w:hint="eastAsia" w:ascii="Times New Roman" w:hAnsi="宋体" w:eastAsia="宋体" w:cs="Times New Roman"/>
                <w:bCs/>
                <w:color w:val="auto"/>
                <w:sz w:val="24"/>
              </w:rPr>
              <w:t>HR23120613</w:t>
            </w:r>
            <w:r>
              <w:rPr>
                <w:rFonts w:hint="default" w:ascii="Times New Roman" w:hAnsi="宋体" w:eastAsia="宋体" w:cs="Times New Roman"/>
                <w:bCs/>
                <w:color w:val="auto"/>
                <w:sz w:val="24"/>
              </w:rPr>
              <w:t>）。本项目位于</w:t>
            </w:r>
            <w:r>
              <w:rPr>
                <w:rFonts w:hint="eastAsia" w:ascii="Times New Roman" w:hAnsi="宋体" w:eastAsia="宋体" w:cs="Times New Roman"/>
                <w:bCs/>
                <w:color w:val="auto"/>
                <w:sz w:val="24"/>
                <w:lang w:eastAsia="zh-CN"/>
              </w:rPr>
              <w:t>监测点</w:t>
            </w:r>
            <w:r>
              <w:rPr>
                <w:rFonts w:hint="eastAsia" w:ascii="Times New Roman" w:hAnsi="宋体" w:eastAsia="宋体" w:cs="Times New Roman"/>
                <w:bCs/>
                <w:color w:val="auto"/>
                <w:sz w:val="24"/>
              </w:rPr>
              <w:t>嘉立创公司厂区外西南角</w:t>
            </w:r>
            <w:r>
              <w:rPr>
                <w:rFonts w:hint="default" w:ascii="Times New Roman" w:hAnsi="宋体" w:eastAsia="宋体" w:cs="Times New Roman"/>
                <w:bCs/>
                <w:color w:val="auto"/>
                <w:sz w:val="24"/>
              </w:rPr>
              <w:t>方向约</w:t>
            </w:r>
            <w:r>
              <w:rPr>
                <w:rFonts w:hint="eastAsia" w:ascii="Times New Roman" w:hAnsi="宋体" w:eastAsia="宋体" w:cs="Times New Roman"/>
                <w:bCs/>
                <w:color w:val="auto"/>
                <w:sz w:val="24"/>
                <w:lang w:val="en-US" w:eastAsia="zh-CN"/>
              </w:rPr>
              <w:t>3530</w:t>
            </w:r>
            <w:r>
              <w:rPr>
                <w:rFonts w:hint="default" w:ascii="Times New Roman" w:hAnsi="宋体" w:eastAsia="宋体" w:cs="Times New Roman"/>
                <w:bCs/>
                <w:color w:val="auto"/>
                <w:sz w:val="24"/>
              </w:rPr>
              <w:t>m，在大气评价范围内，引用非甲烷总烃</w:t>
            </w:r>
            <w:r>
              <w:rPr>
                <w:rFonts w:hint="eastAsia" w:ascii="Times New Roman" w:hAnsi="宋体" w:eastAsia="宋体" w:cs="Times New Roman"/>
                <w:bCs/>
                <w:color w:val="auto"/>
                <w:sz w:val="24"/>
                <w:lang w:eastAsia="zh-CN"/>
              </w:rPr>
              <w:t>、氨、臭气浓度</w:t>
            </w:r>
            <w:r>
              <w:rPr>
                <w:rFonts w:hint="default" w:ascii="Times New Roman" w:hAnsi="宋体" w:eastAsia="宋体" w:cs="Times New Roman"/>
                <w:bCs/>
                <w:color w:val="auto"/>
                <w:sz w:val="24"/>
              </w:rPr>
              <w:t>实测时间为202</w:t>
            </w:r>
            <w:r>
              <w:rPr>
                <w:rFonts w:hint="eastAsia" w:ascii="Times New Roman" w:hAnsi="宋体" w:eastAsia="宋体" w:cs="Times New Roman"/>
                <w:bCs/>
                <w:color w:val="auto"/>
                <w:sz w:val="24"/>
              </w:rPr>
              <w:t>3</w:t>
            </w:r>
            <w:r>
              <w:rPr>
                <w:rFonts w:hint="default" w:ascii="Times New Roman" w:hAnsi="宋体" w:eastAsia="宋体" w:cs="Times New Roman"/>
                <w:bCs/>
                <w:color w:val="auto"/>
                <w:sz w:val="24"/>
              </w:rPr>
              <w:t>.</w:t>
            </w:r>
            <w:r>
              <w:rPr>
                <w:rFonts w:hint="eastAsia" w:ascii="Times New Roman" w:hAnsi="宋体" w:eastAsia="宋体" w:cs="Times New Roman"/>
                <w:bCs/>
                <w:color w:val="auto"/>
                <w:sz w:val="24"/>
              </w:rPr>
              <w:t>1</w:t>
            </w:r>
            <w:r>
              <w:rPr>
                <w:rFonts w:hint="eastAsia" w:ascii="Times New Roman" w:hAnsi="宋体" w:eastAsia="宋体" w:cs="Times New Roman"/>
                <w:bCs/>
                <w:color w:val="auto"/>
                <w:sz w:val="24"/>
                <w:lang w:val="en-US" w:eastAsia="zh-CN"/>
              </w:rPr>
              <w:t>2</w:t>
            </w:r>
            <w:r>
              <w:rPr>
                <w:rFonts w:hint="default" w:ascii="Times New Roman" w:hAnsi="宋体" w:eastAsia="宋体" w:cs="Times New Roman"/>
                <w:bCs/>
                <w:color w:val="auto"/>
                <w:sz w:val="24"/>
              </w:rPr>
              <w:t>.</w:t>
            </w:r>
            <w:r>
              <w:rPr>
                <w:rFonts w:hint="eastAsia" w:ascii="Times New Roman" w:hAnsi="宋体" w:eastAsia="宋体" w:cs="Times New Roman"/>
                <w:bCs/>
                <w:color w:val="auto"/>
                <w:sz w:val="24"/>
                <w:lang w:val="en-US" w:eastAsia="zh-CN"/>
              </w:rPr>
              <w:t>8</w:t>
            </w:r>
            <w:r>
              <w:rPr>
                <w:rFonts w:hint="default" w:ascii="Times New Roman" w:hAnsi="宋体" w:eastAsia="宋体" w:cs="Times New Roman"/>
                <w:bCs/>
                <w:color w:val="auto"/>
                <w:sz w:val="24"/>
              </w:rPr>
              <w:t>~</w:t>
            </w:r>
            <w:r>
              <w:rPr>
                <w:rFonts w:hint="eastAsia" w:ascii="Times New Roman" w:hAnsi="宋体" w:eastAsia="宋体" w:cs="Times New Roman"/>
                <w:bCs/>
                <w:color w:val="auto"/>
                <w:sz w:val="24"/>
              </w:rPr>
              <w:t>1</w:t>
            </w:r>
            <w:r>
              <w:rPr>
                <w:rFonts w:hint="eastAsia" w:ascii="Times New Roman" w:hAnsi="宋体" w:eastAsia="宋体" w:cs="Times New Roman"/>
                <w:bCs/>
                <w:color w:val="auto"/>
                <w:sz w:val="24"/>
                <w:lang w:val="en-US" w:eastAsia="zh-CN"/>
              </w:rPr>
              <w:t>2</w:t>
            </w:r>
            <w:r>
              <w:rPr>
                <w:rFonts w:hint="default" w:ascii="Times New Roman" w:hAnsi="宋体" w:eastAsia="宋体" w:cs="Times New Roman"/>
                <w:bCs/>
                <w:color w:val="auto"/>
                <w:sz w:val="24"/>
              </w:rPr>
              <w:t>.</w:t>
            </w:r>
            <w:r>
              <w:rPr>
                <w:rFonts w:hint="eastAsia" w:ascii="Times New Roman" w:hAnsi="宋体" w:eastAsia="宋体" w:cs="Times New Roman"/>
                <w:bCs/>
                <w:color w:val="auto"/>
                <w:sz w:val="24"/>
              </w:rPr>
              <w:t>1</w:t>
            </w:r>
            <w:r>
              <w:rPr>
                <w:rFonts w:hint="eastAsia" w:ascii="Times New Roman" w:hAnsi="宋体" w:eastAsia="宋体" w:cs="Times New Roman"/>
                <w:bCs/>
                <w:color w:val="auto"/>
                <w:sz w:val="24"/>
                <w:lang w:val="en-US" w:eastAsia="zh-CN"/>
              </w:rPr>
              <w:t>4</w:t>
            </w:r>
            <w:r>
              <w:rPr>
                <w:rFonts w:hint="default" w:ascii="Times New Roman" w:hAnsi="宋体" w:eastAsia="宋体" w:cs="Times New Roman"/>
                <w:bCs/>
                <w:color w:val="auto"/>
                <w:sz w:val="24"/>
              </w:rPr>
              <w:t>，符合三年有效期的要求，本次引用数据具有可行性。</w:t>
            </w:r>
            <w:r>
              <w:rPr>
                <w:rFonts w:hint="eastAsia" w:eastAsia="宋体"/>
                <w:color w:val="auto"/>
                <w:sz w:val="24"/>
                <w:lang w:eastAsia="zh-CN"/>
              </w:rPr>
              <w:t>具体</w:t>
            </w:r>
            <w:r>
              <w:rPr>
                <w:rFonts w:hint="eastAsia"/>
                <w:color w:val="auto"/>
                <w:sz w:val="24"/>
              </w:rPr>
              <w:t>见表3-1</w:t>
            </w:r>
            <w:r>
              <w:rPr>
                <w:rFonts w:hint="eastAsia"/>
                <w:color w:val="auto"/>
                <w:sz w:val="24"/>
                <w:lang w:eastAsia="zh-CN"/>
              </w:rPr>
              <w:t>。</w:t>
            </w:r>
          </w:p>
          <w:p w14:paraId="6E1FCAD1">
            <w:pPr>
              <w:numPr>
                <w:ilvl w:val="0"/>
                <w:numId w:val="7"/>
              </w:numPr>
              <w:adjustRightInd w:val="0"/>
              <w:snapToGrid w:val="0"/>
              <w:spacing w:line="360" w:lineRule="auto"/>
              <w:rPr>
                <w:color w:val="auto"/>
                <w:sz w:val="24"/>
              </w:rPr>
            </w:pPr>
            <w:r>
              <w:rPr>
                <w:color w:val="auto"/>
                <w:sz w:val="24"/>
              </w:rPr>
              <w:t>监测点位及监测因子</w:t>
            </w:r>
          </w:p>
          <w:p w14:paraId="26F71CD6">
            <w:pPr>
              <w:adjustRightInd w:val="0"/>
              <w:snapToGrid w:val="0"/>
              <w:spacing w:line="360" w:lineRule="auto"/>
              <w:ind w:firstLine="480" w:firstLineChars="200"/>
              <w:rPr>
                <w:color w:val="auto"/>
                <w:sz w:val="24"/>
              </w:rPr>
            </w:pPr>
            <w:r>
              <w:rPr>
                <w:color w:val="auto"/>
                <w:sz w:val="24"/>
              </w:rPr>
              <w:t>监测点位具体布置见表3-1。</w:t>
            </w:r>
          </w:p>
          <w:p w14:paraId="44F7E3C0">
            <w:pPr>
              <w:keepNext/>
              <w:adjustRightInd w:val="0"/>
              <w:snapToGrid w:val="0"/>
              <w:jc w:val="center"/>
              <w:rPr>
                <w:b/>
                <w:color w:val="auto"/>
                <w:szCs w:val="21"/>
              </w:rPr>
            </w:pPr>
            <w:bookmarkStart w:id="31" w:name="_Ref531085711"/>
          </w:p>
          <w:p w14:paraId="7D5FF5B9">
            <w:pPr>
              <w:keepNext/>
              <w:adjustRightInd w:val="0"/>
              <w:snapToGrid w:val="0"/>
              <w:jc w:val="center"/>
              <w:rPr>
                <w:b/>
                <w:color w:val="auto"/>
                <w:szCs w:val="21"/>
              </w:rPr>
            </w:pPr>
            <w:r>
              <w:rPr>
                <w:b/>
                <w:color w:val="auto"/>
                <w:szCs w:val="21"/>
              </w:rPr>
              <w:t>表</w:t>
            </w:r>
            <w:bookmarkEnd w:id="31"/>
            <w:r>
              <w:rPr>
                <w:b/>
                <w:color w:val="auto"/>
                <w:szCs w:val="21"/>
              </w:rPr>
              <w:t>3-1  其他污染物补充监测点位基本信息</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18"/>
              <w:gridCol w:w="967"/>
              <w:gridCol w:w="948"/>
              <w:gridCol w:w="1008"/>
              <w:gridCol w:w="1127"/>
              <w:gridCol w:w="2038"/>
              <w:gridCol w:w="734"/>
              <w:gridCol w:w="1078"/>
            </w:tblGrid>
            <w:tr w14:paraId="0B093E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524" w:type="dxa"/>
                  <w:vMerge w:val="restart"/>
                  <w:tcBorders>
                    <w:top w:val="single" w:color="auto" w:sz="12" w:space="0"/>
                    <w:bottom w:val="single" w:color="auto" w:sz="4" w:space="0"/>
                  </w:tcBorders>
                  <w:vAlign w:val="center"/>
                </w:tcPr>
                <w:p w14:paraId="6E0AB610">
                  <w:pPr>
                    <w:pStyle w:val="122"/>
                    <w:spacing w:after="0"/>
                    <w:rPr>
                      <w:b/>
                      <w:color w:val="auto"/>
                      <w:szCs w:val="21"/>
                    </w:rPr>
                  </w:pPr>
                  <w:r>
                    <w:rPr>
                      <w:b/>
                      <w:color w:val="auto"/>
                      <w:szCs w:val="21"/>
                    </w:rPr>
                    <w:t>测点编号</w:t>
                  </w:r>
                </w:p>
              </w:tc>
              <w:tc>
                <w:tcPr>
                  <w:tcW w:w="985" w:type="dxa"/>
                  <w:vMerge w:val="restart"/>
                  <w:tcBorders>
                    <w:top w:val="single" w:color="auto" w:sz="12" w:space="0"/>
                    <w:bottom w:val="single" w:color="auto" w:sz="4" w:space="0"/>
                  </w:tcBorders>
                  <w:vAlign w:val="center"/>
                </w:tcPr>
                <w:p w14:paraId="23B92D74">
                  <w:pPr>
                    <w:pStyle w:val="122"/>
                    <w:spacing w:after="0"/>
                    <w:rPr>
                      <w:b/>
                      <w:color w:val="auto"/>
                      <w:szCs w:val="21"/>
                    </w:rPr>
                  </w:pPr>
                  <w:r>
                    <w:rPr>
                      <w:b/>
                      <w:color w:val="auto"/>
                      <w:szCs w:val="21"/>
                    </w:rPr>
                    <w:t>监测点名称</w:t>
                  </w:r>
                </w:p>
              </w:tc>
              <w:tc>
                <w:tcPr>
                  <w:tcW w:w="1879" w:type="dxa"/>
                  <w:gridSpan w:val="2"/>
                  <w:tcBorders>
                    <w:top w:val="single" w:color="auto" w:sz="12" w:space="0"/>
                    <w:bottom w:val="single" w:color="auto" w:sz="4" w:space="0"/>
                  </w:tcBorders>
                  <w:vAlign w:val="center"/>
                </w:tcPr>
                <w:p w14:paraId="2EBB2236">
                  <w:pPr>
                    <w:pStyle w:val="122"/>
                    <w:spacing w:after="0"/>
                    <w:rPr>
                      <w:b/>
                      <w:color w:val="auto"/>
                      <w:szCs w:val="21"/>
                    </w:rPr>
                  </w:pPr>
                  <w:r>
                    <w:rPr>
                      <w:b/>
                      <w:color w:val="auto"/>
                      <w:szCs w:val="21"/>
                    </w:rPr>
                    <w:t>监测点坐标</w:t>
                  </w:r>
                </w:p>
              </w:tc>
              <w:tc>
                <w:tcPr>
                  <w:tcW w:w="1144" w:type="dxa"/>
                  <w:vMerge w:val="restart"/>
                  <w:tcBorders>
                    <w:top w:val="single" w:color="auto" w:sz="12" w:space="0"/>
                    <w:bottom w:val="single" w:color="auto" w:sz="4" w:space="0"/>
                  </w:tcBorders>
                  <w:vAlign w:val="center"/>
                </w:tcPr>
                <w:p w14:paraId="00D94D65">
                  <w:pPr>
                    <w:pStyle w:val="122"/>
                    <w:spacing w:after="0"/>
                    <w:rPr>
                      <w:b/>
                      <w:color w:val="auto"/>
                      <w:szCs w:val="21"/>
                    </w:rPr>
                  </w:pPr>
                  <w:r>
                    <w:rPr>
                      <w:b/>
                      <w:color w:val="auto"/>
                      <w:szCs w:val="21"/>
                    </w:rPr>
                    <w:t>监测因子</w:t>
                  </w:r>
                </w:p>
              </w:tc>
              <w:tc>
                <w:tcPr>
                  <w:tcW w:w="2047" w:type="dxa"/>
                  <w:vMerge w:val="restart"/>
                  <w:tcBorders>
                    <w:top w:val="single" w:color="auto" w:sz="12" w:space="0"/>
                    <w:bottom w:val="single" w:color="auto" w:sz="4" w:space="0"/>
                  </w:tcBorders>
                  <w:vAlign w:val="center"/>
                </w:tcPr>
                <w:p w14:paraId="26B9B47B">
                  <w:pPr>
                    <w:pStyle w:val="122"/>
                    <w:spacing w:after="0"/>
                    <w:rPr>
                      <w:b/>
                      <w:color w:val="auto"/>
                      <w:szCs w:val="21"/>
                    </w:rPr>
                  </w:pPr>
                  <w:r>
                    <w:rPr>
                      <w:b/>
                      <w:color w:val="auto"/>
                      <w:szCs w:val="21"/>
                    </w:rPr>
                    <w:t>监测时段</w:t>
                  </w:r>
                </w:p>
              </w:tc>
              <w:tc>
                <w:tcPr>
                  <w:tcW w:w="746" w:type="dxa"/>
                  <w:vMerge w:val="restart"/>
                  <w:tcBorders>
                    <w:top w:val="single" w:color="auto" w:sz="12" w:space="0"/>
                    <w:bottom w:val="single" w:color="auto" w:sz="4" w:space="0"/>
                  </w:tcBorders>
                  <w:vAlign w:val="center"/>
                </w:tcPr>
                <w:p w14:paraId="0C2D16C7">
                  <w:pPr>
                    <w:pStyle w:val="122"/>
                    <w:spacing w:after="0"/>
                    <w:rPr>
                      <w:b/>
                      <w:color w:val="auto"/>
                      <w:szCs w:val="21"/>
                    </w:rPr>
                  </w:pPr>
                  <w:r>
                    <w:rPr>
                      <w:b/>
                      <w:color w:val="auto"/>
                      <w:szCs w:val="21"/>
                    </w:rPr>
                    <w:t>相对厂址方位</w:t>
                  </w:r>
                </w:p>
              </w:tc>
              <w:tc>
                <w:tcPr>
                  <w:tcW w:w="1094" w:type="dxa"/>
                  <w:vMerge w:val="restart"/>
                  <w:tcBorders>
                    <w:top w:val="single" w:color="auto" w:sz="12" w:space="0"/>
                    <w:bottom w:val="single" w:color="auto" w:sz="4" w:space="0"/>
                  </w:tcBorders>
                  <w:vAlign w:val="center"/>
                </w:tcPr>
                <w:p w14:paraId="23D66BDD">
                  <w:pPr>
                    <w:pStyle w:val="122"/>
                    <w:spacing w:after="0"/>
                    <w:rPr>
                      <w:b/>
                      <w:color w:val="auto"/>
                      <w:szCs w:val="21"/>
                    </w:rPr>
                  </w:pPr>
                  <w:r>
                    <w:rPr>
                      <w:b/>
                      <w:color w:val="auto"/>
                      <w:szCs w:val="21"/>
                    </w:rPr>
                    <w:t>相对厂界</w:t>
                  </w:r>
                  <w:r>
                    <w:rPr>
                      <w:rFonts w:hint="eastAsia"/>
                      <w:b/>
                      <w:color w:val="auto"/>
                      <w:szCs w:val="21"/>
                      <w:lang w:eastAsia="zh-CN"/>
                    </w:rPr>
                    <w:t>距离</w:t>
                  </w:r>
                  <w:r>
                    <w:rPr>
                      <w:b/>
                      <w:color w:val="auto"/>
                      <w:szCs w:val="21"/>
                    </w:rPr>
                    <w:t>/m</w:t>
                  </w:r>
                </w:p>
              </w:tc>
            </w:tr>
            <w:tr w14:paraId="64A6A3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524" w:type="dxa"/>
                  <w:vMerge w:val="continue"/>
                  <w:tcBorders>
                    <w:top w:val="single" w:color="auto" w:sz="4" w:space="0"/>
                    <w:bottom w:val="single" w:color="auto" w:sz="12" w:space="0"/>
                  </w:tcBorders>
                  <w:vAlign w:val="center"/>
                </w:tcPr>
                <w:p w14:paraId="07727A15">
                  <w:pPr>
                    <w:pStyle w:val="122"/>
                    <w:spacing w:after="0"/>
                    <w:rPr>
                      <w:color w:val="auto"/>
                      <w:szCs w:val="21"/>
                    </w:rPr>
                  </w:pPr>
                </w:p>
              </w:tc>
              <w:tc>
                <w:tcPr>
                  <w:tcW w:w="985" w:type="dxa"/>
                  <w:vMerge w:val="continue"/>
                  <w:tcBorders>
                    <w:top w:val="single" w:color="auto" w:sz="4" w:space="0"/>
                    <w:bottom w:val="single" w:color="auto" w:sz="12" w:space="0"/>
                  </w:tcBorders>
                  <w:vAlign w:val="center"/>
                </w:tcPr>
                <w:p w14:paraId="0CA9C5DB">
                  <w:pPr>
                    <w:pStyle w:val="122"/>
                    <w:spacing w:after="0"/>
                    <w:rPr>
                      <w:color w:val="auto"/>
                      <w:szCs w:val="21"/>
                    </w:rPr>
                  </w:pPr>
                </w:p>
              </w:tc>
              <w:tc>
                <w:tcPr>
                  <w:tcW w:w="949" w:type="dxa"/>
                  <w:tcBorders>
                    <w:top w:val="single" w:color="auto" w:sz="4" w:space="0"/>
                    <w:bottom w:val="single" w:color="auto" w:sz="12" w:space="0"/>
                  </w:tcBorders>
                  <w:vAlign w:val="center"/>
                </w:tcPr>
                <w:p w14:paraId="4B3C552E">
                  <w:pPr>
                    <w:pStyle w:val="122"/>
                    <w:spacing w:after="0"/>
                    <w:rPr>
                      <w:b/>
                      <w:color w:val="auto"/>
                      <w:szCs w:val="21"/>
                    </w:rPr>
                  </w:pPr>
                  <w:r>
                    <w:rPr>
                      <w:b/>
                      <w:color w:val="auto"/>
                      <w:szCs w:val="21"/>
                    </w:rPr>
                    <w:t>X</w:t>
                  </w:r>
                </w:p>
              </w:tc>
              <w:tc>
                <w:tcPr>
                  <w:tcW w:w="930" w:type="dxa"/>
                  <w:tcBorders>
                    <w:top w:val="single" w:color="auto" w:sz="4" w:space="0"/>
                    <w:bottom w:val="single" w:color="auto" w:sz="12" w:space="0"/>
                  </w:tcBorders>
                  <w:vAlign w:val="center"/>
                </w:tcPr>
                <w:p w14:paraId="27BF2720">
                  <w:pPr>
                    <w:pStyle w:val="122"/>
                    <w:spacing w:after="0"/>
                    <w:rPr>
                      <w:b/>
                      <w:color w:val="auto"/>
                      <w:szCs w:val="21"/>
                    </w:rPr>
                  </w:pPr>
                  <w:r>
                    <w:rPr>
                      <w:b/>
                      <w:color w:val="auto"/>
                      <w:szCs w:val="21"/>
                    </w:rPr>
                    <w:t>Y</w:t>
                  </w:r>
                </w:p>
              </w:tc>
              <w:tc>
                <w:tcPr>
                  <w:tcW w:w="1144" w:type="dxa"/>
                  <w:vMerge w:val="continue"/>
                  <w:tcBorders>
                    <w:top w:val="single" w:color="auto" w:sz="4" w:space="0"/>
                    <w:bottom w:val="single" w:color="auto" w:sz="12" w:space="0"/>
                  </w:tcBorders>
                  <w:vAlign w:val="center"/>
                </w:tcPr>
                <w:p w14:paraId="5EF3EE03">
                  <w:pPr>
                    <w:pStyle w:val="122"/>
                    <w:spacing w:after="0"/>
                    <w:rPr>
                      <w:color w:val="auto"/>
                      <w:szCs w:val="21"/>
                    </w:rPr>
                  </w:pPr>
                </w:p>
              </w:tc>
              <w:tc>
                <w:tcPr>
                  <w:tcW w:w="2047" w:type="dxa"/>
                  <w:vMerge w:val="continue"/>
                  <w:tcBorders>
                    <w:top w:val="single" w:color="auto" w:sz="4" w:space="0"/>
                    <w:bottom w:val="single" w:color="auto" w:sz="12" w:space="0"/>
                  </w:tcBorders>
                  <w:vAlign w:val="center"/>
                </w:tcPr>
                <w:p w14:paraId="6AE97157">
                  <w:pPr>
                    <w:pStyle w:val="122"/>
                    <w:spacing w:after="0"/>
                    <w:rPr>
                      <w:color w:val="auto"/>
                      <w:szCs w:val="21"/>
                    </w:rPr>
                  </w:pPr>
                </w:p>
              </w:tc>
              <w:tc>
                <w:tcPr>
                  <w:tcW w:w="746" w:type="dxa"/>
                  <w:vMerge w:val="continue"/>
                  <w:tcBorders>
                    <w:top w:val="single" w:color="auto" w:sz="4" w:space="0"/>
                    <w:bottom w:val="single" w:color="auto" w:sz="12" w:space="0"/>
                  </w:tcBorders>
                  <w:vAlign w:val="center"/>
                </w:tcPr>
                <w:p w14:paraId="487D1591">
                  <w:pPr>
                    <w:pStyle w:val="122"/>
                    <w:spacing w:after="0"/>
                    <w:rPr>
                      <w:color w:val="auto"/>
                      <w:szCs w:val="21"/>
                    </w:rPr>
                  </w:pPr>
                </w:p>
              </w:tc>
              <w:tc>
                <w:tcPr>
                  <w:tcW w:w="1094" w:type="dxa"/>
                  <w:vMerge w:val="continue"/>
                  <w:tcBorders>
                    <w:top w:val="single" w:color="auto" w:sz="4" w:space="0"/>
                    <w:bottom w:val="single" w:color="auto" w:sz="12" w:space="0"/>
                  </w:tcBorders>
                  <w:vAlign w:val="center"/>
                </w:tcPr>
                <w:p w14:paraId="5277A332">
                  <w:pPr>
                    <w:pStyle w:val="122"/>
                    <w:spacing w:after="0"/>
                    <w:rPr>
                      <w:color w:val="auto"/>
                      <w:szCs w:val="21"/>
                    </w:rPr>
                  </w:pPr>
                </w:p>
              </w:tc>
            </w:tr>
            <w:tr w14:paraId="522F00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524" w:type="dxa"/>
                  <w:tcBorders>
                    <w:top w:val="single" w:color="auto" w:sz="6" w:space="0"/>
                    <w:bottom w:val="single" w:color="auto" w:sz="6" w:space="0"/>
                  </w:tcBorders>
                  <w:vAlign w:val="center"/>
                </w:tcPr>
                <w:p w14:paraId="6273D3B7">
                  <w:pPr>
                    <w:pStyle w:val="122"/>
                    <w:spacing w:after="0"/>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G2</w:t>
                  </w:r>
                </w:p>
              </w:tc>
              <w:tc>
                <w:tcPr>
                  <w:tcW w:w="985" w:type="dxa"/>
                  <w:tcBorders>
                    <w:top w:val="single" w:color="auto" w:sz="6" w:space="0"/>
                    <w:bottom w:val="single" w:color="auto" w:sz="6" w:space="0"/>
                  </w:tcBorders>
                  <w:vAlign w:val="center"/>
                </w:tcPr>
                <w:p w14:paraId="478EC68B">
                  <w:pPr>
                    <w:pStyle w:val="122"/>
                    <w:spacing w:after="0"/>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嘉立创公司厂区外西南角</w:t>
                  </w:r>
                </w:p>
              </w:tc>
              <w:tc>
                <w:tcPr>
                  <w:tcW w:w="949" w:type="dxa"/>
                  <w:tcBorders>
                    <w:top w:val="single" w:color="auto" w:sz="6" w:space="0"/>
                    <w:bottom w:val="single" w:color="auto" w:sz="6" w:space="0"/>
                  </w:tcBorders>
                  <w:vAlign w:val="center"/>
                </w:tcPr>
                <w:p w14:paraId="7CFB39D4">
                  <w:pPr>
                    <w:pStyle w:val="122"/>
                    <w:spacing w:after="0"/>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698336.23</w:t>
                  </w:r>
                </w:p>
              </w:tc>
              <w:tc>
                <w:tcPr>
                  <w:tcW w:w="930" w:type="dxa"/>
                  <w:tcBorders>
                    <w:top w:val="single" w:color="auto" w:sz="6" w:space="0"/>
                    <w:bottom w:val="single" w:color="auto" w:sz="6" w:space="0"/>
                  </w:tcBorders>
                  <w:vAlign w:val="center"/>
                </w:tcPr>
                <w:p w14:paraId="6AB62429">
                  <w:pPr>
                    <w:pStyle w:val="122"/>
                    <w:spacing w:after="0"/>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3706974.37</w:t>
                  </w:r>
                </w:p>
              </w:tc>
              <w:tc>
                <w:tcPr>
                  <w:tcW w:w="1144" w:type="dxa"/>
                  <w:tcBorders>
                    <w:top w:val="single" w:color="auto" w:sz="6" w:space="0"/>
                    <w:bottom w:val="single" w:color="auto" w:sz="6" w:space="0"/>
                  </w:tcBorders>
                  <w:vAlign w:val="center"/>
                </w:tcPr>
                <w:p w14:paraId="45DFF32B">
                  <w:pPr>
                    <w:pStyle w:val="122"/>
                    <w:spacing w:after="0"/>
                    <w:rPr>
                      <w:rFonts w:hint="eastAsia" w:eastAsia="宋体"/>
                      <w:color w:val="auto"/>
                      <w:lang w:eastAsia="zh-CN"/>
                    </w:rPr>
                  </w:pPr>
                  <w:r>
                    <w:rPr>
                      <w:color w:val="auto"/>
                      <w:szCs w:val="21"/>
                    </w:rPr>
                    <w:t>非甲烷总烃</w:t>
                  </w:r>
                  <w:r>
                    <w:rPr>
                      <w:rFonts w:hint="eastAsia"/>
                      <w:color w:val="auto"/>
                      <w:szCs w:val="21"/>
                      <w:lang w:eastAsia="zh-CN"/>
                    </w:rPr>
                    <w:t>、氨、硫化氢</w:t>
                  </w:r>
                </w:p>
              </w:tc>
              <w:tc>
                <w:tcPr>
                  <w:tcW w:w="2047" w:type="dxa"/>
                  <w:tcBorders>
                    <w:top w:val="single" w:color="auto" w:sz="6" w:space="0"/>
                    <w:bottom w:val="single" w:color="auto" w:sz="6" w:space="0"/>
                  </w:tcBorders>
                  <w:vAlign w:val="center"/>
                </w:tcPr>
                <w:p w14:paraId="6F8C553C">
                  <w:pPr>
                    <w:pStyle w:val="122"/>
                    <w:spacing w:after="0"/>
                    <w:rPr>
                      <w:color w:val="auto"/>
                      <w:szCs w:val="21"/>
                    </w:rPr>
                  </w:pPr>
                  <w:r>
                    <w:rPr>
                      <w:rFonts w:hint="default" w:ascii="Times New Roman" w:hAnsi="宋体" w:eastAsia="宋体" w:cs="Times New Roman"/>
                      <w:bCs/>
                      <w:color w:val="auto"/>
                      <w:sz w:val="24"/>
                    </w:rPr>
                    <w:t>202</w:t>
                  </w:r>
                  <w:r>
                    <w:rPr>
                      <w:rFonts w:hint="eastAsia" w:ascii="Times New Roman" w:hAnsi="宋体" w:eastAsia="宋体" w:cs="Times New Roman"/>
                      <w:bCs/>
                      <w:color w:val="auto"/>
                      <w:sz w:val="24"/>
                    </w:rPr>
                    <w:t>3</w:t>
                  </w:r>
                  <w:r>
                    <w:rPr>
                      <w:rFonts w:hint="default" w:ascii="Times New Roman" w:hAnsi="宋体" w:eastAsia="宋体" w:cs="Times New Roman"/>
                      <w:bCs/>
                      <w:color w:val="auto"/>
                      <w:sz w:val="24"/>
                    </w:rPr>
                    <w:t>.</w:t>
                  </w:r>
                  <w:r>
                    <w:rPr>
                      <w:rFonts w:hint="eastAsia" w:ascii="Times New Roman" w:hAnsi="宋体" w:eastAsia="宋体" w:cs="Times New Roman"/>
                      <w:bCs/>
                      <w:color w:val="auto"/>
                      <w:sz w:val="24"/>
                    </w:rPr>
                    <w:t>1</w:t>
                  </w:r>
                  <w:r>
                    <w:rPr>
                      <w:rFonts w:hint="eastAsia" w:ascii="Times New Roman" w:hAnsi="宋体" w:eastAsia="宋体" w:cs="Times New Roman"/>
                      <w:bCs/>
                      <w:color w:val="auto"/>
                      <w:sz w:val="24"/>
                      <w:lang w:val="en-US" w:eastAsia="zh-CN"/>
                    </w:rPr>
                    <w:t>2</w:t>
                  </w:r>
                  <w:r>
                    <w:rPr>
                      <w:rFonts w:hint="default" w:ascii="Times New Roman" w:hAnsi="宋体" w:eastAsia="宋体" w:cs="Times New Roman"/>
                      <w:bCs/>
                      <w:color w:val="auto"/>
                      <w:sz w:val="24"/>
                    </w:rPr>
                    <w:t>.</w:t>
                  </w:r>
                  <w:r>
                    <w:rPr>
                      <w:rFonts w:hint="eastAsia" w:ascii="Times New Roman" w:hAnsi="宋体" w:eastAsia="宋体" w:cs="Times New Roman"/>
                      <w:bCs/>
                      <w:color w:val="auto"/>
                      <w:sz w:val="24"/>
                      <w:lang w:val="en-US" w:eastAsia="zh-CN"/>
                    </w:rPr>
                    <w:t>8</w:t>
                  </w:r>
                  <w:r>
                    <w:rPr>
                      <w:rFonts w:hint="default" w:ascii="Times New Roman" w:hAnsi="宋体" w:eastAsia="宋体" w:cs="Times New Roman"/>
                      <w:bCs/>
                      <w:color w:val="auto"/>
                      <w:sz w:val="24"/>
                    </w:rPr>
                    <w:t>~</w:t>
                  </w:r>
                  <w:r>
                    <w:rPr>
                      <w:rFonts w:hint="eastAsia" w:ascii="Times New Roman" w:hAnsi="宋体" w:eastAsia="宋体" w:cs="Times New Roman"/>
                      <w:bCs/>
                      <w:color w:val="auto"/>
                      <w:sz w:val="24"/>
                    </w:rPr>
                    <w:t>1</w:t>
                  </w:r>
                  <w:r>
                    <w:rPr>
                      <w:rFonts w:hint="eastAsia" w:ascii="Times New Roman" w:hAnsi="宋体" w:eastAsia="宋体" w:cs="Times New Roman"/>
                      <w:bCs/>
                      <w:color w:val="auto"/>
                      <w:sz w:val="24"/>
                      <w:lang w:val="en-US" w:eastAsia="zh-CN"/>
                    </w:rPr>
                    <w:t>2</w:t>
                  </w:r>
                  <w:r>
                    <w:rPr>
                      <w:rFonts w:hint="default" w:ascii="Times New Roman" w:hAnsi="宋体" w:eastAsia="宋体" w:cs="Times New Roman"/>
                      <w:bCs/>
                      <w:color w:val="auto"/>
                      <w:sz w:val="24"/>
                    </w:rPr>
                    <w:t>.</w:t>
                  </w:r>
                  <w:r>
                    <w:rPr>
                      <w:rFonts w:hint="eastAsia" w:ascii="Times New Roman" w:hAnsi="宋体" w:eastAsia="宋体" w:cs="Times New Roman"/>
                      <w:bCs/>
                      <w:color w:val="auto"/>
                      <w:sz w:val="24"/>
                    </w:rPr>
                    <w:t>1</w:t>
                  </w:r>
                  <w:r>
                    <w:rPr>
                      <w:rFonts w:hint="eastAsia" w:ascii="Times New Roman" w:hAnsi="宋体" w:eastAsia="宋体" w:cs="Times New Roman"/>
                      <w:bCs/>
                      <w:color w:val="auto"/>
                      <w:sz w:val="24"/>
                      <w:lang w:val="en-US" w:eastAsia="zh-CN"/>
                    </w:rPr>
                    <w:t>4</w:t>
                  </w:r>
                </w:p>
              </w:tc>
              <w:tc>
                <w:tcPr>
                  <w:tcW w:w="746" w:type="dxa"/>
                  <w:tcBorders>
                    <w:top w:val="single" w:color="auto" w:sz="6" w:space="0"/>
                    <w:bottom w:val="single" w:color="auto" w:sz="6" w:space="0"/>
                  </w:tcBorders>
                  <w:vAlign w:val="center"/>
                </w:tcPr>
                <w:p w14:paraId="3EA90506">
                  <w:pPr>
                    <w:pStyle w:val="122"/>
                    <w:spacing w:after="0"/>
                    <w:rPr>
                      <w:rFonts w:hint="eastAsia" w:eastAsia="宋体"/>
                      <w:color w:val="auto"/>
                      <w:szCs w:val="21"/>
                      <w:lang w:eastAsia="zh-CN"/>
                    </w:rPr>
                  </w:pPr>
                  <w:r>
                    <w:rPr>
                      <w:rFonts w:hint="eastAsia"/>
                      <w:color w:val="auto"/>
                      <w:szCs w:val="21"/>
                      <w:lang w:eastAsia="zh-CN"/>
                    </w:rPr>
                    <w:t>东北</w:t>
                  </w:r>
                </w:p>
              </w:tc>
              <w:tc>
                <w:tcPr>
                  <w:tcW w:w="1094" w:type="dxa"/>
                  <w:tcBorders>
                    <w:top w:val="single" w:color="auto" w:sz="6" w:space="0"/>
                    <w:bottom w:val="single" w:color="auto" w:sz="6" w:space="0"/>
                  </w:tcBorders>
                  <w:vAlign w:val="center"/>
                </w:tcPr>
                <w:p w14:paraId="760E896B">
                  <w:pPr>
                    <w:pStyle w:val="122"/>
                    <w:spacing w:after="0"/>
                    <w:rPr>
                      <w:rFonts w:hint="default" w:eastAsia="宋体"/>
                      <w:color w:val="auto"/>
                      <w:szCs w:val="21"/>
                      <w:lang w:val="en-US" w:eastAsia="zh-CN"/>
                    </w:rPr>
                  </w:pPr>
                  <w:r>
                    <w:rPr>
                      <w:rFonts w:hint="eastAsia"/>
                      <w:color w:val="auto"/>
                      <w:szCs w:val="21"/>
                      <w:lang w:val="en-US" w:eastAsia="zh-CN"/>
                    </w:rPr>
                    <w:t>3530</w:t>
                  </w:r>
                </w:p>
              </w:tc>
            </w:tr>
          </w:tbl>
          <w:p w14:paraId="515FFECE">
            <w:pPr>
              <w:numPr>
                <w:ilvl w:val="0"/>
                <w:numId w:val="7"/>
              </w:numPr>
              <w:adjustRightInd w:val="0"/>
              <w:snapToGrid w:val="0"/>
              <w:spacing w:line="360" w:lineRule="auto"/>
              <w:rPr>
                <w:color w:val="auto"/>
                <w:sz w:val="24"/>
              </w:rPr>
            </w:pPr>
            <w:r>
              <w:rPr>
                <w:color w:val="auto"/>
                <w:sz w:val="24"/>
              </w:rPr>
              <w:t>监测项目</w:t>
            </w:r>
          </w:p>
          <w:p w14:paraId="2C190C85">
            <w:pPr>
              <w:adjustRightInd w:val="0"/>
              <w:snapToGrid w:val="0"/>
              <w:spacing w:line="360" w:lineRule="auto"/>
              <w:ind w:firstLine="480" w:firstLineChars="200"/>
              <w:rPr>
                <w:color w:val="auto"/>
                <w:sz w:val="24"/>
              </w:rPr>
            </w:pPr>
            <w:r>
              <w:rPr>
                <w:color w:val="auto"/>
                <w:sz w:val="24"/>
              </w:rPr>
              <w:t>非甲烷总烃</w:t>
            </w:r>
            <w:r>
              <w:rPr>
                <w:rFonts w:hint="eastAsia"/>
                <w:color w:val="auto"/>
                <w:sz w:val="24"/>
                <w:lang w:eastAsia="zh-CN"/>
              </w:rPr>
              <w:t>、氨、硫化氢</w:t>
            </w:r>
            <w:r>
              <w:rPr>
                <w:color w:val="auto"/>
                <w:sz w:val="24"/>
              </w:rPr>
              <w:t>监测期间的气象要素。</w:t>
            </w:r>
          </w:p>
          <w:p w14:paraId="1077F4E0">
            <w:pPr>
              <w:numPr>
                <w:ilvl w:val="0"/>
                <w:numId w:val="7"/>
              </w:numPr>
              <w:adjustRightInd w:val="0"/>
              <w:snapToGrid w:val="0"/>
              <w:spacing w:line="360" w:lineRule="auto"/>
              <w:rPr>
                <w:color w:val="auto"/>
                <w:sz w:val="24"/>
              </w:rPr>
            </w:pPr>
            <w:r>
              <w:rPr>
                <w:color w:val="auto"/>
                <w:sz w:val="24"/>
              </w:rPr>
              <w:t>监测频次和时间</w:t>
            </w:r>
          </w:p>
          <w:p w14:paraId="66E0B8A9">
            <w:pPr>
              <w:adjustRightInd w:val="0"/>
              <w:snapToGrid w:val="0"/>
              <w:spacing w:line="360" w:lineRule="auto"/>
              <w:ind w:firstLine="480" w:firstLineChars="200"/>
              <w:rPr>
                <w:color w:val="auto"/>
                <w:sz w:val="24"/>
              </w:rPr>
            </w:pPr>
            <w:r>
              <w:rPr>
                <w:color w:val="auto"/>
                <w:sz w:val="24"/>
              </w:rPr>
              <w:t>非甲烷总烃</w:t>
            </w:r>
            <w:r>
              <w:rPr>
                <w:rFonts w:hint="eastAsia"/>
                <w:color w:val="auto"/>
                <w:sz w:val="24"/>
                <w:lang w:eastAsia="zh-CN"/>
              </w:rPr>
              <w:t>、氨、硫化氢</w:t>
            </w:r>
            <w:r>
              <w:rPr>
                <w:color w:val="auto"/>
                <w:sz w:val="24"/>
              </w:rPr>
              <w:t>监测时间为202</w:t>
            </w:r>
            <w:r>
              <w:rPr>
                <w:rFonts w:hint="eastAsia"/>
                <w:color w:val="auto"/>
                <w:sz w:val="24"/>
              </w:rPr>
              <w:t>3</w:t>
            </w:r>
            <w:r>
              <w:rPr>
                <w:color w:val="auto"/>
                <w:sz w:val="24"/>
              </w:rPr>
              <w:t>年</w:t>
            </w:r>
            <w:r>
              <w:rPr>
                <w:rFonts w:hint="eastAsia"/>
                <w:color w:val="auto"/>
                <w:sz w:val="24"/>
              </w:rPr>
              <w:t>1</w:t>
            </w:r>
            <w:r>
              <w:rPr>
                <w:rFonts w:hint="eastAsia"/>
                <w:color w:val="auto"/>
                <w:sz w:val="24"/>
                <w:lang w:val="en-US" w:eastAsia="zh-CN"/>
              </w:rPr>
              <w:t>2</w:t>
            </w:r>
            <w:r>
              <w:rPr>
                <w:color w:val="auto"/>
                <w:sz w:val="24"/>
              </w:rPr>
              <w:t>月</w:t>
            </w:r>
            <w:r>
              <w:rPr>
                <w:rFonts w:hint="eastAsia"/>
                <w:color w:val="auto"/>
                <w:sz w:val="24"/>
                <w:lang w:val="en-US" w:eastAsia="zh-CN"/>
              </w:rPr>
              <w:t>8</w:t>
            </w:r>
            <w:r>
              <w:rPr>
                <w:color w:val="auto"/>
                <w:sz w:val="24"/>
              </w:rPr>
              <w:t>日~202</w:t>
            </w:r>
            <w:r>
              <w:rPr>
                <w:rFonts w:hint="eastAsia"/>
                <w:color w:val="auto"/>
                <w:sz w:val="24"/>
              </w:rPr>
              <w:t>3</w:t>
            </w:r>
            <w:r>
              <w:rPr>
                <w:color w:val="auto"/>
                <w:sz w:val="24"/>
              </w:rPr>
              <w:t>年</w:t>
            </w:r>
            <w:r>
              <w:rPr>
                <w:rFonts w:hint="eastAsia"/>
                <w:color w:val="auto"/>
                <w:sz w:val="24"/>
              </w:rPr>
              <w:t>1</w:t>
            </w:r>
            <w:r>
              <w:rPr>
                <w:rFonts w:hint="eastAsia"/>
                <w:color w:val="auto"/>
                <w:sz w:val="24"/>
                <w:lang w:val="en-US" w:eastAsia="zh-CN"/>
              </w:rPr>
              <w:t>2</w:t>
            </w:r>
            <w:r>
              <w:rPr>
                <w:color w:val="auto"/>
                <w:sz w:val="24"/>
              </w:rPr>
              <w:t>月</w:t>
            </w:r>
            <w:r>
              <w:rPr>
                <w:rFonts w:hint="eastAsia"/>
                <w:color w:val="auto"/>
                <w:sz w:val="24"/>
              </w:rPr>
              <w:t>1</w:t>
            </w:r>
            <w:r>
              <w:rPr>
                <w:rFonts w:hint="eastAsia"/>
                <w:color w:val="auto"/>
                <w:sz w:val="24"/>
                <w:lang w:val="en-US" w:eastAsia="zh-CN"/>
              </w:rPr>
              <w:t>4</w:t>
            </w:r>
            <w:r>
              <w:rPr>
                <w:color w:val="auto"/>
                <w:sz w:val="24"/>
              </w:rPr>
              <w:t>日，连续检测7天，每天监测4次，获取当地时间02、08、14、20时4个小时浓度值。监测同时记录风向、风速、气压、气温等常规气象要素。</w:t>
            </w:r>
          </w:p>
          <w:p w14:paraId="18D9E657">
            <w:pPr>
              <w:numPr>
                <w:ilvl w:val="0"/>
                <w:numId w:val="7"/>
              </w:numPr>
              <w:adjustRightInd w:val="0"/>
              <w:snapToGrid w:val="0"/>
              <w:spacing w:line="360" w:lineRule="auto"/>
              <w:rPr>
                <w:color w:val="auto"/>
                <w:sz w:val="24"/>
              </w:rPr>
            </w:pPr>
            <w:r>
              <w:rPr>
                <w:color w:val="auto"/>
                <w:sz w:val="24"/>
              </w:rPr>
              <w:t>监测结果及评价</w:t>
            </w:r>
          </w:p>
          <w:p w14:paraId="188BCACE">
            <w:pPr>
              <w:adjustRightInd w:val="0"/>
              <w:snapToGrid w:val="0"/>
              <w:spacing w:line="360" w:lineRule="auto"/>
              <w:ind w:firstLine="480" w:firstLineChars="200"/>
              <w:rPr>
                <w:color w:val="auto"/>
                <w:sz w:val="24"/>
              </w:rPr>
            </w:pPr>
            <w:r>
              <w:rPr>
                <w:color w:val="auto"/>
                <w:sz w:val="24"/>
              </w:rPr>
              <w:t>具体监测结果见表3-2。</w:t>
            </w:r>
          </w:p>
          <w:p w14:paraId="157BB1C8">
            <w:pPr>
              <w:keepNext/>
              <w:adjustRightInd w:val="0"/>
              <w:snapToGrid w:val="0"/>
              <w:jc w:val="center"/>
              <w:rPr>
                <w:b/>
                <w:color w:val="auto"/>
                <w:szCs w:val="21"/>
              </w:rPr>
            </w:pPr>
            <w:r>
              <w:rPr>
                <w:b/>
                <w:color w:val="auto"/>
                <w:szCs w:val="21"/>
              </w:rPr>
              <w:t>表3-</w:t>
            </w:r>
            <w:r>
              <w:rPr>
                <w:rFonts w:hint="eastAsia"/>
                <w:b/>
                <w:color w:val="auto"/>
                <w:szCs w:val="21"/>
              </w:rPr>
              <w:t>2</w:t>
            </w:r>
            <w:r>
              <w:rPr>
                <w:b/>
                <w:color w:val="auto"/>
                <w:szCs w:val="21"/>
              </w:rPr>
              <w:t xml:space="preserve">  特征污染物环境质量现状（监测结果）表</w:t>
            </w:r>
          </w:p>
          <w:tbl>
            <w:tblPr>
              <w:tblStyle w:val="32"/>
              <w:tblW w:w="4961"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855"/>
              <w:gridCol w:w="718"/>
              <w:gridCol w:w="1266"/>
              <w:gridCol w:w="654"/>
              <w:gridCol w:w="547"/>
              <w:gridCol w:w="833"/>
              <w:gridCol w:w="941"/>
              <w:gridCol w:w="654"/>
              <w:gridCol w:w="547"/>
              <w:gridCol w:w="834"/>
              <w:gridCol w:w="474"/>
            </w:tblGrid>
            <w:tr w14:paraId="7DB362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856" w:type="dxa"/>
                  <w:vMerge w:val="restart"/>
                  <w:tcBorders>
                    <w:top w:val="single" w:color="auto" w:sz="12" w:space="0"/>
                    <w:left w:val="nil"/>
                  </w:tcBorders>
                  <w:vAlign w:val="center"/>
                </w:tcPr>
                <w:p w14:paraId="707EF29A">
                  <w:pPr>
                    <w:pStyle w:val="122"/>
                    <w:spacing w:after="0"/>
                    <w:rPr>
                      <w:b/>
                      <w:color w:val="auto"/>
                      <w:szCs w:val="21"/>
                    </w:rPr>
                  </w:pPr>
                  <w:r>
                    <w:rPr>
                      <w:b/>
                      <w:color w:val="auto"/>
                      <w:szCs w:val="21"/>
                    </w:rPr>
                    <w:t>测点名称</w:t>
                  </w:r>
                </w:p>
              </w:tc>
              <w:tc>
                <w:tcPr>
                  <w:tcW w:w="718" w:type="dxa"/>
                  <w:vMerge w:val="restart"/>
                  <w:tcBorders>
                    <w:top w:val="single" w:color="auto" w:sz="12" w:space="0"/>
                  </w:tcBorders>
                  <w:vAlign w:val="center"/>
                </w:tcPr>
                <w:p w14:paraId="118369E9">
                  <w:pPr>
                    <w:pStyle w:val="122"/>
                    <w:spacing w:after="0"/>
                    <w:rPr>
                      <w:b/>
                      <w:color w:val="auto"/>
                      <w:szCs w:val="21"/>
                    </w:rPr>
                  </w:pPr>
                  <w:r>
                    <w:rPr>
                      <w:b/>
                      <w:color w:val="auto"/>
                      <w:szCs w:val="21"/>
                    </w:rPr>
                    <w:t>项目</w:t>
                  </w:r>
                </w:p>
              </w:tc>
              <w:tc>
                <w:tcPr>
                  <w:tcW w:w="3300" w:type="dxa"/>
                  <w:gridSpan w:val="4"/>
                  <w:tcBorders>
                    <w:top w:val="single" w:color="auto" w:sz="12" w:space="0"/>
                  </w:tcBorders>
                  <w:vAlign w:val="center"/>
                </w:tcPr>
                <w:p w14:paraId="72C19908">
                  <w:pPr>
                    <w:pStyle w:val="122"/>
                    <w:spacing w:after="0"/>
                    <w:rPr>
                      <w:b/>
                      <w:color w:val="auto"/>
                      <w:szCs w:val="21"/>
                    </w:rPr>
                  </w:pPr>
                  <w:r>
                    <w:rPr>
                      <w:b/>
                      <w:color w:val="auto"/>
                      <w:szCs w:val="21"/>
                    </w:rPr>
                    <w:t>小时浓度</w:t>
                  </w:r>
                </w:p>
              </w:tc>
              <w:tc>
                <w:tcPr>
                  <w:tcW w:w="2976" w:type="dxa"/>
                  <w:gridSpan w:val="4"/>
                  <w:tcBorders>
                    <w:top w:val="single" w:color="auto" w:sz="12" w:space="0"/>
                  </w:tcBorders>
                  <w:vAlign w:val="center"/>
                </w:tcPr>
                <w:p w14:paraId="1FAFB4C3">
                  <w:pPr>
                    <w:pStyle w:val="122"/>
                    <w:spacing w:after="0"/>
                    <w:rPr>
                      <w:b/>
                      <w:color w:val="auto"/>
                      <w:szCs w:val="21"/>
                    </w:rPr>
                  </w:pPr>
                  <w:r>
                    <w:rPr>
                      <w:b/>
                      <w:color w:val="auto"/>
                      <w:szCs w:val="21"/>
                    </w:rPr>
                    <w:t>日均浓度</w:t>
                  </w:r>
                </w:p>
              </w:tc>
              <w:tc>
                <w:tcPr>
                  <w:tcW w:w="474" w:type="dxa"/>
                  <w:vMerge w:val="restart"/>
                  <w:tcBorders>
                    <w:top w:val="single" w:color="auto" w:sz="12" w:space="0"/>
                    <w:right w:val="nil"/>
                  </w:tcBorders>
                  <w:vAlign w:val="center"/>
                </w:tcPr>
                <w:p w14:paraId="641CADB0">
                  <w:pPr>
                    <w:pStyle w:val="122"/>
                    <w:spacing w:after="0"/>
                    <w:rPr>
                      <w:b/>
                      <w:color w:val="auto"/>
                      <w:szCs w:val="21"/>
                    </w:rPr>
                  </w:pPr>
                  <w:r>
                    <w:rPr>
                      <w:b/>
                      <w:color w:val="auto"/>
                      <w:szCs w:val="21"/>
                    </w:rPr>
                    <w:t>达标情况</w:t>
                  </w:r>
                </w:p>
              </w:tc>
            </w:tr>
            <w:tr w14:paraId="219DCE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856" w:type="dxa"/>
                  <w:vMerge w:val="continue"/>
                  <w:tcBorders>
                    <w:left w:val="nil"/>
                    <w:bottom w:val="single" w:color="auto" w:sz="6" w:space="0"/>
                  </w:tcBorders>
                  <w:vAlign w:val="center"/>
                </w:tcPr>
                <w:p w14:paraId="0043F3A2">
                  <w:pPr>
                    <w:pStyle w:val="122"/>
                    <w:spacing w:after="0"/>
                    <w:rPr>
                      <w:b/>
                      <w:color w:val="auto"/>
                      <w:szCs w:val="21"/>
                    </w:rPr>
                  </w:pPr>
                </w:p>
              </w:tc>
              <w:tc>
                <w:tcPr>
                  <w:tcW w:w="718" w:type="dxa"/>
                  <w:vMerge w:val="continue"/>
                  <w:tcBorders>
                    <w:bottom w:val="single" w:color="auto" w:sz="6" w:space="0"/>
                  </w:tcBorders>
                  <w:vAlign w:val="center"/>
                </w:tcPr>
                <w:p w14:paraId="45F254EC">
                  <w:pPr>
                    <w:pStyle w:val="122"/>
                    <w:spacing w:after="0"/>
                    <w:rPr>
                      <w:b/>
                      <w:color w:val="auto"/>
                      <w:szCs w:val="21"/>
                    </w:rPr>
                  </w:pPr>
                </w:p>
              </w:tc>
              <w:tc>
                <w:tcPr>
                  <w:tcW w:w="1266" w:type="dxa"/>
                  <w:tcBorders>
                    <w:bottom w:val="single" w:color="auto" w:sz="6" w:space="0"/>
                  </w:tcBorders>
                  <w:vAlign w:val="center"/>
                </w:tcPr>
                <w:p w14:paraId="42284D78">
                  <w:pPr>
                    <w:pStyle w:val="122"/>
                    <w:spacing w:after="0"/>
                    <w:rPr>
                      <w:b/>
                      <w:color w:val="auto"/>
                      <w:szCs w:val="21"/>
                    </w:rPr>
                  </w:pPr>
                  <w:r>
                    <w:rPr>
                      <w:b/>
                      <w:color w:val="auto"/>
                      <w:szCs w:val="21"/>
                    </w:rPr>
                    <w:t>浓度范围</w:t>
                  </w:r>
                </w:p>
                <w:p w14:paraId="74855091">
                  <w:pPr>
                    <w:pStyle w:val="122"/>
                    <w:spacing w:after="0"/>
                    <w:rPr>
                      <w:b/>
                      <w:color w:val="auto"/>
                      <w:szCs w:val="21"/>
                    </w:rPr>
                  </w:pPr>
                  <w:r>
                    <w:rPr>
                      <w:b/>
                      <w:color w:val="auto"/>
                      <w:szCs w:val="21"/>
                    </w:rPr>
                    <w:t>(mg/m</w:t>
                  </w:r>
                  <w:r>
                    <w:rPr>
                      <w:b/>
                      <w:color w:val="auto"/>
                      <w:szCs w:val="21"/>
                      <w:vertAlign w:val="superscript"/>
                    </w:rPr>
                    <w:t>3</w:t>
                  </w:r>
                  <w:r>
                    <w:rPr>
                      <w:b/>
                      <w:color w:val="auto"/>
                      <w:szCs w:val="21"/>
                    </w:rPr>
                    <w:t>)</w:t>
                  </w:r>
                </w:p>
              </w:tc>
              <w:tc>
                <w:tcPr>
                  <w:tcW w:w="654" w:type="dxa"/>
                  <w:tcBorders>
                    <w:bottom w:val="single" w:color="auto" w:sz="6" w:space="0"/>
                  </w:tcBorders>
                  <w:vAlign w:val="center"/>
                </w:tcPr>
                <w:p w14:paraId="4B32CFA3">
                  <w:pPr>
                    <w:pStyle w:val="122"/>
                    <w:spacing w:after="0"/>
                    <w:rPr>
                      <w:b/>
                      <w:color w:val="auto"/>
                      <w:szCs w:val="21"/>
                    </w:rPr>
                  </w:pPr>
                  <w:r>
                    <w:rPr>
                      <w:b/>
                      <w:color w:val="auto"/>
                      <w:szCs w:val="21"/>
                    </w:rPr>
                    <w:t>最大占标率%</w:t>
                  </w:r>
                </w:p>
              </w:tc>
              <w:tc>
                <w:tcPr>
                  <w:tcW w:w="547" w:type="dxa"/>
                  <w:tcBorders>
                    <w:bottom w:val="single" w:color="auto" w:sz="6" w:space="0"/>
                  </w:tcBorders>
                  <w:vAlign w:val="center"/>
                </w:tcPr>
                <w:p w14:paraId="2749131F">
                  <w:pPr>
                    <w:pStyle w:val="122"/>
                    <w:spacing w:after="0"/>
                    <w:rPr>
                      <w:b/>
                      <w:color w:val="auto"/>
                      <w:szCs w:val="21"/>
                    </w:rPr>
                  </w:pPr>
                  <w:r>
                    <w:rPr>
                      <w:b/>
                      <w:color w:val="auto"/>
                      <w:szCs w:val="21"/>
                    </w:rPr>
                    <w:t>超标率%</w:t>
                  </w:r>
                </w:p>
              </w:tc>
              <w:tc>
                <w:tcPr>
                  <w:tcW w:w="833" w:type="dxa"/>
                  <w:tcBorders>
                    <w:bottom w:val="single" w:color="auto" w:sz="6" w:space="0"/>
                  </w:tcBorders>
                  <w:vAlign w:val="center"/>
                </w:tcPr>
                <w:p w14:paraId="7374B5A2">
                  <w:pPr>
                    <w:pStyle w:val="122"/>
                    <w:spacing w:after="0"/>
                    <w:rPr>
                      <w:b/>
                      <w:color w:val="auto"/>
                      <w:szCs w:val="21"/>
                    </w:rPr>
                  </w:pPr>
                  <w:r>
                    <w:rPr>
                      <w:b/>
                      <w:color w:val="auto"/>
                      <w:szCs w:val="21"/>
                    </w:rPr>
                    <w:t>标准值</w:t>
                  </w:r>
                </w:p>
                <w:p w14:paraId="5F94B196">
                  <w:pPr>
                    <w:pStyle w:val="122"/>
                    <w:spacing w:after="0"/>
                    <w:rPr>
                      <w:b/>
                      <w:color w:val="auto"/>
                      <w:szCs w:val="21"/>
                    </w:rPr>
                  </w:pPr>
                  <w:r>
                    <w:rPr>
                      <w:b/>
                      <w:color w:val="auto"/>
                      <w:szCs w:val="21"/>
                    </w:rPr>
                    <w:t>(mg/m</w:t>
                  </w:r>
                  <w:r>
                    <w:rPr>
                      <w:b/>
                      <w:color w:val="auto"/>
                      <w:szCs w:val="21"/>
                      <w:vertAlign w:val="superscript"/>
                    </w:rPr>
                    <w:t>3</w:t>
                  </w:r>
                  <w:r>
                    <w:rPr>
                      <w:b/>
                      <w:color w:val="auto"/>
                      <w:szCs w:val="21"/>
                    </w:rPr>
                    <w:t>)</w:t>
                  </w:r>
                </w:p>
              </w:tc>
              <w:tc>
                <w:tcPr>
                  <w:tcW w:w="941" w:type="dxa"/>
                  <w:tcBorders>
                    <w:bottom w:val="single" w:color="auto" w:sz="6" w:space="0"/>
                  </w:tcBorders>
                  <w:vAlign w:val="center"/>
                </w:tcPr>
                <w:p w14:paraId="298631CC">
                  <w:pPr>
                    <w:pStyle w:val="122"/>
                    <w:spacing w:after="0"/>
                    <w:rPr>
                      <w:b/>
                      <w:color w:val="auto"/>
                      <w:szCs w:val="21"/>
                    </w:rPr>
                  </w:pPr>
                  <w:r>
                    <w:rPr>
                      <w:b/>
                      <w:color w:val="auto"/>
                      <w:szCs w:val="21"/>
                    </w:rPr>
                    <w:t>浓度范围</w:t>
                  </w:r>
                </w:p>
                <w:p w14:paraId="097E449B">
                  <w:pPr>
                    <w:pStyle w:val="122"/>
                    <w:spacing w:after="0"/>
                    <w:rPr>
                      <w:b/>
                      <w:color w:val="auto"/>
                      <w:szCs w:val="21"/>
                    </w:rPr>
                  </w:pPr>
                  <w:r>
                    <w:rPr>
                      <w:b/>
                      <w:color w:val="auto"/>
                      <w:szCs w:val="21"/>
                    </w:rPr>
                    <w:t>(mg/m</w:t>
                  </w:r>
                  <w:r>
                    <w:rPr>
                      <w:b/>
                      <w:color w:val="auto"/>
                      <w:szCs w:val="21"/>
                      <w:vertAlign w:val="superscript"/>
                    </w:rPr>
                    <w:t>3</w:t>
                  </w:r>
                  <w:r>
                    <w:rPr>
                      <w:b/>
                      <w:color w:val="auto"/>
                      <w:szCs w:val="21"/>
                    </w:rPr>
                    <w:t>)</w:t>
                  </w:r>
                </w:p>
              </w:tc>
              <w:tc>
                <w:tcPr>
                  <w:tcW w:w="654" w:type="dxa"/>
                  <w:tcBorders>
                    <w:bottom w:val="single" w:color="auto" w:sz="6" w:space="0"/>
                  </w:tcBorders>
                  <w:vAlign w:val="center"/>
                </w:tcPr>
                <w:p w14:paraId="01B4C003">
                  <w:pPr>
                    <w:pStyle w:val="122"/>
                    <w:spacing w:after="0"/>
                    <w:rPr>
                      <w:b/>
                      <w:color w:val="auto"/>
                      <w:szCs w:val="21"/>
                    </w:rPr>
                  </w:pPr>
                  <w:r>
                    <w:rPr>
                      <w:b/>
                      <w:color w:val="auto"/>
                      <w:szCs w:val="21"/>
                    </w:rPr>
                    <w:t>最大占标率%</w:t>
                  </w:r>
                </w:p>
              </w:tc>
              <w:tc>
                <w:tcPr>
                  <w:tcW w:w="547" w:type="dxa"/>
                  <w:tcBorders>
                    <w:bottom w:val="single" w:color="auto" w:sz="6" w:space="0"/>
                  </w:tcBorders>
                  <w:vAlign w:val="center"/>
                </w:tcPr>
                <w:p w14:paraId="32687538">
                  <w:pPr>
                    <w:pStyle w:val="122"/>
                    <w:spacing w:after="0"/>
                    <w:rPr>
                      <w:b/>
                      <w:color w:val="auto"/>
                      <w:szCs w:val="21"/>
                    </w:rPr>
                  </w:pPr>
                  <w:r>
                    <w:rPr>
                      <w:b/>
                      <w:color w:val="auto"/>
                      <w:szCs w:val="21"/>
                    </w:rPr>
                    <w:t>超标率%</w:t>
                  </w:r>
                </w:p>
              </w:tc>
              <w:tc>
                <w:tcPr>
                  <w:tcW w:w="834" w:type="dxa"/>
                  <w:tcBorders>
                    <w:bottom w:val="single" w:color="auto" w:sz="6" w:space="0"/>
                  </w:tcBorders>
                  <w:vAlign w:val="center"/>
                </w:tcPr>
                <w:p w14:paraId="06814283">
                  <w:pPr>
                    <w:pStyle w:val="122"/>
                    <w:spacing w:after="0"/>
                    <w:rPr>
                      <w:b/>
                      <w:color w:val="auto"/>
                      <w:szCs w:val="21"/>
                    </w:rPr>
                  </w:pPr>
                  <w:r>
                    <w:rPr>
                      <w:b/>
                      <w:color w:val="auto"/>
                      <w:szCs w:val="21"/>
                    </w:rPr>
                    <w:t>标准值</w:t>
                  </w:r>
                </w:p>
                <w:p w14:paraId="432E5093">
                  <w:pPr>
                    <w:pStyle w:val="122"/>
                    <w:spacing w:after="0"/>
                    <w:rPr>
                      <w:b/>
                      <w:color w:val="auto"/>
                      <w:szCs w:val="21"/>
                    </w:rPr>
                  </w:pPr>
                  <w:r>
                    <w:rPr>
                      <w:b/>
                      <w:color w:val="auto"/>
                      <w:szCs w:val="21"/>
                    </w:rPr>
                    <w:t>(mg/m</w:t>
                  </w:r>
                  <w:r>
                    <w:rPr>
                      <w:b/>
                      <w:color w:val="auto"/>
                      <w:szCs w:val="21"/>
                      <w:vertAlign w:val="superscript"/>
                    </w:rPr>
                    <w:t>3</w:t>
                  </w:r>
                  <w:r>
                    <w:rPr>
                      <w:b/>
                      <w:color w:val="auto"/>
                      <w:szCs w:val="21"/>
                    </w:rPr>
                    <w:t>)</w:t>
                  </w:r>
                </w:p>
              </w:tc>
              <w:tc>
                <w:tcPr>
                  <w:tcW w:w="474" w:type="dxa"/>
                  <w:vMerge w:val="continue"/>
                  <w:tcBorders>
                    <w:bottom w:val="single" w:color="auto" w:sz="6" w:space="0"/>
                    <w:right w:val="nil"/>
                  </w:tcBorders>
                  <w:vAlign w:val="center"/>
                </w:tcPr>
                <w:p w14:paraId="6A7EEFCA">
                  <w:pPr>
                    <w:pStyle w:val="122"/>
                    <w:spacing w:after="0"/>
                    <w:rPr>
                      <w:color w:val="auto"/>
                      <w:szCs w:val="21"/>
                    </w:rPr>
                  </w:pPr>
                </w:p>
              </w:tc>
            </w:tr>
            <w:tr w14:paraId="609625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56" w:type="dxa"/>
                  <w:vMerge w:val="restart"/>
                  <w:tcBorders>
                    <w:top w:val="single" w:color="auto" w:sz="6" w:space="0"/>
                    <w:left w:val="nil"/>
                    <w:bottom w:val="single" w:color="auto" w:sz="6" w:space="0"/>
                  </w:tcBorders>
                  <w:vAlign w:val="center"/>
                </w:tcPr>
                <w:p w14:paraId="61F82C1E">
                  <w:pPr>
                    <w:pStyle w:val="122"/>
                    <w:spacing w:after="0"/>
                    <w:rPr>
                      <w:color w:val="auto"/>
                      <w:szCs w:val="21"/>
                    </w:rPr>
                  </w:pPr>
                  <w:r>
                    <w:rPr>
                      <w:color w:val="auto"/>
                      <w:szCs w:val="21"/>
                    </w:rPr>
                    <w:t>G</w:t>
                  </w:r>
                  <w:r>
                    <w:rPr>
                      <w:rFonts w:hint="eastAsia"/>
                      <w:color w:val="auto"/>
                      <w:szCs w:val="21"/>
                      <w:lang w:val="en-US" w:eastAsia="zh-CN"/>
                    </w:rPr>
                    <w:t>1</w:t>
                  </w:r>
                  <w:r>
                    <w:rPr>
                      <w:rFonts w:hint="eastAsia" w:ascii="Times New Roman" w:hAnsi="Times New Roman" w:eastAsia="宋体" w:cs="Times New Roman"/>
                      <w:color w:val="auto"/>
                      <w:szCs w:val="21"/>
                      <w:lang w:eastAsia="zh-CN"/>
                    </w:rPr>
                    <w:t>嘉立创公司厂区外西南角</w:t>
                  </w:r>
                </w:p>
              </w:tc>
              <w:tc>
                <w:tcPr>
                  <w:tcW w:w="718" w:type="dxa"/>
                  <w:tcBorders>
                    <w:top w:val="single" w:color="auto" w:sz="6" w:space="0"/>
                    <w:bottom w:val="single" w:color="auto" w:sz="6" w:space="0"/>
                  </w:tcBorders>
                  <w:vAlign w:val="center"/>
                </w:tcPr>
                <w:p w14:paraId="527E1309">
                  <w:pPr>
                    <w:pStyle w:val="122"/>
                    <w:spacing w:after="0"/>
                    <w:rPr>
                      <w:rFonts w:hint="eastAsia" w:eastAsia="宋体"/>
                      <w:color w:val="auto"/>
                      <w:szCs w:val="21"/>
                      <w:lang w:eastAsia="zh-CN"/>
                    </w:rPr>
                  </w:pPr>
                  <w:r>
                    <w:rPr>
                      <w:rFonts w:hint="eastAsia"/>
                      <w:color w:val="auto"/>
                      <w:szCs w:val="21"/>
                      <w:lang w:eastAsia="zh-CN"/>
                    </w:rPr>
                    <w:t>硫化氢</w:t>
                  </w:r>
                </w:p>
              </w:tc>
              <w:tc>
                <w:tcPr>
                  <w:tcW w:w="1266" w:type="dxa"/>
                  <w:tcBorders>
                    <w:top w:val="single" w:color="auto" w:sz="6" w:space="0"/>
                    <w:bottom w:val="single" w:color="auto" w:sz="6" w:space="0"/>
                  </w:tcBorders>
                  <w:vAlign w:val="center"/>
                </w:tcPr>
                <w:p w14:paraId="188498D5">
                  <w:pPr>
                    <w:pStyle w:val="122"/>
                    <w:spacing w:after="0"/>
                    <w:rPr>
                      <w:color w:val="auto"/>
                      <w:szCs w:val="21"/>
                    </w:rPr>
                  </w:pPr>
                  <w:r>
                    <w:rPr>
                      <w:rFonts w:hint="eastAsia" w:eastAsiaTheme="minorEastAsia"/>
                      <w:color w:val="auto"/>
                      <w:kern w:val="0"/>
                      <w:sz w:val="21"/>
                      <w:szCs w:val="21"/>
                    </w:rPr>
                    <w:t>0</w:t>
                  </w:r>
                  <w:r>
                    <w:rPr>
                      <w:rFonts w:eastAsiaTheme="minorEastAsia"/>
                      <w:color w:val="auto"/>
                      <w:kern w:val="0"/>
                      <w:sz w:val="21"/>
                      <w:szCs w:val="21"/>
                    </w:rPr>
                    <w:t>.002</w:t>
                  </w:r>
                  <w:r>
                    <w:rPr>
                      <w:rFonts w:hint="eastAsia" w:eastAsiaTheme="minorEastAsia"/>
                      <w:color w:val="auto"/>
                      <w:kern w:val="0"/>
                      <w:sz w:val="21"/>
                      <w:szCs w:val="21"/>
                    </w:rPr>
                    <w:t>~</w:t>
                  </w:r>
                  <w:r>
                    <w:rPr>
                      <w:rFonts w:eastAsiaTheme="minorEastAsia"/>
                      <w:color w:val="auto"/>
                      <w:kern w:val="0"/>
                      <w:sz w:val="21"/>
                      <w:szCs w:val="21"/>
                    </w:rPr>
                    <w:t>0.007</w:t>
                  </w:r>
                </w:p>
              </w:tc>
              <w:tc>
                <w:tcPr>
                  <w:tcW w:w="654" w:type="dxa"/>
                  <w:tcBorders>
                    <w:top w:val="single" w:color="auto" w:sz="6" w:space="0"/>
                    <w:bottom w:val="single" w:color="auto" w:sz="6" w:space="0"/>
                  </w:tcBorders>
                  <w:vAlign w:val="center"/>
                </w:tcPr>
                <w:p w14:paraId="71131552">
                  <w:pPr>
                    <w:pStyle w:val="122"/>
                    <w:spacing w:after="0"/>
                    <w:rPr>
                      <w:color w:val="auto"/>
                      <w:szCs w:val="21"/>
                    </w:rPr>
                  </w:pPr>
                  <w:r>
                    <w:rPr>
                      <w:rFonts w:hint="eastAsia" w:eastAsiaTheme="minorEastAsia"/>
                      <w:color w:val="auto"/>
                      <w:kern w:val="0"/>
                      <w:sz w:val="21"/>
                      <w:szCs w:val="21"/>
                    </w:rPr>
                    <w:t>7</w:t>
                  </w:r>
                  <w:r>
                    <w:rPr>
                      <w:rFonts w:eastAsiaTheme="minorEastAsia"/>
                      <w:color w:val="auto"/>
                      <w:kern w:val="0"/>
                      <w:sz w:val="21"/>
                      <w:szCs w:val="21"/>
                    </w:rPr>
                    <w:t>0</w:t>
                  </w:r>
                </w:p>
              </w:tc>
              <w:tc>
                <w:tcPr>
                  <w:tcW w:w="547" w:type="dxa"/>
                  <w:tcBorders>
                    <w:top w:val="single" w:color="auto" w:sz="6" w:space="0"/>
                    <w:bottom w:val="single" w:color="auto" w:sz="6" w:space="0"/>
                  </w:tcBorders>
                  <w:vAlign w:val="center"/>
                </w:tcPr>
                <w:p w14:paraId="7542C255">
                  <w:pPr>
                    <w:pStyle w:val="122"/>
                    <w:spacing w:after="0"/>
                    <w:rPr>
                      <w:color w:val="auto"/>
                      <w:szCs w:val="21"/>
                    </w:rPr>
                  </w:pPr>
                  <w:r>
                    <w:rPr>
                      <w:color w:val="auto"/>
                      <w:szCs w:val="21"/>
                    </w:rPr>
                    <w:t>0</w:t>
                  </w:r>
                </w:p>
              </w:tc>
              <w:tc>
                <w:tcPr>
                  <w:tcW w:w="833" w:type="dxa"/>
                  <w:tcBorders>
                    <w:top w:val="single" w:color="auto" w:sz="6" w:space="0"/>
                    <w:bottom w:val="single" w:color="auto" w:sz="6" w:space="0"/>
                  </w:tcBorders>
                  <w:vAlign w:val="center"/>
                </w:tcPr>
                <w:p w14:paraId="44500675">
                  <w:pPr>
                    <w:pStyle w:val="122"/>
                    <w:spacing w:after="0"/>
                    <w:rPr>
                      <w:rFonts w:hint="default" w:eastAsia="宋体"/>
                      <w:color w:val="auto"/>
                      <w:szCs w:val="21"/>
                      <w:lang w:val="en-US" w:eastAsia="zh-CN"/>
                    </w:rPr>
                  </w:pPr>
                  <w:r>
                    <w:rPr>
                      <w:rFonts w:hint="eastAsia"/>
                      <w:color w:val="auto"/>
                      <w:szCs w:val="21"/>
                      <w:lang w:val="en-US" w:eastAsia="zh-CN"/>
                    </w:rPr>
                    <w:t>0.01</w:t>
                  </w:r>
                </w:p>
              </w:tc>
              <w:tc>
                <w:tcPr>
                  <w:tcW w:w="941" w:type="dxa"/>
                  <w:tcBorders>
                    <w:top w:val="single" w:color="auto" w:sz="6" w:space="0"/>
                    <w:bottom w:val="single" w:color="auto" w:sz="6" w:space="0"/>
                  </w:tcBorders>
                  <w:vAlign w:val="center"/>
                </w:tcPr>
                <w:p w14:paraId="1B8718F7">
                  <w:pPr>
                    <w:pStyle w:val="122"/>
                    <w:spacing w:after="0"/>
                    <w:rPr>
                      <w:color w:val="auto"/>
                      <w:szCs w:val="21"/>
                    </w:rPr>
                  </w:pPr>
                  <w:r>
                    <w:rPr>
                      <w:color w:val="auto"/>
                      <w:szCs w:val="21"/>
                    </w:rPr>
                    <w:t>/</w:t>
                  </w:r>
                </w:p>
              </w:tc>
              <w:tc>
                <w:tcPr>
                  <w:tcW w:w="654" w:type="dxa"/>
                  <w:tcBorders>
                    <w:top w:val="single" w:color="auto" w:sz="6" w:space="0"/>
                    <w:bottom w:val="single" w:color="auto" w:sz="6" w:space="0"/>
                  </w:tcBorders>
                  <w:vAlign w:val="center"/>
                </w:tcPr>
                <w:p w14:paraId="6824D8DA">
                  <w:pPr>
                    <w:pStyle w:val="122"/>
                    <w:spacing w:after="0"/>
                    <w:rPr>
                      <w:color w:val="auto"/>
                      <w:szCs w:val="21"/>
                    </w:rPr>
                  </w:pPr>
                  <w:r>
                    <w:rPr>
                      <w:color w:val="auto"/>
                      <w:szCs w:val="21"/>
                    </w:rPr>
                    <w:t>/</w:t>
                  </w:r>
                </w:p>
              </w:tc>
              <w:tc>
                <w:tcPr>
                  <w:tcW w:w="547" w:type="dxa"/>
                  <w:tcBorders>
                    <w:top w:val="single" w:color="auto" w:sz="6" w:space="0"/>
                    <w:bottom w:val="single" w:color="auto" w:sz="6" w:space="0"/>
                  </w:tcBorders>
                  <w:vAlign w:val="center"/>
                </w:tcPr>
                <w:p w14:paraId="7A8096C0">
                  <w:pPr>
                    <w:pStyle w:val="122"/>
                    <w:spacing w:after="0"/>
                    <w:rPr>
                      <w:color w:val="auto"/>
                      <w:szCs w:val="21"/>
                    </w:rPr>
                  </w:pPr>
                  <w:r>
                    <w:rPr>
                      <w:color w:val="auto"/>
                      <w:szCs w:val="21"/>
                    </w:rPr>
                    <w:t>/</w:t>
                  </w:r>
                </w:p>
              </w:tc>
              <w:tc>
                <w:tcPr>
                  <w:tcW w:w="834" w:type="dxa"/>
                  <w:tcBorders>
                    <w:top w:val="single" w:color="auto" w:sz="6" w:space="0"/>
                    <w:bottom w:val="single" w:color="auto" w:sz="6" w:space="0"/>
                  </w:tcBorders>
                  <w:vAlign w:val="center"/>
                </w:tcPr>
                <w:p w14:paraId="731F473F">
                  <w:pPr>
                    <w:pStyle w:val="122"/>
                    <w:spacing w:after="0"/>
                    <w:rPr>
                      <w:color w:val="auto"/>
                      <w:szCs w:val="21"/>
                    </w:rPr>
                  </w:pPr>
                  <w:r>
                    <w:rPr>
                      <w:color w:val="auto"/>
                      <w:szCs w:val="21"/>
                    </w:rPr>
                    <w:t>/</w:t>
                  </w:r>
                </w:p>
              </w:tc>
              <w:tc>
                <w:tcPr>
                  <w:tcW w:w="474" w:type="dxa"/>
                  <w:tcBorders>
                    <w:top w:val="single" w:color="auto" w:sz="6" w:space="0"/>
                    <w:bottom w:val="single" w:color="auto" w:sz="6" w:space="0"/>
                    <w:right w:val="nil"/>
                  </w:tcBorders>
                  <w:vAlign w:val="center"/>
                </w:tcPr>
                <w:p w14:paraId="5F92F2B6">
                  <w:pPr>
                    <w:pStyle w:val="122"/>
                    <w:spacing w:after="0"/>
                    <w:rPr>
                      <w:color w:val="auto"/>
                      <w:szCs w:val="21"/>
                    </w:rPr>
                  </w:pPr>
                  <w:r>
                    <w:rPr>
                      <w:color w:val="auto"/>
                      <w:szCs w:val="21"/>
                    </w:rPr>
                    <w:t>达标</w:t>
                  </w:r>
                </w:p>
              </w:tc>
            </w:tr>
            <w:tr w14:paraId="12C35A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56" w:type="dxa"/>
                  <w:vMerge w:val="continue"/>
                  <w:tcBorders>
                    <w:top w:val="single" w:color="auto" w:sz="6" w:space="0"/>
                    <w:left w:val="nil"/>
                    <w:bottom w:val="single" w:color="auto" w:sz="6" w:space="0"/>
                  </w:tcBorders>
                  <w:vAlign w:val="center"/>
                </w:tcPr>
                <w:p w14:paraId="1E614262">
                  <w:pPr>
                    <w:pStyle w:val="122"/>
                    <w:spacing w:after="0"/>
                    <w:rPr>
                      <w:rFonts w:hint="default" w:ascii="Times New Roman" w:hAnsi="Times New Roman" w:eastAsia="宋体" w:cs="Times New Roman"/>
                      <w:color w:val="auto"/>
                      <w:kern w:val="2"/>
                      <w:sz w:val="21"/>
                      <w:szCs w:val="21"/>
                      <w:lang w:val="en-US" w:eastAsia="zh-CN" w:bidi="ar-SA"/>
                    </w:rPr>
                  </w:pPr>
                </w:p>
              </w:tc>
              <w:tc>
                <w:tcPr>
                  <w:tcW w:w="718" w:type="dxa"/>
                  <w:tcBorders>
                    <w:top w:val="single" w:color="auto" w:sz="6" w:space="0"/>
                    <w:bottom w:val="single" w:color="auto" w:sz="6" w:space="0"/>
                  </w:tcBorders>
                  <w:vAlign w:val="center"/>
                </w:tcPr>
                <w:p w14:paraId="51247E32">
                  <w:pPr>
                    <w:pStyle w:val="122"/>
                    <w:spacing w:after="0"/>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氨</w:t>
                  </w:r>
                </w:p>
              </w:tc>
              <w:tc>
                <w:tcPr>
                  <w:tcW w:w="1266" w:type="dxa"/>
                  <w:tcBorders>
                    <w:top w:val="single" w:color="auto" w:sz="6" w:space="0"/>
                    <w:bottom w:val="single" w:color="auto" w:sz="6" w:space="0"/>
                  </w:tcBorders>
                  <w:vAlign w:val="center"/>
                </w:tcPr>
                <w:p w14:paraId="04C43993">
                  <w:pPr>
                    <w:pStyle w:val="122"/>
                    <w:spacing w:after="0"/>
                    <w:rPr>
                      <w:rFonts w:hint="default" w:eastAsia="宋体"/>
                      <w:color w:val="auto"/>
                      <w:szCs w:val="21"/>
                      <w:lang w:val="en-US" w:eastAsia="zh-CN"/>
                    </w:rPr>
                  </w:pPr>
                  <w:r>
                    <w:rPr>
                      <w:rFonts w:hint="eastAsia" w:eastAsiaTheme="minorEastAsia"/>
                      <w:color w:val="auto"/>
                      <w:kern w:val="0"/>
                      <w:sz w:val="21"/>
                      <w:szCs w:val="21"/>
                    </w:rPr>
                    <w:t>0</w:t>
                  </w:r>
                  <w:r>
                    <w:rPr>
                      <w:rFonts w:eastAsiaTheme="minorEastAsia"/>
                      <w:color w:val="auto"/>
                      <w:kern w:val="0"/>
                      <w:sz w:val="21"/>
                      <w:szCs w:val="21"/>
                    </w:rPr>
                    <w:t>.03</w:t>
                  </w:r>
                  <w:r>
                    <w:rPr>
                      <w:rFonts w:hint="eastAsia" w:eastAsiaTheme="minorEastAsia"/>
                      <w:color w:val="auto"/>
                      <w:kern w:val="0"/>
                      <w:sz w:val="21"/>
                      <w:szCs w:val="21"/>
                    </w:rPr>
                    <w:t>~</w:t>
                  </w:r>
                  <w:r>
                    <w:rPr>
                      <w:rFonts w:eastAsiaTheme="minorEastAsia"/>
                      <w:color w:val="auto"/>
                      <w:kern w:val="0"/>
                      <w:sz w:val="21"/>
                      <w:szCs w:val="21"/>
                    </w:rPr>
                    <w:t>0.09</w:t>
                  </w:r>
                </w:p>
              </w:tc>
              <w:tc>
                <w:tcPr>
                  <w:tcW w:w="654" w:type="dxa"/>
                  <w:tcBorders>
                    <w:top w:val="single" w:color="auto" w:sz="6" w:space="0"/>
                    <w:bottom w:val="single" w:color="auto" w:sz="6" w:space="0"/>
                  </w:tcBorders>
                  <w:vAlign w:val="center"/>
                </w:tcPr>
                <w:p w14:paraId="5D90F833">
                  <w:pPr>
                    <w:pStyle w:val="122"/>
                    <w:spacing w:after="0"/>
                    <w:rPr>
                      <w:rFonts w:hint="default" w:eastAsia="宋体"/>
                      <w:color w:val="auto"/>
                      <w:szCs w:val="21"/>
                      <w:lang w:val="en-US" w:eastAsia="zh-CN"/>
                    </w:rPr>
                  </w:pPr>
                  <w:r>
                    <w:rPr>
                      <w:rFonts w:hint="eastAsia" w:eastAsia="宋体"/>
                      <w:color w:val="auto"/>
                      <w:szCs w:val="21"/>
                      <w:lang w:val="en-US" w:eastAsia="zh-CN"/>
                    </w:rPr>
                    <w:t>45</w:t>
                  </w:r>
                </w:p>
              </w:tc>
              <w:tc>
                <w:tcPr>
                  <w:tcW w:w="547" w:type="dxa"/>
                  <w:tcBorders>
                    <w:top w:val="single" w:color="auto" w:sz="6" w:space="0"/>
                    <w:bottom w:val="single" w:color="auto" w:sz="6" w:space="0"/>
                  </w:tcBorders>
                  <w:vAlign w:val="center"/>
                </w:tcPr>
                <w:p w14:paraId="01E9AF9A">
                  <w:pPr>
                    <w:pStyle w:val="122"/>
                    <w:spacing w:after="0"/>
                    <w:rPr>
                      <w:color w:val="auto"/>
                      <w:szCs w:val="21"/>
                    </w:rPr>
                  </w:pPr>
                  <w:r>
                    <w:rPr>
                      <w:color w:val="auto"/>
                      <w:szCs w:val="21"/>
                    </w:rPr>
                    <w:t>0</w:t>
                  </w:r>
                </w:p>
              </w:tc>
              <w:tc>
                <w:tcPr>
                  <w:tcW w:w="833" w:type="dxa"/>
                  <w:tcBorders>
                    <w:top w:val="single" w:color="auto" w:sz="6" w:space="0"/>
                    <w:bottom w:val="single" w:color="auto" w:sz="6" w:space="0"/>
                  </w:tcBorders>
                  <w:vAlign w:val="center"/>
                </w:tcPr>
                <w:p w14:paraId="5075E098">
                  <w:pPr>
                    <w:pStyle w:val="122"/>
                    <w:spacing w:after="0"/>
                    <w:rPr>
                      <w:rFonts w:hint="default" w:eastAsia="宋体"/>
                      <w:color w:val="auto"/>
                      <w:szCs w:val="21"/>
                      <w:lang w:val="en-US" w:eastAsia="zh-CN"/>
                    </w:rPr>
                  </w:pPr>
                  <w:r>
                    <w:rPr>
                      <w:rFonts w:hint="eastAsia"/>
                      <w:color w:val="auto"/>
                      <w:szCs w:val="21"/>
                      <w:lang w:val="en-US" w:eastAsia="zh-CN"/>
                    </w:rPr>
                    <w:t>0.2</w:t>
                  </w:r>
                </w:p>
              </w:tc>
              <w:tc>
                <w:tcPr>
                  <w:tcW w:w="941" w:type="dxa"/>
                  <w:tcBorders>
                    <w:top w:val="single" w:color="auto" w:sz="6" w:space="0"/>
                    <w:bottom w:val="single" w:color="auto" w:sz="6" w:space="0"/>
                  </w:tcBorders>
                  <w:vAlign w:val="center"/>
                </w:tcPr>
                <w:p w14:paraId="136FDFFB">
                  <w:pPr>
                    <w:pStyle w:val="122"/>
                    <w:spacing w:after="0"/>
                    <w:rPr>
                      <w:rFonts w:ascii="Times New Roman" w:hAnsi="Times New Roman" w:eastAsia="宋体" w:cs="Times New Roman"/>
                      <w:color w:val="auto"/>
                      <w:kern w:val="2"/>
                      <w:sz w:val="21"/>
                      <w:szCs w:val="21"/>
                      <w:lang w:val="en-US" w:eastAsia="zh-CN" w:bidi="ar-SA"/>
                    </w:rPr>
                  </w:pPr>
                  <w:r>
                    <w:rPr>
                      <w:color w:val="auto"/>
                      <w:szCs w:val="21"/>
                    </w:rPr>
                    <w:t>/</w:t>
                  </w:r>
                </w:p>
              </w:tc>
              <w:tc>
                <w:tcPr>
                  <w:tcW w:w="654" w:type="dxa"/>
                  <w:tcBorders>
                    <w:top w:val="single" w:color="auto" w:sz="6" w:space="0"/>
                    <w:bottom w:val="single" w:color="auto" w:sz="6" w:space="0"/>
                  </w:tcBorders>
                  <w:vAlign w:val="center"/>
                </w:tcPr>
                <w:p w14:paraId="522CF890">
                  <w:pPr>
                    <w:pStyle w:val="122"/>
                    <w:spacing w:after="0"/>
                    <w:rPr>
                      <w:rFonts w:ascii="Times New Roman" w:hAnsi="Times New Roman" w:eastAsia="宋体" w:cs="Times New Roman"/>
                      <w:color w:val="auto"/>
                      <w:kern w:val="2"/>
                      <w:sz w:val="21"/>
                      <w:szCs w:val="21"/>
                      <w:lang w:val="en-US" w:eastAsia="zh-CN" w:bidi="ar-SA"/>
                    </w:rPr>
                  </w:pPr>
                  <w:r>
                    <w:rPr>
                      <w:color w:val="auto"/>
                      <w:szCs w:val="21"/>
                    </w:rPr>
                    <w:t>/</w:t>
                  </w:r>
                </w:p>
              </w:tc>
              <w:tc>
                <w:tcPr>
                  <w:tcW w:w="547" w:type="dxa"/>
                  <w:tcBorders>
                    <w:top w:val="single" w:color="auto" w:sz="6" w:space="0"/>
                    <w:bottom w:val="single" w:color="auto" w:sz="6" w:space="0"/>
                  </w:tcBorders>
                  <w:vAlign w:val="center"/>
                </w:tcPr>
                <w:p w14:paraId="7A043861">
                  <w:pPr>
                    <w:pStyle w:val="122"/>
                    <w:spacing w:after="0"/>
                    <w:rPr>
                      <w:rFonts w:ascii="Times New Roman" w:hAnsi="Times New Roman" w:eastAsia="宋体" w:cs="Times New Roman"/>
                      <w:color w:val="auto"/>
                      <w:kern w:val="2"/>
                      <w:sz w:val="21"/>
                      <w:szCs w:val="21"/>
                      <w:lang w:val="en-US" w:eastAsia="zh-CN" w:bidi="ar-SA"/>
                    </w:rPr>
                  </w:pPr>
                  <w:r>
                    <w:rPr>
                      <w:color w:val="auto"/>
                      <w:szCs w:val="21"/>
                    </w:rPr>
                    <w:t>/</w:t>
                  </w:r>
                </w:p>
              </w:tc>
              <w:tc>
                <w:tcPr>
                  <w:tcW w:w="834" w:type="dxa"/>
                  <w:tcBorders>
                    <w:top w:val="single" w:color="auto" w:sz="6" w:space="0"/>
                    <w:bottom w:val="single" w:color="auto" w:sz="6" w:space="0"/>
                  </w:tcBorders>
                  <w:vAlign w:val="center"/>
                </w:tcPr>
                <w:p w14:paraId="5BC0A091">
                  <w:pPr>
                    <w:pStyle w:val="122"/>
                    <w:spacing w:after="0"/>
                    <w:rPr>
                      <w:rFonts w:ascii="Times New Roman" w:hAnsi="Times New Roman" w:eastAsia="宋体" w:cs="Times New Roman"/>
                      <w:color w:val="auto"/>
                      <w:kern w:val="2"/>
                      <w:sz w:val="21"/>
                      <w:szCs w:val="21"/>
                      <w:lang w:val="en-US" w:eastAsia="zh-CN" w:bidi="ar-SA"/>
                    </w:rPr>
                  </w:pPr>
                  <w:r>
                    <w:rPr>
                      <w:color w:val="auto"/>
                      <w:szCs w:val="21"/>
                    </w:rPr>
                    <w:t>/</w:t>
                  </w:r>
                </w:p>
              </w:tc>
              <w:tc>
                <w:tcPr>
                  <w:tcW w:w="474" w:type="dxa"/>
                  <w:tcBorders>
                    <w:top w:val="single" w:color="auto" w:sz="6" w:space="0"/>
                    <w:bottom w:val="single" w:color="auto" w:sz="6" w:space="0"/>
                    <w:right w:val="nil"/>
                  </w:tcBorders>
                  <w:vAlign w:val="center"/>
                </w:tcPr>
                <w:p w14:paraId="29DDF1A7">
                  <w:pPr>
                    <w:pStyle w:val="122"/>
                    <w:spacing w:after="0"/>
                    <w:rPr>
                      <w:rFonts w:ascii="Times New Roman" w:hAnsi="Times New Roman" w:eastAsia="宋体" w:cs="Times New Roman"/>
                      <w:color w:val="auto"/>
                      <w:kern w:val="2"/>
                      <w:sz w:val="21"/>
                      <w:szCs w:val="21"/>
                      <w:lang w:val="en-US" w:eastAsia="zh-CN" w:bidi="ar-SA"/>
                    </w:rPr>
                  </w:pPr>
                  <w:r>
                    <w:rPr>
                      <w:color w:val="auto"/>
                      <w:szCs w:val="21"/>
                    </w:rPr>
                    <w:t>达标</w:t>
                  </w:r>
                </w:p>
              </w:tc>
            </w:tr>
            <w:tr w14:paraId="44959A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56" w:type="dxa"/>
                  <w:vMerge w:val="continue"/>
                  <w:tcBorders>
                    <w:top w:val="single" w:color="auto" w:sz="6" w:space="0"/>
                    <w:left w:val="nil"/>
                    <w:bottom w:val="single" w:color="auto" w:sz="12" w:space="0"/>
                  </w:tcBorders>
                  <w:vAlign w:val="center"/>
                </w:tcPr>
                <w:p w14:paraId="5E71C928">
                  <w:pPr>
                    <w:pStyle w:val="122"/>
                    <w:spacing w:after="0"/>
                    <w:rPr>
                      <w:rFonts w:hint="eastAsia"/>
                      <w:color w:val="auto"/>
                      <w:szCs w:val="21"/>
                      <w:lang w:val="en-US" w:eastAsia="zh-CN"/>
                    </w:rPr>
                  </w:pPr>
                </w:p>
              </w:tc>
              <w:tc>
                <w:tcPr>
                  <w:tcW w:w="718" w:type="dxa"/>
                  <w:tcBorders>
                    <w:top w:val="single" w:color="auto" w:sz="6" w:space="0"/>
                    <w:bottom w:val="single" w:color="auto" w:sz="12" w:space="0"/>
                  </w:tcBorders>
                  <w:vAlign w:val="center"/>
                </w:tcPr>
                <w:p w14:paraId="2A3D28BC">
                  <w:pPr>
                    <w:pStyle w:val="122"/>
                    <w:spacing w:after="0"/>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非甲烷总烃</w:t>
                  </w:r>
                </w:p>
              </w:tc>
              <w:tc>
                <w:tcPr>
                  <w:tcW w:w="1266" w:type="dxa"/>
                  <w:tcBorders>
                    <w:top w:val="single" w:color="auto" w:sz="6" w:space="0"/>
                    <w:bottom w:val="single" w:color="auto" w:sz="12" w:space="0"/>
                  </w:tcBorders>
                  <w:vAlign w:val="center"/>
                </w:tcPr>
                <w:p w14:paraId="4A0D690B">
                  <w:pPr>
                    <w:pStyle w:val="122"/>
                    <w:spacing w:after="0"/>
                    <w:rPr>
                      <w:rFonts w:hint="eastAsia" w:ascii="Times New Roman" w:hAnsi="Times New Roman" w:eastAsia="宋体" w:cs="Times New Roman"/>
                      <w:color w:val="auto"/>
                      <w:kern w:val="2"/>
                      <w:sz w:val="21"/>
                      <w:szCs w:val="21"/>
                      <w:lang w:val="en-US" w:eastAsia="zh-CN" w:bidi="ar-SA"/>
                    </w:rPr>
                  </w:pPr>
                  <w:r>
                    <w:rPr>
                      <w:rFonts w:hint="eastAsia" w:eastAsiaTheme="minorEastAsia"/>
                      <w:color w:val="auto"/>
                      <w:kern w:val="0"/>
                      <w:sz w:val="21"/>
                      <w:szCs w:val="21"/>
                    </w:rPr>
                    <w:t>0</w:t>
                  </w:r>
                  <w:r>
                    <w:rPr>
                      <w:rFonts w:eastAsiaTheme="minorEastAsia"/>
                      <w:color w:val="auto"/>
                      <w:kern w:val="0"/>
                      <w:sz w:val="21"/>
                      <w:szCs w:val="21"/>
                    </w:rPr>
                    <w:t>.31</w:t>
                  </w:r>
                  <w:r>
                    <w:rPr>
                      <w:rFonts w:hint="eastAsia" w:eastAsiaTheme="minorEastAsia"/>
                      <w:color w:val="auto"/>
                      <w:kern w:val="0"/>
                      <w:sz w:val="21"/>
                      <w:szCs w:val="21"/>
                    </w:rPr>
                    <w:t>~</w:t>
                  </w:r>
                  <w:r>
                    <w:rPr>
                      <w:rFonts w:eastAsiaTheme="minorEastAsia"/>
                      <w:color w:val="auto"/>
                      <w:kern w:val="0"/>
                      <w:sz w:val="21"/>
                      <w:szCs w:val="21"/>
                    </w:rPr>
                    <w:t>0</w:t>
                  </w:r>
                  <w:r>
                    <w:rPr>
                      <w:rFonts w:hint="eastAsia" w:eastAsiaTheme="minorEastAsia"/>
                      <w:color w:val="auto"/>
                      <w:kern w:val="0"/>
                      <w:sz w:val="21"/>
                      <w:szCs w:val="21"/>
                    </w:rPr>
                    <w:t>.</w:t>
                  </w:r>
                  <w:r>
                    <w:rPr>
                      <w:rFonts w:eastAsiaTheme="minorEastAsia"/>
                      <w:color w:val="auto"/>
                      <w:kern w:val="0"/>
                      <w:sz w:val="21"/>
                      <w:szCs w:val="21"/>
                    </w:rPr>
                    <w:t>82</w:t>
                  </w:r>
                </w:p>
              </w:tc>
              <w:tc>
                <w:tcPr>
                  <w:tcW w:w="654" w:type="dxa"/>
                  <w:tcBorders>
                    <w:top w:val="single" w:color="auto" w:sz="6" w:space="0"/>
                    <w:bottom w:val="single" w:color="auto" w:sz="12" w:space="0"/>
                  </w:tcBorders>
                  <w:vAlign w:val="center"/>
                </w:tcPr>
                <w:p w14:paraId="3888A35F">
                  <w:pPr>
                    <w:pStyle w:val="122"/>
                    <w:spacing w:after="0"/>
                    <w:rPr>
                      <w:rFonts w:hint="default" w:ascii="Times New Roman" w:hAnsi="Times New Roman" w:eastAsia="宋体" w:cs="Times New Roman"/>
                      <w:color w:val="auto"/>
                      <w:kern w:val="2"/>
                      <w:sz w:val="21"/>
                      <w:szCs w:val="21"/>
                      <w:lang w:val="en-US" w:eastAsia="zh-CN" w:bidi="ar-SA"/>
                    </w:rPr>
                  </w:pPr>
                  <w:r>
                    <w:rPr>
                      <w:rFonts w:hint="eastAsia" w:eastAsia="宋体"/>
                      <w:color w:val="auto"/>
                      <w:szCs w:val="21"/>
                      <w:lang w:val="en-US" w:eastAsia="zh-CN"/>
                    </w:rPr>
                    <w:t>41</w:t>
                  </w:r>
                </w:p>
              </w:tc>
              <w:tc>
                <w:tcPr>
                  <w:tcW w:w="547" w:type="dxa"/>
                  <w:tcBorders>
                    <w:top w:val="single" w:color="auto" w:sz="6" w:space="0"/>
                    <w:bottom w:val="single" w:color="auto" w:sz="12" w:space="0"/>
                  </w:tcBorders>
                  <w:vAlign w:val="center"/>
                </w:tcPr>
                <w:p w14:paraId="4FD551FA">
                  <w:pPr>
                    <w:pStyle w:val="122"/>
                    <w:spacing w:after="0"/>
                    <w:rPr>
                      <w:rFonts w:ascii="Times New Roman" w:hAnsi="Times New Roman" w:eastAsia="宋体" w:cs="Times New Roman"/>
                      <w:color w:val="auto"/>
                      <w:kern w:val="2"/>
                      <w:sz w:val="21"/>
                      <w:szCs w:val="21"/>
                      <w:lang w:val="en-US" w:eastAsia="zh-CN" w:bidi="ar-SA"/>
                    </w:rPr>
                  </w:pPr>
                  <w:r>
                    <w:rPr>
                      <w:color w:val="auto"/>
                      <w:szCs w:val="21"/>
                    </w:rPr>
                    <w:t>0</w:t>
                  </w:r>
                </w:p>
              </w:tc>
              <w:tc>
                <w:tcPr>
                  <w:tcW w:w="833" w:type="dxa"/>
                  <w:tcBorders>
                    <w:top w:val="single" w:color="auto" w:sz="6" w:space="0"/>
                    <w:bottom w:val="single" w:color="auto" w:sz="12" w:space="0"/>
                  </w:tcBorders>
                  <w:vAlign w:val="center"/>
                </w:tcPr>
                <w:p w14:paraId="5406CDA1">
                  <w:pPr>
                    <w:pStyle w:val="122"/>
                    <w:spacing w:after="0"/>
                    <w:rPr>
                      <w:rFonts w:hint="default"/>
                      <w:color w:val="auto"/>
                      <w:szCs w:val="21"/>
                      <w:lang w:val="en-US" w:eastAsia="zh-CN"/>
                    </w:rPr>
                  </w:pPr>
                  <w:r>
                    <w:rPr>
                      <w:rFonts w:hint="eastAsia"/>
                      <w:color w:val="auto"/>
                      <w:szCs w:val="21"/>
                      <w:lang w:val="en-US" w:eastAsia="zh-CN"/>
                    </w:rPr>
                    <w:t>2</w:t>
                  </w:r>
                </w:p>
              </w:tc>
              <w:tc>
                <w:tcPr>
                  <w:tcW w:w="941" w:type="dxa"/>
                  <w:tcBorders>
                    <w:top w:val="single" w:color="auto" w:sz="6" w:space="0"/>
                    <w:bottom w:val="single" w:color="auto" w:sz="12" w:space="0"/>
                  </w:tcBorders>
                  <w:vAlign w:val="center"/>
                </w:tcPr>
                <w:p w14:paraId="280837F4">
                  <w:pPr>
                    <w:pStyle w:val="122"/>
                    <w:spacing w:after="0"/>
                    <w:rPr>
                      <w:rFonts w:ascii="Times New Roman" w:hAnsi="Times New Roman" w:eastAsia="宋体" w:cs="Times New Roman"/>
                      <w:color w:val="auto"/>
                      <w:kern w:val="2"/>
                      <w:sz w:val="21"/>
                      <w:szCs w:val="21"/>
                      <w:lang w:val="en-US" w:eastAsia="zh-CN" w:bidi="ar-SA"/>
                    </w:rPr>
                  </w:pPr>
                  <w:r>
                    <w:rPr>
                      <w:color w:val="auto"/>
                      <w:szCs w:val="21"/>
                    </w:rPr>
                    <w:t>/</w:t>
                  </w:r>
                </w:p>
              </w:tc>
              <w:tc>
                <w:tcPr>
                  <w:tcW w:w="654" w:type="dxa"/>
                  <w:tcBorders>
                    <w:top w:val="single" w:color="auto" w:sz="6" w:space="0"/>
                    <w:bottom w:val="single" w:color="auto" w:sz="12" w:space="0"/>
                  </w:tcBorders>
                  <w:vAlign w:val="center"/>
                </w:tcPr>
                <w:p w14:paraId="4EFBD798">
                  <w:pPr>
                    <w:pStyle w:val="122"/>
                    <w:spacing w:after="0"/>
                    <w:rPr>
                      <w:rFonts w:ascii="Times New Roman" w:hAnsi="Times New Roman" w:eastAsia="宋体" w:cs="Times New Roman"/>
                      <w:color w:val="auto"/>
                      <w:kern w:val="2"/>
                      <w:sz w:val="21"/>
                      <w:szCs w:val="21"/>
                      <w:lang w:val="en-US" w:eastAsia="zh-CN" w:bidi="ar-SA"/>
                    </w:rPr>
                  </w:pPr>
                  <w:r>
                    <w:rPr>
                      <w:color w:val="auto"/>
                      <w:szCs w:val="21"/>
                    </w:rPr>
                    <w:t>/</w:t>
                  </w:r>
                </w:p>
              </w:tc>
              <w:tc>
                <w:tcPr>
                  <w:tcW w:w="547" w:type="dxa"/>
                  <w:tcBorders>
                    <w:top w:val="single" w:color="auto" w:sz="6" w:space="0"/>
                    <w:bottom w:val="single" w:color="auto" w:sz="12" w:space="0"/>
                  </w:tcBorders>
                  <w:vAlign w:val="center"/>
                </w:tcPr>
                <w:p w14:paraId="4DB77039">
                  <w:pPr>
                    <w:pStyle w:val="122"/>
                    <w:spacing w:after="0"/>
                    <w:rPr>
                      <w:rFonts w:ascii="Times New Roman" w:hAnsi="Times New Roman" w:eastAsia="宋体" w:cs="Times New Roman"/>
                      <w:color w:val="auto"/>
                      <w:kern w:val="2"/>
                      <w:sz w:val="21"/>
                      <w:szCs w:val="21"/>
                      <w:lang w:val="en-US" w:eastAsia="zh-CN" w:bidi="ar-SA"/>
                    </w:rPr>
                  </w:pPr>
                  <w:r>
                    <w:rPr>
                      <w:color w:val="auto"/>
                      <w:szCs w:val="21"/>
                    </w:rPr>
                    <w:t>/</w:t>
                  </w:r>
                </w:p>
              </w:tc>
              <w:tc>
                <w:tcPr>
                  <w:tcW w:w="834" w:type="dxa"/>
                  <w:tcBorders>
                    <w:top w:val="single" w:color="auto" w:sz="6" w:space="0"/>
                    <w:bottom w:val="single" w:color="auto" w:sz="12" w:space="0"/>
                  </w:tcBorders>
                  <w:vAlign w:val="center"/>
                </w:tcPr>
                <w:p w14:paraId="2FDFA0AC">
                  <w:pPr>
                    <w:pStyle w:val="122"/>
                    <w:spacing w:after="0"/>
                    <w:rPr>
                      <w:rFonts w:ascii="Times New Roman" w:hAnsi="Times New Roman" w:eastAsia="宋体" w:cs="Times New Roman"/>
                      <w:color w:val="auto"/>
                      <w:kern w:val="2"/>
                      <w:sz w:val="21"/>
                      <w:szCs w:val="21"/>
                      <w:lang w:val="en-US" w:eastAsia="zh-CN" w:bidi="ar-SA"/>
                    </w:rPr>
                  </w:pPr>
                  <w:r>
                    <w:rPr>
                      <w:color w:val="auto"/>
                      <w:szCs w:val="21"/>
                    </w:rPr>
                    <w:t>/</w:t>
                  </w:r>
                </w:p>
              </w:tc>
              <w:tc>
                <w:tcPr>
                  <w:tcW w:w="474" w:type="dxa"/>
                  <w:tcBorders>
                    <w:top w:val="single" w:color="auto" w:sz="6" w:space="0"/>
                    <w:bottom w:val="single" w:color="auto" w:sz="12" w:space="0"/>
                    <w:right w:val="nil"/>
                  </w:tcBorders>
                  <w:vAlign w:val="center"/>
                </w:tcPr>
                <w:p w14:paraId="1C35BCBC">
                  <w:pPr>
                    <w:pStyle w:val="122"/>
                    <w:spacing w:after="0"/>
                    <w:rPr>
                      <w:rFonts w:ascii="Times New Roman" w:hAnsi="Times New Roman" w:eastAsia="宋体" w:cs="Times New Roman"/>
                      <w:color w:val="auto"/>
                      <w:kern w:val="2"/>
                      <w:sz w:val="21"/>
                      <w:szCs w:val="21"/>
                      <w:lang w:val="en-US" w:eastAsia="zh-CN" w:bidi="ar-SA"/>
                    </w:rPr>
                  </w:pPr>
                  <w:r>
                    <w:rPr>
                      <w:color w:val="auto"/>
                      <w:szCs w:val="21"/>
                    </w:rPr>
                    <w:t>达标</w:t>
                  </w:r>
                </w:p>
              </w:tc>
            </w:tr>
          </w:tbl>
          <w:p w14:paraId="4CDED006">
            <w:pPr>
              <w:adjustRightInd w:val="0"/>
              <w:snapToGrid w:val="0"/>
              <w:spacing w:line="360" w:lineRule="auto"/>
              <w:ind w:firstLine="480" w:firstLineChars="200"/>
              <w:rPr>
                <w:rFonts w:eastAsia="宋体"/>
                <w:color w:val="auto"/>
                <w:sz w:val="24"/>
              </w:rPr>
            </w:pPr>
            <w:r>
              <w:rPr>
                <w:color w:val="auto"/>
                <w:sz w:val="24"/>
              </w:rPr>
              <w:t>监测结果表明：引用监测点位非甲烷总烃能满足《大气污染物综合排放标准详解》中的限值</w:t>
            </w:r>
            <w:r>
              <w:rPr>
                <w:rFonts w:hint="eastAsia"/>
                <w:color w:val="auto"/>
                <w:sz w:val="24"/>
              </w:rPr>
              <w:t>，</w:t>
            </w:r>
            <w:r>
              <w:rPr>
                <w:rFonts w:hint="eastAsia"/>
                <w:color w:val="auto"/>
                <w:sz w:val="24"/>
                <w:lang w:eastAsia="zh-CN"/>
              </w:rPr>
              <w:t>硫化氢、氨</w:t>
            </w:r>
            <w:r>
              <w:rPr>
                <w:rFonts w:eastAsia="宋体"/>
                <w:color w:val="auto"/>
                <w:sz w:val="24"/>
              </w:rPr>
              <w:t>《环境影响评价技术导则 大气环境》（HJ2.2-2018）附录D</w:t>
            </w:r>
            <w:r>
              <w:rPr>
                <w:color w:val="auto"/>
                <w:sz w:val="24"/>
              </w:rPr>
              <w:t>中的限值</w:t>
            </w:r>
            <w:r>
              <w:rPr>
                <w:rFonts w:hint="eastAsia"/>
                <w:color w:val="auto"/>
                <w:sz w:val="24"/>
                <w:lang w:eastAsia="zh-CN"/>
              </w:rPr>
              <w:t>，</w:t>
            </w:r>
            <w:r>
              <w:rPr>
                <w:rFonts w:eastAsia="宋体"/>
                <w:color w:val="auto"/>
                <w:sz w:val="24"/>
              </w:rPr>
              <w:t>区域环境空气质量现状良好。</w:t>
            </w:r>
          </w:p>
          <w:p w14:paraId="67C0ED99">
            <w:pPr>
              <w:widowControl/>
              <w:adjustRightInd w:val="0"/>
              <w:snapToGrid w:val="0"/>
              <w:spacing w:line="360" w:lineRule="auto"/>
              <w:ind w:firstLine="482" w:firstLineChars="200"/>
              <w:jc w:val="left"/>
              <w:rPr>
                <w:rFonts w:hAnsi="宋体"/>
                <w:b/>
                <w:color w:val="auto"/>
                <w:kern w:val="0"/>
                <w:sz w:val="24"/>
              </w:rPr>
            </w:pPr>
            <w:r>
              <w:rPr>
                <w:b/>
                <w:color w:val="auto"/>
                <w:kern w:val="0"/>
                <w:sz w:val="24"/>
                <w:szCs w:val="20"/>
              </w:rPr>
              <w:t>2.</w:t>
            </w:r>
            <w:r>
              <w:rPr>
                <w:rFonts w:hAnsi="宋体"/>
                <w:b/>
                <w:color w:val="auto"/>
                <w:kern w:val="0"/>
                <w:sz w:val="24"/>
                <w:szCs w:val="20"/>
              </w:rPr>
              <w:t>地表水环境质量</w:t>
            </w:r>
            <w:r>
              <w:rPr>
                <w:rFonts w:hAnsi="宋体"/>
                <w:b/>
                <w:color w:val="auto"/>
                <w:kern w:val="0"/>
                <w:sz w:val="24"/>
              </w:rPr>
              <w:t>现状</w:t>
            </w:r>
          </w:p>
          <w:p w14:paraId="73E6847E">
            <w:pPr>
              <w:adjustRightInd w:val="0"/>
              <w:snapToGrid w:val="0"/>
              <w:spacing w:line="360" w:lineRule="auto"/>
              <w:ind w:firstLine="480" w:firstLineChars="200"/>
              <w:rPr>
                <w:rFonts w:ascii="Times New Roman" w:hAnsi="Times New Roman" w:eastAsia="宋体" w:cs="Times New Roman"/>
                <w:color w:val="auto"/>
                <w:sz w:val="24"/>
              </w:rPr>
            </w:pPr>
            <w:r>
              <w:rPr>
                <w:rFonts w:hint="default" w:ascii="Times New Roman" w:hAnsi="Times New Roman" w:eastAsia="宋体" w:cs="Times New Roman"/>
                <w:color w:val="auto"/>
                <w:sz w:val="24"/>
              </w:rPr>
              <w:t>根据《202</w:t>
            </w:r>
            <w:r>
              <w:rPr>
                <w:rFonts w:hint="eastAsia" w:ascii="Times New Roman" w:hAnsi="Times New Roman" w:eastAsia="宋体" w:cs="Times New Roman"/>
                <w:color w:val="auto"/>
                <w:sz w:val="24"/>
                <w:lang w:val="en-US" w:eastAsia="zh-CN"/>
              </w:rPr>
              <w:t>4</w:t>
            </w:r>
            <w:r>
              <w:rPr>
                <w:rFonts w:hint="default" w:ascii="Times New Roman" w:hAnsi="Times New Roman" w:eastAsia="宋体" w:cs="Times New Roman"/>
                <w:color w:val="auto"/>
                <w:sz w:val="24"/>
              </w:rPr>
              <w:t>年淮安市生态环境状况公报》“纳入“十四五”国家地表水环境质量考核的11个国考断面中，年均水质达到或好于Ⅲ类标准的断面9个（Ⅱ类断面4个），优Ⅲ比例81.8%，达标率100%，无V类和劣V类断面。纳入江苏省“十四五”水环境质量目标考核的57个断面中水质达到或好于</w:t>
            </w:r>
            <w:r>
              <w:rPr>
                <w:rFonts w:hint="eastAsia" w:cs="Times New Roman"/>
                <w:color w:val="auto"/>
                <w:sz w:val="24"/>
                <w:lang w:eastAsia="zh-CN"/>
              </w:rPr>
              <w:t>Ⅲ类</w:t>
            </w:r>
            <w:r>
              <w:rPr>
                <w:rFonts w:hint="default" w:ascii="Times New Roman" w:hAnsi="Times New Roman" w:eastAsia="宋体" w:cs="Times New Roman"/>
                <w:color w:val="auto"/>
                <w:sz w:val="24"/>
              </w:rPr>
              <w:t>标准的断面有53个，优Ⅲ比例93%，达标率100%，无V类和劣V类断面”。</w:t>
            </w:r>
            <w:r>
              <w:rPr>
                <w:rFonts w:ascii="Times New Roman" w:hAnsi="Times New Roman" w:eastAsia="宋体" w:cs="Times New Roman"/>
                <w:color w:val="auto"/>
                <w:sz w:val="24"/>
              </w:rPr>
              <w:t>盐河水质满足《地表水环境质量标准》（GB3838-2002）Ⅲ类水标准，水质状况良好。</w:t>
            </w:r>
            <w:r>
              <w:rPr>
                <w:rFonts w:hint="eastAsia" w:ascii="Times New Roman" w:hAnsi="Times New Roman" w:eastAsia="宋体" w:cs="Times New Roman"/>
                <w:color w:val="auto"/>
                <w:sz w:val="24"/>
              </w:rPr>
              <w:t>纳污水体公兴河水质满足</w:t>
            </w:r>
            <w:r>
              <w:rPr>
                <w:rFonts w:ascii="Times New Roman" w:hAnsi="Times New Roman" w:eastAsia="宋体" w:cs="Times New Roman"/>
                <w:color w:val="auto"/>
                <w:sz w:val="24"/>
              </w:rPr>
              <w:t>《地表水环境质量标准》（GB3838-2002）Ⅳ类水标准</w:t>
            </w:r>
            <w:r>
              <w:rPr>
                <w:rFonts w:hint="default" w:ascii="Times New Roman" w:hAnsi="Times New Roman" w:eastAsia="宋体" w:cs="Times New Roman"/>
                <w:color w:val="auto"/>
                <w:sz w:val="24"/>
              </w:rPr>
              <w:t>，水质状况良好。</w:t>
            </w:r>
          </w:p>
          <w:p w14:paraId="5C19B41C">
            <w:pPr>
              <w:adjustRightInd w:val="0"/>
              <w:snapToGrid w:val="0"/>
              <w:spacing w:before="120" w:beforeLines="50" w:line="360" w:lineRule="auto"/>
              <w:ind w:firstLine="482" w:firstLineChars="200"/>
              <w:rPr>
                <w:b/>
                <w:color w:val="auto"/>
                <w:kern w:val="0"/>
                <w:sz w:val="24"/>
                <w:szCs w:val="20"/>
              </w:rPr>
            </w:pPr>
            <w:r>
              <w:rPr>
                <w:b/>
                <w:color w:val="auto"/>
                <w:kern w:val="0"/>
                <w:sz w:val="24"/>
                <w:szCs w:val="20"/>
              </w:rPr>
              <w:t>3.</w:t>
            </w:r>
            <w:r>
              <w:rPr>
                <w:rFonts w:hAnsi="宋体"/>
                <w:b/>
                <w:color w:val="auto"/>
                <w:kern w:val="0"/>
                <w:sz w:val="24"/>
                <w:szCs w:val="20"/>
              </w:rPr>
              <w:t>声环境质量现状</w:t>
            </w:r>
          </w:p>
          <w:p w14:paraId="6058D632">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根据《202</w:t>
            </w:r>
            <w:r>
              <w:rPr>
                <w:rFonts w:hint="eastAsia" w:ascii="Times New Roman" w:hAnsi="Times New Roman" w:eastAsia="宋体" w:cs="Times New Roman"/>
                <w:color w:val="auto"/>
                <w:sz w:val="24"/>
                <w:lang w:val="en-US" w:eastAsia="zh-CN"/>
              </w:rPr>
              <w:t>4</w:t>
            </w:r>
            <w:r>
              <w:rPr>
                <w:rFonts w:hint="default" w:ascii="Times New Roman" w:hAnsi="Times New Roman" w:eastAsia="宋体" w:cs="Times New Roman"/>
                <w:color w:val="auto"/>
                <w:sz w:val="24"/>
              </w:rPr>
              <w:t>年淮安市生态环境状况公报》显示，202</w:t>
            </w:r>
            <w:r>
              <w:rPr>
                <w:rFonts w:hint="eastAsia" w:ascii="Times New Roman" w:hAnsi="Times New Roman" w:eastAsia="宋体" w:cs="Times New Roman"/>
                <w:color w:val="auto"/>
                <w:sz w:val="24"/>
                <w:lang w:val="en-US" w:eastAsia="zh-CN"/>
              </w:rPr>
              <w:t>4</w:t>
            </w:r>
            <w:r>
              <w:rPr>
                <w:rFonts w:hint="default" w:ascii="Times New Roman" w:hAnsi="Times New Roman" w:eastAsia="宋体" w:cs="Times New Roman"/>
                <w:color w:val="auto"/>
                <w:sz w:val="24"/>
              </w:rPr>
              <w:t>年，淮安市声环境总体较好，全市各功能区昼夜</w:t>
            </w:r>
            <w:r>
              <w:rPr>
                <w:rFonts w:hint="eastAsia" w:ascii="Times New Roman" w:hAnsi="Times New Roman" w:eastAsia="宋体" w:cs="Times New Roman"/>
                <w:color w:val="auto"/>
                <w:sz w:val="24"/>
                <w:lang w:val="en-US" w:eastAsia="zh-CN"/>
              </w:rPr>
              <w:t>平均等效声级</w:t>
            </w:r>
            <w:r>
              <w:rPr>
                <w:rFonts w:hint="default" w:ascii="Times New Roman" w:hAnsi="Times New Roman" w:eastAsia="宋体" w:cs="Times New Roman"/>
                <w:color w:val="auto"/>
                <w:sz w:val="24"/>
              </w:rPr>
              <w:t>均达标。全市区域环境昼间噪声均值为55.</w:t>
            </w:r>
            <w:r>
              <w:rPr>
                <w:rFonts w:hint="eastAsia"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rPr>
              <w:t>dB</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A</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保持稳定</w:t>
            </w:r>
            <w:r>
              <w:rPr>
                <w:rFonts w:hint="default" w:ascii="Times New Roman" w:hAnsi="Times New Roman" w:eastAsia="宋体" w:cs="Times New Roman"/>
                <w:color w:val="auto"/>
                <w:sz w:val="24"/>
              </w:rPr>
              <w:t>；全市昼间交通噪声均值为65.</w:t>
            </w:r>
            <w:r>
              <w:rPr>
                <w:rFonts w:hint="eastAsia"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rPr>
              <w:t>dB</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A</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同比下降0</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rPr>
              <w:t>dB</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A</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rPr>
              <w:t>均保持稳定，处于“好”水平。</w:t>
            </w:r>
          </w:p>
          <w:p w14:paraId="0883DAA3">
            <w:pPr>
              <w:widowControl/>
              <w:tabs>
                <w:tab w:val="left" w:pos="443"/>
              </w:tabs>
              <w:adjustRightInd w:val="0"/>
              <w:snapToGrid w:val="0"/>
              <w:spacing w:line="360" w:lineRule="auto"/>
              <w:ind w:firstLine="482" w:firstLineChars="200"/>
              <w:jc w:val="left"/>
              <w:rPr>
                <w:b/>
                <w:color w:val="auto"/>
                <w:kern w:val="0"/>
                <w:sz w:val="24"/>
                <w:szCs w:val="20"/>
              </w:rPr>
            </w:pPr>
            <w:r>
              <w:rPr>
                <w:b/>
                <w:color w:val="auto"/>
                <w:kern w:val="0"/>
                <w:sz w:val="24"/>
                <w:szCs w:val="20"/>
              </w:rPr>
              <w:t>4.</w:t>
            </w:r>
            <w:r>
              <w:rPr>
                <w:rFonts w:hint="eastAsia"/>
                <w:b/>
                <w:color w:val="auto"/>
                <w:kern w:val="0"/>
                <w:sz w:val="24"/>
                <w:szCs w:val="20"/>
                <w:lang w:eastAsia="zh-CN"/>
              </w:rPr>
              <w:t>土壤、</w:t>
            </w:r>
            <w:r>
              <w:rPr>
                <w:rFonts w:hAnsi="宋体"/>
                <w:b/>
                <w:color w:val="auto"/>
                <w:kern w:val="0"/>
                <w:sz w:val="24"/>
                <w:szCs w:val="20"/>
              </w:rPr>
              <w:t>地下水环境质量现状</w:t>
            </w:r>
          </w:p>
          <w:p w14:paraId="7115C30F">
            <w:pPr>
              <w:adjustRightInd w:val="0"/>
              <w:snapToGrid w:val="0"/>
              <w:spacing w:line="360" w:lineRule="auto"/>
              <w:ind w:firstLine="480" w:firstLineChars="200"/>
              <w:rPr>
                <w:color w:val="auto"/>
                <w:sz w:val="24"/>
              </w:rPr>
            </w:pPr>
            <w:r>
              <w:rPr>
                <w:color w:val="auto"/>
                <w:sz w:val="24"/>
              </w:rPr>
              <w:t>本项目位于江苏涟水经济开发区内，周边无土壤环境敏感目标，且本项目厂界外500米范围内无地下水集中饮用水水源、热水、矿泉水、温泉等特殊地下水资源。厂区内防渗措施到位，无土壤、地下水环境污染途径，对照《建设项目环境影响报告表编制技术指南（污染影响类）（试行）》，不开展土壤、地下水环境质量现状调查。</w:t>
            </w:r>
          </w:p>
          <w:p w14:paraId="1038D1A0">
            <w:pPr>
              <w:widowControl/>
              <w:tabs>
                <w:tab w:val="left" w:pos="443"/>
              </w:tabs>
              <w:adjustRightInd w:val="0"/>
              <w:snapToGrid w:val="0"/>
              <w:spacing w:line="360" w:lineRule="auto"/>
              <w:ind w:firstLine="482" w:firstLineChars="200"/>
              <w:jc w:val="left"/>
              <w:rPr>
                <w:b/>
                <w:color w:val="auto"/>
                <w:kern w:val="0"/>
                <w:sz w:val="24"/>
                <w:szCs w:val="20"/>
              </w:rPr>
            </w:pPr>
            <w:r>
              <w:rPr>
                <w:rFonts w:hint="eastAsia"/>
                <w:b/>
                <w:color w:val="auto"/>
                <w:kern w:val="0"/>
                <w:sz w:val="24"/>
                <w:szCs w:val="20"/>
                <w:lang w:val="en-US" w:eastAsia="zh-CN"/>
              </w:rPr>
              <w:t>5</w:t>
            </w:r>
            <w:r>
              <w:rPr>
                <w:b/>
                <w:color w:val="auto"/>
                <w:kern w:val="0"/>
                <w:sz w:val="24"/>
                <w:szCs w:val="20"/>
              </w:rPr>
              <w:t>.</w:t>
            </w:r>
            <w:r>
              <w:rPr>
                <w:rFonts w:hAnsi="宋体"/>
                <w:b/>
                <w:color w:val="auto"/>
                <w:kern w:val="0"/>
                <w:sz w:val="24"/>
                <w:szCs w:val="20"/>
              </w:rPr>
              <w:t>生态环境质量现状</w:t>
            </w:r>
          </w:p>
          <w:p w14:paraId="3E3CC8EC">
            <w:pPr>
              <w:widowControl/>
              <w:adjustRightInd w:val="0"/>
              <w:snapToGrid w:val="0"/>
              <w:spacing w:line="360" w:lineRule="auto"/>
              <w:ind w:firstLine="480" w:firstLineChars="200"/>
              <w:jc w:val="left"/>
              <w:rPr>
                <w:color w:val="auto"/>
                <w:kern w:val="0"/>
                <w:sz w:val="24"/>
              </w:rPr>
            </w:pPr>
            <w:r>
              <w:rPr>
                <w:rFonts w:hAnsi="宋体"/>
                <w:color w:val="auto"/>
                <w:sz w:val="24"/>
              </w:rPr>
              <w:t>建设项目所在地位于江苏涟水经济开发区西区，属于合规的产业园区，且本项目</w:t>
            </w:r>
            <w:r>
              <w:rPr>
                <w:rFonts w:hint="eastAsia" w:hAnsi="宋体"/>
                <w:color w:val="auto"/>
                <w:sz w:val="24"/>
              </w:rPr>
              <w:t>在</w:t>
            </w:r>
            <w:r>
              <w:rPr>
                <w:rFonts w:hAnsi="宋体"/>
                <w:color w:val="auto"/>
                <w:sz w:val="24"/>
              </w:rPr>
              <w:t>现有厂房</w:t>
            </w:r>
            <w:r>
              <w:rPr>
                <w:rFonts w:hint="eastAsia" w:hAnsi="宋体"/>
                <w:color w:val="auto"/>
                <w:sz w:val="24"/>
              </w:rPr>
              <w:t>内实施</w:t>
            </w:r>
            <w:r>
              <w:rPr>
                <w:rFonts w:hAnsi="宋体"/>
                <w:color w:val="auto"/>
                <w:sz w:val="24"/>
              </w:rPr>
              <w:t>，</w:t>
            </w:r>
            <w:r>
              <w:rPr>
                <w:rFonts w:hint="eastAsia" w:hAnsi="宋体"/>
                <w:color w:val="auto"/>
                <w:sz w:val="24"/>
              </w:rPr>
              <w:t>不</w:t>
            </w:r>
            <w:r>
              <w:rPr>
                <w:rFonts w:hint="eastAsia" w:hAnsi="宋体"/>
                <w:color w:val="auto"/>
                <w:sz w:val="24"/>
                <w:lang w:eastAsia="zh-CN"/>
              </w:rPr>
              <w:t>新增</w:t>
            </w:r>
            <w:r>
              <w:rPr>
                <w:rFonts w:hint="eastAsia" w:hAnsi="宋体"/>
                <w:color w:val="auto"/>
                <w:sz w:val="24"/>
              </w:rPr>
              <w:t>用地，</w:t>
            </w:r>
            <w:r>
              <w:rPr>
                <w:rFonts w:hAnsi="宋体"/>
                <w:color w:val="auto"/>
                <w:sz w:val="24"/>
              </w:rPr>
              <w:t>不涉及生态环境保护目标，故无需进行生态现状调查</w:t>
            </w:r>
            <w:r>
              <w:rPr>
                <w:rFonts w:hAnsi="宋体"/>
                <w:color w:val="auto"/>
                <w:kern w:val="0"/>
                <w:sz w:val="24"/>
              </w:rPr>
              <w:t>。</w:t>
            </w:r>
          </w:p>
          <w:p w14:paraId="62C3EC6D">
            <w:pPr>
              <w:widowControl/>
              <w:autoSpaceDE w:val="0"/>
              <w:autoSpaceDN w:val="0"/>
              <w:adjustRightInd w:val="0"/>
              <w:snapToGrid w:val="0"/>
              <w:spacing w:line="360" w:lineRule="auto"/>
              <w:ind w:firstLine="482" w:firstLineChars="200"/>
              <w:jc w:val="left"/>
              <w:rPr>
                <w:b/>
                <w:color w:val="auto"/>
                <w:kern w:val="0"/>
                <w:sz w:val="24"/>
              </w:rPr>
            </w:pPr>
            <w:r>
              <w:rPr>
                <w:rFonts w:hint="eastAsia"/>
                <w:b/>
                <w:color w:val="auto"/>
                <w:kern w:val="0"/>
                <w:sz w:val="24"/>
                <w:lang w:val="en-US" w:eastAsia="zh-CN"/>
              </w:rPr>
              <w:t>6</w:t>
            </w:r>
            <w:r>
              <w:rPr>
                <w:b/>
                <w:color w:val="auto"/>
                <w:kern w:val="0"/>
                <w:sz w:val="24"/>
              </w:rPr>
              <w:t>.</w:t>
            </w:r>
            <w:r>
              <w:rPr>
                <w:rFonts w:hAnsi="宋体"/>
                <w:b/>
                <w:color w:val="auto"/>
                <w:kern w:val="0"/>
                <w:sz w:val="24"/>
              </w:rPr>
              <w:t>电磁辐射</w:t>
            </w:r>
          </w:p>
          <w:p w14:paraId="744E3F54">
            <w:pPr>
              <w:widowControl/>
              <w:adjustRightInd w:val="0"/>
              <w:snapToGrid w:val="0"/>
              <w:spacing w:line="360" w:lineRule="auto"/>
              <w:ind w:firstLine="480" w:firstLineChars="200"/>
              <w:jc w:val="left"/>
              <w:rPr>
                <w:color w:val="auto"/>
                <w:kern w:val="0"/>
                <w:sz w:val="24"/>
              </w:rPr>
            </w:pPr>
            <w:r>
              <w:rPr>
                <w:rFonts w:hAnsi="宋体"/>
                <w:color w:val="auto"/>
                <w:kern w:val="0"/>
                <w:sz w:val="24"/>
              </w:rPr>
              <w:t>建设项目不涉及电磁辐射环境影响。</w:t>
            </w:r>
          </w:p>
        </w:tc>
      </w:tr>
      <w:tr w14:paraId="4BE7D1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4" w:type="pct"/>
            <w:vAlign w:val="center"/>
          </w:tcPr>
          <w:p w14:paraId="0AB2A1F4">
            <w:pPr>
              <w:adjustRightInd w:val="0"/>
              <w:snapToGrid w:val="0"/>
              <w:jc w:val="center"/>
              <w:rPr>
                <w:b/>
                <w:bCs/>
                <w:color w:val="auto"/>
                <w:kern w:val="0"/>
                <w:szCs w:val="21"/>
              </w:rPr>
            </w:pPr>
            <w:r>
              <w:rPr>
                <w:rFonts w:hAnsi="宋体"/>
                <w:b/>
                <w:bCs/>
                <w:color w:val="auto"/>
                <w:kern w:val="0"/>
                <w:szCs w:val="21"/>
              </w:rPr>
              <w:t>环</w:t>
            </w:r>
          </w:p>
          <w:p w14:paraId="7C60C25B">
            <w:pPr>
              <w:adjustRightInd w:val="0"/>
              <w:snapToGrid w:val="0"/>
              <w:jc w:val="center"/>
              <w:rPr>
                <w:b/>
                <w:bCs/>
                <w:color w:val="auto"/>
                <w:kern w:val="0"/>
                <w:szCs w:val="21"/>
              </w:rPr>
            </w:pPr>
            <w:r>
              <w:rPr>
                <w:rFonts w:hAnsi="宋体"/>
                <w:b/>
                <w:bCs/>
                <w:color w:val="auto"/>
                <w:kern w:val="0"/>
                <w:szCs w:val="21"/>
              </w:rPr>
              <w:t>境</w:t>
            </w:r>
          </w:p>
          <w:p w14:paraId="5BA76423">
            <w:pPr>
              <w:adjustRightInd w:val="0"/>
              <w:snapToGrid w:val="0"/>
              <w:jc w:val="center"/>
              <w:rPr>
                <w:b/>
                <w:bCs/>
                <w:color w:val="auto"/>
                <w:kern w:val="0"/>
                <w:szCs w:val="21"/>
              </w:rPr>
            </w:pPr>
            <w:r>
              <w:rPr>
                <w:rFonts w:hAnsi="宋体"/>
                <w:b/>
                <w:bCs/>
                <w:color w:val="auto"/>
                <w:kern w:val="0"/>
                <w:szCs w:val="21"/>
              </w:rPr>
              <w:t>保护</w:t>
            </w:r>
          </w:p>
          <w:p w14:paraId="560919E0">
            <w:pPr>
              <w:adjustRightInd w:val="0"/>
              <w:snapToGrid w:val="0"/>
              <w:jc w:val="center"/>
              <w:rPr>
                <w:b/>
                <w:bCs/>
                <w:color w:val="auto"/>
                <w:kern w:val="0"/>
                <w:szCs w:val="21"/>
              </w:rPr>
            </w:pPr>
            <w:r>
              <w:rPr>
                <w:rFonts w:hAnsi="宋体"/>
                <w:b/>
                <w:bCs/>
                <w:color w:val="auto"/>
                <w:kern w:val="0"/>
                <w:szCs w:val="21"/>
              </w:rPr>
              <w:t>目标</w:t>
            </w:r>
          </w:p>
        </w:tc>
        <w:tc>
          <w:tcPr>
            <w:tcW w:w="4766" w:type="pct"/>
            <w:vAlign w:val="center"/>
          </w:tcPr>
          <w:p w14:paraId="13C5E168">
            <w:pPr>
              <w:adjustRightInd w:val="0"/>
              <w:snapToGrid w:val="0"/>
              <w:spacing w:before="120" w:beforeLines="50" w:line="360" w:lineRule="auto"/>
              <w:ind w:firstLine="480" w:firstLineChars="200"/>
              <w:rPr>
                <w:color w:val="auto"/>
                <w:sz w:val="24"/>
              </w:rPr>
            </w:pPr>
            <w:r>
              <w:rPr>
                <w:rFonts w:hAnsi="宋体"/>
                <w:color w:val="auto"/>
                <w:sz w:val="24"/>
              </w:rPr>
              <w:t>建设项目位</w:t>
            </w:r>
            <w:r>
              <w:rPr>
                <w:rFonts w:hint="eastAsia" w:ascii="Times New Roman" w:hAnsi="宋体" w:eastAsia="宋体" w:cs="Times New Roman"/>
                <w:color w:val="auto"/>
                <w:sz w:val="24"/>
              </w:rPr>
              <w:t>于</w:t>
            </w:r>
            <w:r>
              <w:rPr>
                <w:rFonts w:hint="eastAsia" w:hAnsi="宋体" w:cs="Times New Roman"/>
                <w:color w:val="auto"/>
                <w:sz w:val="24"/>
                <w:lang w:val="en-US" w:eastAsia="zh-CN"/>
              </w:rPr>
              <w:t>江苏涟水经济开发区涟水路3号</w:t>
            </w:r>
            <w:r>
              <w:rPr>
                <w:rStyle w:val="39"/>
                <w:rFonts w:hAnsi="宋体"/>
                <w:color w:val="auto"/>
              </w:rPr>
              <w:t>，</w:t>
            </w:r>
            <w:r>
              <w:rPr>
                <w:rFonts w:hAnsi="宋体"/>
                <w:color w:val="auto"/>
                <w:sz w:val="24"/>
              </w:rPr>
              <w:t>项目周边状况详见</w:t>
            </w:r>
            <w:r>
              <w:rPr>
                <w:rFonts w:hAnsi="宋体"/>
                <w:b/>
                <w:color w:val="auto"/>
                <w:sz w:val="24"/>
              </w:rPr>
              <w:t>附图</w:t>
            </w:r>
            <w:r>
              <w:rPr>
                <w:rFonts w:hint="eastAsia"/>
                <w:b/>
                <w:color w:val="auto"/>
                <w:sz w:val="24"/>
                <w:lang w:val="en-US" w:eastAsia="zh-CN"/>
              </w:rPr>
              <w:t>6</w:t>
            </w:r>
            <w:r>
              <w:rPr>
                <w:rFonts w:hAnsi="宋体"/>
                <w:color w:val="auto"/>
                <w:sz w:val="24"/>
              </w:rPr>
              <w:t>。</w:t>
            </w:r>
          </w:p>
          <w:p w14:paraId="188F60EE">
            <w:pPr>
              <w:tabs>
                <w:tab w:val="left" w:pos="1800"/>
              </w:tabs>
              <w:adjustRightInd w:val="0"/>
              <w:snapToGrid w:val="0"/>
              <w:spacing w:line="360" w:lineRule="auto"/>
              <w:ind w:firstLine="480" w:firstLineChars="200"/>
              <w:rPr>
                <w:color w:val="auto"/>
                <w:sz w:val="24"/>
                <w:szCs w:val="22"/>
              </w:rPr>
            </w:pPr>
            <w:r>
              <w:rPr>
                <w:rFonts w:hAnsi="宋体"/>
                <w:color w:val="auto"/>
                <w:sz w:val="24"/>
                <w:szCs w:val="22"/>
              </w:rPr>
              <w:t>根据项目的周边情况，确定主要环境保护目标见表</w:t>
            </w:r>
            <w:r>
              <w:rPr>
                <w:color w:val="auto"/>
                <w:sz w:val="24"/>
                <w:szCs w:val="22"/>
              </w:rPr>
              <w:t>3-</w:t>
            </w:r>
            <w:r>
              <w:rPr>
                <w:rFonts w:hint="eastAsia"/>
                <w:color w:val="auto"/>
                <w:sz w:val="24"/>
                <w:szCs w:val="22"/>
                <w:lang w:val="en-US" w:eastAsia="zh-CN"/>
              </w:rPr>
              <w:t>3</w:t>
            </w:r>
            <w:r>
              <w:rPr>
                <w:rFonts w:hAnsi="宋体"/>
                <w:color w:val="auto"/>
                <w:sz w:val="24"/>
                <w:szCs w:val="22"/>
              </w:rPr>
              <w:t>。</w:t>
            </w:r>
          </w:p>
          <w:p w14:paraId="40835F59">
            <w:pPr>
              <w:tabs>
                <w:tab w:val="left" w:pos="1800"/>
              </w:tabs>
              <w:adjustRightInd w:val="0"/>
              <w:snapToGrid w:val="0"/>
              <w:jc w:val="center"/>
              <w:rPr>
                <w:rFonts w:hAnsi="宋体"/>
                <w:b/>
                <w:color w:val="auto"/>
                <w:sz w:val="24"/>
                <w:szCs w:val="22"/>
              </w:rPr>
            </w:pPr>
          </w:p>
          <w:p w14:paraId="3657D9A3">
            <w:pPr>
              <w:tabs>
                <w:tab w:val="left" w:pos="1800"/>
              </w:tabs>
              <w:adjustRightInd w:val="0"/>
              <w:snapToGrid w:val="0"/>
              <w:jc w:val="center"/>
              <w:rPr>
                <w:rFonts w:hAnsi="宋体"/>
                <w:b/>
                <w:color w:val="auto"/>
                <w:sz w:val="24"/>
                <w:szCs w:val="22"/>
              </w:rPr>
            </w:pPr>
          </w:p>
          <w:p w14:paraId="71FBD47A">
            <w:pPr>
              <w:tabs>
                <w:tab w:val="left" w:pos="1800"/>
              </w:tabs>
              <w:adjustRightInd w:val="0"/>
              <w:snapToGrid w:val="0"/>
              <w:jc w:val="center"/>
              <w:rPr>
                <w:rFonts w:hAnsi="宋体"/>
                <w:b/>
                <w:color w:val="auto"/>
                <w:sz w:val="24"/>
                <w:szCs w:val="22"/>
              </w:rPr>
            </w:pPr>
          </w:p>
          <w:p w14:paraId="6A4FAD9E">
            <w:pPr>
              <w:tabs>
                <w:tab w:val="left" w:pos="1800"/>
              </w:tabs>
              <w:adjustRightInd w:val="0"/>
              <w:snapToGrid w:val="0"/>
              <w:jc w:val="center"/>
              <w:rPr>
                <w:rFonts w:hAnsi="宋体"/>
                <w:b/>
                <w:color w:val="auto"/>
                <w:sz w:val="24"/>
                <w:szCs w:val="22"/>
              </w:rPr>
            </w:pPr>
          </w:p>
          <w:p w14:paraId="57EF43A0">
            <w:pPr>
              <w:tabs>
                <w:tab w:val="left" w:pos="1800"/>
              </w:tabs>
              <w:adjustRightInd w:val="0"/>
              <w:snapToGrid w:val="0"/>
              <w:jc w:val="center"/>
              <w:rPr>
                <w:rFonts w:hAnsi="宋体"/>
                <w:b/>
                <w:color w:val="auto"/>
                <w:sz w:val="24"/>
                <w:szCs w:val="22"/>
              </w:rPr>
            </w:pPr>
          </w:p>
          <w:p w14:paraId="6D90C868">
            <w:pPr>
              <w:tabs>
                <w:tab w:val="left" w:pos="1800"/>
              </w:tabs>
              <w:adjustRightInd w:val="0"/>
              <w:snapToGrid w:val="0"/>
              <w:jc w:val="center"/>
              <w:rPr>
                <w:rFonts w:hAnsi="宋体"/>
                <w:b/>
                <w:color w:val="auto"/>
                <w:sz w:val="24"/>
                <w:szCs w:val="22"/>
              </w:rPr>
            </w:pPr>
          </w:p>
          <w:p w14:paraId="10946821">
            <w:pPr>
              <w:tabs>
                <w:tab w:val="left" w:pos="1800"/>
              </w:tabs>
              <w:adjustRightInd w:val="0"/>
              <w:snapToGrid w:val="0"/>
              <w:jc w:val="center"/>
              <w:rPr>
                <w:rFonts w:hAnsi="宋体"/>
                <w:b/>
                <w:color w:val="auto"/>
                <w:sz w:val="24"/>
                <w:szCs w:val="22"/>
              </w:rPr>
            </w:pPr>
          </w:p>
          <w:p w14:paraId="1F41DA9A">
            <w:pPr>
              <w:tabs>
                <w:tab w:val="left" w:pos="1800"/>
              </w:tabs>
              <w:adjustRightInd w:val="0"/>
              <w:snapToGrid w:val="0"/>
              <w:jc w:val="center"/>
              <w:rPr>
                <w:rFonts w:hAnsi="宋体"/>
                <w:b/>
                <w:color w:val="auto"/>
                <w:sz w:val="24"/>
                <w:szCs w:val="22"/>
              </w:rPr>
            </w:pPr>
          </w:p>
          <w:p w14:paraId="2FA6BE89">
            <w:pPr>
              <w:tabs>
                <w:tab w:val="left" w:pos="1800"/>
              </w:tabs>
              <w:adjustRightInd w:val="0"/>
              <w:snapToGrid w:val="0"/>
              <w:jc w:val="center"/>
              <w:rPr>
                <w:color w:val="auto"/>
              </w:rPr>
            </w:pPr>
            <w:r>
              <w:rPr>
                <w:rFonts w:hAnsi="宋体"/>
                <w:b/>
                <w:color w:val="auto"/>
                <w:sz w:val="24"/>
                <w:szCs w:val="22"/>
              </w:rPr>
              <w:t>表</w:t>
            </w:r>
            <w:r>
              <w:rPr>
                <w:b/>
                <w:color w:val="auto"/>
                <w:sz w:val="24"/>
                <w:szCs w:val="22"/>
              </w:rPr>
              <w:t>3-</w:t>
            </w:r>
            <w:r>
              <w:rPr>
                <w:rFonts w:hint="eastAsia"/>
                <w:b/>
                <w:color w:val="auto"/>
                <w:sz w:val="24"/>
                <w:szCs w:val="22"/>
                <w:lang w:val="en-US" w:eastAsia="zh-CN"/>
              </w:rPr>
              <w:t>3</w:t>
            </w:r>
            <w:r>
              <w:rPr>
                <w:rFonts w:hAnsi="宋体"/>
                <w:b/>
                <w:color w:val="auto"/>
                <w:sz w:val="24"/>
                <w:szCs w:val="22"/>
              </w:rPr>
              <w:t>主要环境保护目标</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617"/>
              <w:gridCol w:w="1046"/>
              <w:gridCol w:w="958"/>
              <w:gridCol w:w="860"/>
              <w:gridCol w:w="766"/>
              <w:gridCol w:w="896"/>
              <w:gridCol w:w="1046"/>
              <w:gridCol w:w="2229"/>
            </w:tblGrid>
            <w:tr w14:paraId="01086B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67" w:type="pct"/>
                  <w:vMerge w:val="restart"/>
                  <w:vAlign w:val="center"/>
                </w:tcPr>
                <w:p w14:paraId="030B27FB">
                  <w:pPr>
                    <w:tabs>
                      <w:tab w:val="left" w:pos="1800"/>
                    </w:tabs>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环境</w:t>
                  </w:r>
                </w:p>
                <w:p w14:paraId="54A2DBBD">
                  <w:pPr>
                    <w:tabs>
                      <w:tab w:val="left" w:pos="1800"/>
                    </w:tabs>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要素</w:t>
                  </w:r>
                </w:p>
              </w:tc>
              <w:tc>
                <w:tcPr>
                  <w:tcW w:w="1190" w:type="pct"/>
                  <w:gridSpan w:val="2"/>
                  <w:vAlign w:val="center"/>
                </w:tcPr>
                <w:p w14:paraId="69C333EC">
                  <w:pPr>
                    <w:tabs>
                      <w:tab w:val="left" w:pos="1800"/>
                    </w:tabs>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坐标</w:t>
                  </w:r>
                </w:p>
              </w:tc>
              <w:tc>
                <w:tcPr>
                  <w:tcW w:w="511" w:type="pct"/>
                  <w:vMerge w:val="restart"/>
                  <w:vAlign w:val="center"/>
                </w:tcPr>
                <w:p w14:paraId="0F557D48">
                  <w:pPr>
                    <w:tabs>
                      <w:tab w:val="left" w:pos="1800"/>
                    </w:tabs>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保护对象</w:t>
                  </w:r>
                </w:p>
              </w:tc>
              <w:tc>
                <w:tcPr>
                  <w:tcW w:w="454" w:type="pct"/>
                  <w:vMerge w:val="restart"/>
                  <w:vAlign w:val="center"/>
                </w:tcPr>
                <w:p w14:paraId="5C780086">
                  <w:pPr>
                    <w:tabs>
                      <w:tab w:val="left" w:pos="1800"/>
                    </w:tabs>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保护内容</w:t>
                  </w:r>
                </w:p>
                <w:p w14:paraId="34E4B805">
                  <w:pPr>
                    <w:tabs>
                      <w:tab w:val="left" w:pos="1800"/>
                    </w:tabs>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（人）</w:t>
                  </w:r>
                </w:p>
              </w:tc>
              <w:tc>
                <w:tcPr>
                  <w:tcW w:w="532" w:type="pct"/>
                  <w:vMerge w:val="restart"/>
                  <w:vAlign w:val="center"/>
                </w:tcPr>
                <w:p w14:paraId="5441E59B">
                  <w:pPr>
                    <w:tabs>
                      <w:tab w:val="left" w:pos="1800"/>
                    </w:tabs>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相对厂址方位</w:t>
                  </w:r>
                </w:p>
              </w:tc>
              <w:tc>
                <w:tcPr>
                  <w:tcW w:w="621" w:type="pct"/>
                  <w:vMerge w:val="restart"/>
                  <w:vAlign w:val="center"/>
                </w:tcPr>
                <w:p w14:paraId="54A93439">
                  <w:pPr>
                    <w:tabs>
                      <w:tab w:val="left" w:pos="1800"/>
                    </w:tabs>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相对厂界距离（米）</w:t>
                  </w:r>
                </w:p>
              </w:tc>
              <w:tc>
                <w:tcPr>
                  <w:tcW w:w="1323" w:type="pct"/>
                  <w:vMerge w:val="restart"/>
                  <w:vAlign w:val="center"/>
                </w:tcPr>
                <w:p w14:paraId="7B3B6B9D">
                  <w:pPr>
                    <w:tabs>
                      <w:tab w:val="left" w:pos="1800"/>
                    </w:tabs>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环境功能区</w:t>
                  </w:r>
                </w:p>
              </w:tc>
            </w:tr>
            <w:tr w14:paraId="2B6547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67" w:type="pct"/>
                  <w:vMerge w:val="continue"/>
                  <w:vAlign w:val="center"/>
                </w:tcPr>
                <w:p w14:paraId="29A65412">
                  <w:pPr>
                    <w:adjustRightInd w:val="0"/>
                    <w:snapToGrid w:val="0"/>
                    <w:jc w:val="center"/>
                    <w:rPr>
                      <w:rFonts w:hint="default" w:ascii="Times New Roman" w:hAnsi="Times New Roman" w:cs="Times New Roman"/>
                      <w:bCs/>
                      <w:color w:val="auto"/>
                      <w:sz w:val="21"/>
                      <w:szCs w:val="21"/>
                    </w:rPr>
                  </w:pPr>
                </w:p>
              </w:tc>
              <w:tc>
                <w:tcPr>
                  <w:tcW w:w="621" w:type="pct"/>
                  <w:vAlign w:val="center"/>
                </w:tcPr>
                <w:p w14:paraId="34DAA211">
                  <w:pPr>
                    <w:tabs>
                      <w:tab w:val="left" w:pos="1800"/>
                    </w:tabs>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经度</w:t>
                  </w:r>
                </w:p>
              </w:tc>
              <w:tc>
                <w:tcPr>
                  <w:tcW w:w="568" w:type="pct"/>
                  <w:vAlign w:val="center"/>
                </w:tcPr>
                <w:p w14:paraId="22D098BC">
                  <w:pPr>
                    <w:tabs>
                      <w:tab w:val="left" w:pos="1800"/>
                    </w:tabs>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纬度</w:t>
                  </w:r>
                </w:p>
              </w:tc>
              <w:tc>
                <w:tcPr>
                  <w:tcW w:w="511" w:type="pct"/>
                  <w:vMerge w:val="continue"/>
                  <w:vAlign w:val="center"/>
                </w:tcPr>
                <w:p w14:paraId="788CA325">
                  <w:pPr>
                    <w:adjustRightInd w:val="0"/>
                    <w:snapToGrid w:val="0"/>
                    <w:jc w:val="center"/>
                    <w:rPr>
                      <w:rFonts w:hint="default" w:ascii="Times New Roman" w:hAnsi="Times New Roman" w:cs="Times New Roman"/>
                      <w:bCs/>
                      <w:color w:val="auto"/>
                      <w:sz w:val="21"/>
                      <w:szCs w:val="21"/>
                    </w:rPr>
                  </w:pPr>
                </w:p>
              </w:tc>
              <w:tc>
                <w:tcPr>
                  <w:tcW w:w="454" w:type="pct"/>
                  <w:vMerge w:val="continue"/>
                  <w:vAlign w:val="center"/>
                </w:tcPr>
                <w:p w14:paraId="432EE3B5">
                  <w:pPr>
                    <w:adjustRightInd w:val="0"/>
                    <w:snapToGrid w:val="0"/>
                    <w:jc w:val="center"/>
                    <w:rPr>
                      <w:rFonts w:hint="default" w:ascii="Times New Roman" w:hAnsi="Times New Roman" w:cs="Times New Roman"/>
                      <w:bCs/>
                      <w:color w:val="auto"/>
                      <w:sz w:val="21"/>
                      <w:szCs w:val="21"/>
                    </w:rPr>
                  </w:pPr>
                </w:p>
              </w:tc>
              <w:tc>
                <w:tcPr>
                  <w:tcW w:w="532" w:type="pct"/>
                  <w:vMerge w:val="continue"/>
                  <w:vAlign w:val="center"/>
                </w:tcPr>
                <w:p w14:paraId="167E3ECA">
                  <w:pPr>
                    <w:adjustRightInd w:val="0"/>
                    <w:snapToGrid w:val="0"/>
                    <w:jc w:val="center"/>
                    <w:rPr>
                      <w:rFonts w:hint="default" w:ascii="Times New Roman" w:hAnsi="Times New Roman" w:cs="Times New Roman"/>
                      <w:bCs/>
                      <w:color w:val="auto"/>
                      <w:sz w:val="21"/>
                      <w:szCs w:val="21"/>
                    </w:rPr>
                  </w:pPr>
                </w:p>
              </w:tc>
              <w:tc>
                <w:tcPr>
                  <w:tcW w:w="621" w:type="pct"/>
                  <w:vMerge w:val="continue"/>
                  <w:vAlign w:val="center"/>
                </w:tcPr>
                <w:p w14:paraId="52ED1857">
                  <w:pPr>
                    <w:adjustRightInd w:val="0"/>
                    <w:snapToGrid w:val="0"/>
                    <w:jc w:val="center"/>
                    <w:rPr>
                      <w:rFonts w:hint="default" w:ascii="Times New Roman" w:hAnsi="Times New Roman" w:cs="Times New Roman"/>
                      <w:color w:val="auto"/>
                      <w:sz w:val="21"/>
                      <w:szCs w:val="21"/>
                    </w:rPr>
                  </w:pPr>
                </w:p>
              </w:tc>
              <w:tc>
                <w:tcPr>
                  <w:tcW w:w="1323" w:type="pct"/>
                  <w:vMerge w:val="continue"/>
                  <w:vAlign w:val="center"/>
                </w:tcPr>
                <w:p w14:paraId="6A1808FE">
                  <w:pPr>
                    <w:adjustRightInd w:val="0"/>
                    <w:snapToGrid w:val="0"/>
                    <w:jc w:val="center"/>
                    <w:rPr>
                      <w:rFonts w:hint="default" w:ascii="Times New Roman" w:hAnsi="Times New Roman" w:cs="Times New Roman"/>
                      <w:color w:val="auto"/>
                      <w:sz w:val="21"/>
                      <w:szCs w:val="21"/>
                    </w:rPr>
                  </w:pPr>
                </w:p>
              </w:tc>
            </w:tr>
            <w:tr w14:paraId="0FC431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9" w:hRule="atLeast"/>
                <w:jc w:val="center"/>
              </w:trPr>
              <w:tc>
                <w:tcPr>
                  <w:tcW w:w="367" w:type="pct"/>
                  <w:vMerge w:val="restart"/>
                  <w:vAlign w:val="center"/>
                </w:tcPr>
                <w:p w14:paraId="1A851CC7">
                  <w:pPr>
                    <w:snapToGrid w:val="0"/>
                    <w:spacing w:line="240" w:lineRule="exact"/>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大气环境</w:t>
                  </w:r>
                </w:p>
              </w:tc>
              <w:tc>
                <w:tcPr>
                  <w:tcW w:w="621" w:type="pct"/>
                  <w:vAlign w:val="center"/>
                </w:tcPr>
                <w:p w14:paraId="3BAA3135">
                  <w:pPr>
                    <w:adjustRightInd w:val="0"/>
                    <w:snapToGrid w:val="0"/>
                    <w:jc w:val="center"/>
                    <w:rPr>
                      <w:rFonts w:hint="default" w:ascii="Times New Roman" w:hAnsi="Times New Roman" w:cs="Times New Roman"/>
                      <w:color w:val="auto"/>
                      <w:sz w:val="21"/>
                      <w:szCs w:val="21"/>
                    </w:rPr>
                  </w:pPr>
                  <w:r>
                    <w:rPr>
                      <w:color w:val="auto"/>
                      <w:szCs w:val="21"/>
                    </w:rPr>
                    <w:t>119.223418</w:t>
                  </w:r>
                </w:p>
              </w:tc>
              <w:tc>
                <w:tcPr>
                  <w:tcW w:w="568" w:type="pct"/>
                  <w:vAlign w:val="center"/>
                </w:tcPr>
                <w:p w14:paraId="16C5EABE">
                  <w:pPr>
                    <w:adjustRightInd w:val="0"/>
                    <w:snapToGrid w:val="0"/>
                    <w:jc w:val="center"/>
                    <w:rPr>
                      <w:rFonts w:hint="default" w:ascii="Times New Roman" w:hAnsi="Times New Roman" w:cs="Times New Roman"/>
                      <w:color w:val="auto"/>
                      <w:sz w:val="21"/>
                      <w:szCs w:val="21"/>
                    </w:rPr>
                  </w:pPr>
                  <w:r>
                    <w:rPr>
                      <w:color w:val="auto"/>
                      <w:szCs w:val="21"/>
                    </w:rPr>
                    <w:t>33.785963</w:t>
                  </w:r>
                </w:p>
              </w:tc>
              <w:tc>
                <w:tcPr>
                  <w:tcW w:w="511" w:type="pct"/>
                  <w:vAlign w:val="center"/>
                </w:tcPr>
                <w:p w14:paraId="29C47500">
                  <w:pPr>
                    <w:pStyle w:val="145"/>
                    <w:rPr>
                      <w:rFonts w:hint="default" w:ascii="Times New Roman" w:hAnsi="Times New Roman" w:cs="Times New Roman"/>
                      <w:color w:val="auto"/>
                      <w:sz w:val="21"/>
                      <w:szCs w:val="21"/>
                    </w:rPr>
                  </w:pPr>
                  <w:r>
                    <w:rPr>
                      <w:color w:val="auto"/>
                    </w:rPr>
                    <w:t>涟水电子商务产业园</w:t>
                  </w:r>
                </w:p>
              </w:tc>
              <w:tc>
                <w:tcPr>
                  <w:tcW w:w="454" w:type="pct"/>
                  <w:vAlign w:val="center"/>
                </w:tcPr>
                <w:p w14:paraId="75AA6CAC">
                  <w:pPr>
                    <w:jc w:val="center"/>
                    <w:rPr>
                      <w:rFonts w:hint="default" w:ascii="Times New Roman" w:hAnsi="Times New Roman" w:cs="Times New Roman"/>
                      <w:color w:val="auto"/>
                      <w:sz w:val="21"/>
                      <w:szCs w:val="21"/>
                    </w:rPr>
                  </w:pPr>
                  <w:r>
                    <w:rPr>
                      <w:color w:val="auto"/>
                      <w:szCs w:val="21"/>
                    </w:rPr>
                    <w:t>200</w:t>
                  </w:r>
                </w:p>
              </w:tc>
              <w:tc>
                <w:tcPr>
                  <w:tcW w:w="532" w:type="pct"/>
                  <w:vAlign w:val="center"/>
                </w:tcPr>
                <w:p w14:paraId="201C9167">
                  <w:pPr>
                    <w:adjustRightInd w:val="0"/>
                    <w:snapToGrid w:val="0"/>
                    <w:jc w:val="center"/>
                    <w:rPr>
                      <w:rFonts w:hint="default" w:ascii="Times New Roman" w:hAnsi="Times New Roman" w:cs="Times New Roman"/>
                      <w:bCs/>
                      <w:color w:val="auto"/>
                      <w:sz w:val="21"/>
                      <w:szCs w:val="21"/>
                    </w:rPr>
                  </w:pPr>
                  <w:r>
                    <w:rPr>
                      <w:color w:val="auto"/>
                      <w:szCs w:val="21"/>
                    </w:rPr>
                    <w:t>东北</w:t>
                  </w:r>
                </w:p>
              </w:tc>
              <w:tc>
                <w:tcPr>
                  <w:tcW w:w="621" w:type="pct"/>
                  <w:vAlign w:val="center"/>
                </w:tcPr>
                <w:p w14:paraId="76BB7AB1">
                  <w:pPr>
                    <w:adjustRightInd w:val="0"/>
                    <w:snapToGrid w:val="0"/>
                    <w:jc w:val="center"/>
                    <w:rPr>
                      <w:rFonts w:hint="default" w:ascii="Times New Roman" w:hAnsi="Times New Roman" w:cs="Times New Roman"/>
                      <w:color w:val="auto"/>
                      <w:sz w:val="21"/>
                      <w:szCs w:val="21"/>
                    </w:rPr>
                  </w:pPr>
                  <w:r>
                    <w:rPr>
                      <w:color w:val="auto"/>
                      <w:szCs w:val="21"/>
                    </w:rPr>
                    <w:t>400</w:t>
                  </w:r>
                </w:p>
              </w:tc>
              <w:tc>
                <w:tcPr>
                  <w:tcW w:w="1323" w:type="pct"/>
                  <w:vMerge w:val="restart"/>
                  <w:vAlign w:val="center"/>
                </w:tcPr>
                <w:p w14:paraId="018F686D">
                  <w:pPr>
                    <w:tabs>
                      <w:tab w:val="left" w:pos="1800"/>
                    </w:tabs>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《环境空气质量标准》（GB3095-2012）及其修改的二级标准</w:t>
                  </w:r>
                </w:p>
              </w:tc>
            </w:tr>
            <w:tr w14:paraId="269199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9" w:hRule="atLeast"/>
                <w:jc w:val="center"/>
              </w:trPr>
              <w:tc>
                <w:tcPr>
                  <w:tcW w:w="367" w:type="pct"/>
                  <w:vMerge w:val="continue"/>
                  <w:vAlign w:val="center"/>
                </w:tcPr>
                <w:p w14:paraId="0077820F">
                  <w:pPr>
                    <w:snapToGrid w:val="0"/>
                    <w:spacing w:line="240" w:lineRule="exact"/>
                    <w:jc w:val="center"/>
                    <w:rPr>
                      <w:rFonts w:hint="eastAsia" w:cs="Times New Roman"/>
                      <w:color w:val="auto"/>
                      <w:sz w:val="21"/>
                      <w:szCs w:val="21"/>
                      <w:lang w:val="en-US" w:eastAsia="zh-CN"/>
                    </w:rPr>
                  </w:pPr>
                </w:p>
              </w:tc>
              <w:tc>
                <w:tcPr>
                  <w:tcW w:w="621" w:type="pct"/>
                  <w:vAlign w:val="center"/>
                </w:tcPr>
                <w:p w14:paraId="6B4297F2">
                  <w:pPr>
                    <w:adjustRightInd w:val="0"/>
                    <w:snapToGrid w:val="0"/>
                    <w:jc w:val="center"/>
                    <w:rPr>
                      <w:color w:val="auto"/>
                    </w:rPr>
                  </w:pPr>
                  <w:r>
                    <w:rPr>
                      <w:rFonts w:hint="eastAsia"/>
                      <w:color w:val="auto"/>
                      <w:szCs w:val="21"/>
                    </w:rPr>
                    <w:t>1</w:t>
                  </w:r>
                  <w:r>
                    <w:rPr>
                      <w:color w:val="auto"/>
                      <w:szCs w:val="21"/>
                    </w:rPr>
                    <w:t>19.216809</w:t>
                  </w:r>
                </w:p>
              </w:tc>
              <w:tc>
                <w:tcPr>
                  <w:tcW w:w="568" w:type="pct"/>
                  <w:vAlign w:val="center"/>
                </w:tcPr>
                <w:p w14:paraId="583D321B">
                  <w:pPr>
                    <w:adjustRightInd w:val="0"/>
                    <w:snapToGrid w:val="0"/>
                    <w:jc w:val="center"/>
                    <w:rPr>
                      <w:color w:val="auto"/>
                    </w:rPr>
                  </w:pPr>
                  <w:r>
                    <w:rPr>
                      <w:rFonts w:hint="eastAsia"/>
                      <w:color w:val="auto"/>
                      <w:szCs w:val="21"/>
                    </w:rPr>
                    <w:t>3</w:t>
                  </w:r>
                  <w:r>
                    <w:rPr>
                      <w:color w:val="auto"/>
                      <w:szCs w:val="21"/>
                    </w:rPr>
                    <w:t>3.777573</w:t>
                  </w:r>
                </w:p>
              </w:tc>
              <w:tc>
                <w:tcPr>
                  <w:tcW w:w="511" w:type="pct"/>
                  <w:vAlign w:val="center"/>
                </w:tcPr>
                <w:p w14:paraId="0391950A">
                  <w:pPr>
                    <w:pStyle w:val="145"/>
                    <w:rPr>
                      <w:color w:val="auto"/>
                    </w:rPr>
                  </w:pPr>
                  <w:r>
                    <w:rPr>
                      <w:rFonts w:hint="eastAsia"/>
                      <w:color w:val="auto"/>
                    </w:rPr>
                    <w:t>涟水妇幼保健院</w:t>
                  </w:r>
                </w:p>
              </w:tc>
              <w:tc>
                <w:tcPr>
                  <w:tcW w:w="454" w:type="pct"/>
                  <w:vAlign w:val="center"/>
                </w:tcPr>
                <w:p w14:paraId="394157C1">
                  <w:pPr>
                    <w:jc w:val="center"/>
                    <w:rPr>
                      <w:color w:val="auto"/>
                    </w:rPr>
                  </w:pPr>
                  <w:r>
                    <w:rPr>
                      <w:rFonts w:hint="eastAsia"/>
                      <w:color w:val="auto"/>
                      <w:szCs w:val="21"/>
                    </w:rPr>
                    <w:t>5</w:t>
                  </w:r>
                  <w:r>
                    <w:rPr>
                      <w:color w:val="auto"/>
                      <w:szCs w:val="21"/>
                    </w:rPr>
                    <w:t>0</w:t>
                  </w:r>
                </w:p>
              </w:tc>
              <w:tc>
                <w:tcPr>
                  <w:tcW w:w="532" w:type="pct"/>
                  <w:vAlign w:val="center"/>
                </w:tcPr>
                <w:p w14:paraId="4F7730EA">
                  <w:pPr>
                    <w:adjustRightInd w:val="0"/>
                    <w:snapToGrid w:val="0"/>
                    <w:jc w:val="center"/>
                    <w:rPr>
                      <w:rFonts w:hint="eastAsia"/>
                      <w:color w:val="auto"/>
                    </w:rPr>
                  </w:pPr>
                  <w:r>
                    <w:rPr>
                      <w:rFonts w:hint="eastAsia"/>
                      <w:color w:val="auto"/>
                      <w:szCs w:val="21"/>
                    </w:rPr>
                    <w:t>南</w:t>
                  </w:r>
                </w:p>
              </w:tc>
              <w:tc>
                <w:tcPr>
                  <w:tcW w:w="621" w:type="pct"/>
                  <w:vAlign w:val="center"/>
                </w:tcPr>
                <w:p w14:paraId="261B614A">
                  <w:pPr>
                    <w:adjustRightInd w:val="0"/>
                    <w:snapToGrid w:val="0"/>
                    <w:jc w:val="center"/>
                    <w:rPr>
                      <w:color w:val="auto"/>
                    </w:rPr>
                  </w:pPr>
                  <w:r>
                    <w:rPr>
                      <w:rFonts w:hint="eastAsia"/>
                      <w:color w:val="auto"/>
                      <w:szCs w:val="21"/>
                    </w:rPr>
                    <w:t>4</w:t>
                  </w:r>
                  <w:r>
                    <w:rPr>
                      <w:color w:val="auto"/>
                      <w:szCs w:val="21"/>
                    </w:rPr>
                    <w:t>80</w:t>
                  </w:r>
                </w:p>
              </w:tc>
              <w:tc>
                <w:tcPr>
                  <w:tcW w:w="1323" w:type="pct"/>
                  <w:vMerge w:val="continue"/>
                  <w:vAlign w:val="center"/>
                </w:tcPr>
                <w:p w14:paraId="2435144E">
                  <w:pPr>
                    <w:tabs>
                      <w:tab w:val="left" w:pos="1800"/>
                    </w:tabs>
                    <w:adjustRightInd w:val="0"/>
                    <w:snapToGrid w:val="0"/>
                    <w:jc w:val="center"/>
                    <w:rPr>
                      <w:rFonts w:hint="default" w:ascii="Times New Roman" w:hAnsi="Times New Roman" w:cs="Times New Roman"/>
                      <w:color w:val="auto"/>
                      <w:sz w:val="21"/>
                      <w:szCs w:val="21"/>
                    </w:rPr>
                  </w:pPr>
                </w:p>
              </w:tc>
            </w:tr>
            <w:tr w14:paraId="0D474C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9" w:hRule="atLeast"/>
                <w:jc w:val="center"/>
              </w:trPr>
              <w:tc>
                <w:tcPr>
                  <w:tcW w:w="367" w:type="pct"/>
                  <w:vMerge w:val="continue"/>
                  <w:vAlign w:val="center"/>
                </w:tcPr>
                <w:p w14:paraId="6EDEB0E0">
                  <w:pPr>
                    <w:snapToGrid w:val="0"/>
                    <w:spacing w:line="240" w:lineRule="exact"/>
                    <w:jc w:val="center"/>
                    <w:rPr>
                      <w:rFonts w:hint="eastAsia" w:cs="Times New Roman"/>
                      <w:color w:val="auto"/>
                      <w:sz w:val="21"/>
                      <w:szCs w:val="21"/>
                      <w:lang w:val="en-US" w:eastAsia="zh-CN"/>
                    </w:rPr>
                  </w:pPr>
                </w:p>
              </w:tc>
              <w:tc>
                <w:tcPr>
                  <w:tcW w:w="621" w:type="pct"/>
                  <w:vAlign w:val="center"/>
                </w:tcPr>
                <w:p w14:paraId="10E2432F">
                  <w:pPr>
                    <w:adjustRightInd w:val="0"/>
                    <w:snapToGrid w:val="0"/>
                    <w:jc w:val="center"/>
                    <w:rPr>
                      <w:color w:val="auto"/>
                    </w:rPr>
                  </w:pPr>
                  <w:r>
                    <w:rPr>
                      <w:rFonts w:hint="eastAsia"/>
                      <w:color w:val="auto"/>
                      <w:szCs w:val="21"/>
                    </w:rPr>
                    <w:t>1</w:t>
                  </w:r>
                  <w:r>
                    <w:rPr>
                      <w:color w:val="auto"/>
                      <w:szCs w:val="21"/>
                    </w:rPr>
                    <w:t>19.219395</w:t>
                  </w:r>
                </w:p>
              </w:tc>
              <w:tc>
                <w:tcPr>
                  <w:tcW w:w="568" w:type="pct"/>
                  <w:vAlign w:val="center"/>
                </w:tcPr>
                <w:p w14:paraId="0D261E43">
                  <w:pPr>
                    <w:adjustRightInd w:val="0"/>
                    <w:snapToGrid w:val="0"/>
                    <w:jc w:val="center"/>
                    <w:rPr>
                      <w:color w:val="auto"/>
                    </w:rPr>
                  </w:pPr>
                  <w:r>
                    <w:rPr>
                      <w:rFonts w:hint="eastAsia"/>
                      <w:color w:val="auto"/>
                      <w:szCs w:val="21"/>
                    </w:rPr>
                    <w:t>3</w:t>
                  </w:r>
                  <w:r>
                    <w:rPr>
                      <w:color w:val="auto"/>
                      <w:szCs w:val="21"/>
                    </w:rPr>
                    <w:t>3.777487</w:t>
                  </w:r>
                </w:p>
              </w:tc>
              <w:tc>
                <w:tcPr>
                  <w:tcW w:w="511" w:type="pct"/>
                  <w:vAlign w:val="center"/>
                </w:tcPr>
                <w:p w14:paraId="73FC2339">
                  <w:pPr>
                    <w:pStyle w:val="145"/>
                    <w:rPr>
                      <w:color w:val="auto"/>
                    </w:rPr>
                  </w:pPr>
                  <w:r>
                    <w:rPr>
                      <w:rFonts w:hint="eastAsia"/>
                      <w:color w:val="auto"/>
                    </w:rPr>
                    <w:t>滨河新苑</w:t>
                  </w:r>
                </w:p>
              </w:tc>
              <w:tc>
                <w:tcPr>
                  <w:tcW w:w="454" w:type="pct"/>
                  <w:vAlign w:val="center"/>
                </w:tcPr>
                <w:p w14:paraId="25FEAC96">
                  <w:pPr>
                    <w:jc w:val="center"/>
                    <w:rPr>
                      <w:color w:val="auto"/>
                    </w:rPr>
                  </w:pPr>
                  <w:r>
                    <w:rPr>
                      <w:rFonts w:hint="eastAsia"/>
                      <w:color w:val="auto"/>
                      <w:szCs w:val="21"/>
                    </w:rPr>
                    <w:t>1</w:t>
                  </w:r>
                  <w:r>
                    <w:rPr>
                      <w:color w:val="auto"/>
                      <w:szCs w:val="21"/>
                    </w:rPr>
                    <w:t>00</w:t>
                  </w:r>
                </w:p>
              </w:tc>
              <w:tc>
                <w:tcPr>
                  <w:tcW w:w="532" w:type="pct"/>
                  <w:vAlign w:val="center"/>
                </w:tcPr>
                <w:p w14:paraId="2B5ED0A5">
                  <w:pPr>
                    <w:jc w:val="center"/>
                    <w:rPr>
                      <w:color w:val="auto"/>
                    </w:rPr>
                  </w:pPr>
                  <w:r>
                    <w:rPr>
                      <w:rFonts w:hint="eastAsia"/>
                      <w:color w:val="auto"/>
                      <w:lang w:val="en-US" w:eastAsia="zh-CN"/>
                    </w:rPr>
                    <w:t>东南</w:t>
                  </w:r>
                </w:p>
              </w:tc>
              <w:tc>
                <w:tcPr>
                  <w:tcW w:w="621" w:type="pct"/>
                  <w:vAlign w:val="center"/>
                </w:tcPr>
                <w:p w14:paraId="0CD4DA4F">
                  <w:pPr>
                    <w:adjustRightInd w:val="0"/>
                    <w:snapToGrid w:val="0"/>
                    <w:jc w:val="center"/>
                    <w:rPr>
                      <w:rFonts w:hint="default" w:eastAsia="宋体"/>
                      <w:color w:val="auto"/>
                      <w:lang w:val="en-US" w:eastAsia="zh-CN"/>
                    </w:rPr>
                  </w:pPr>
                  <w:r>
                    <w:rPr>
                      <w:rFonts w:hint="eastAsia"/>
                      <w:color w:val="auto"/>
                      <w:lang w:val="en-US" w:eastAsia="zh-CN"/>
                    </w:rPr>
                    <w:t>620</w:t>
                  </w:r>
                </w:p>
              </w:tc>
              <w:tc>
                <w:tcPr>
                  <w:tcW w:w="1323" w:type="pct"/>
                  <w:vMerge w:val="continue"/>
                  <w:vAlign w:val="center"/>
                </w:tcPr>
                <w:p w14:paraId="55DD5D56">
                  <w:pPr>
                    <w:tabs>
                      <w:tab w:val="left" w:pos="1800"/>
                    </w:tabs>
                    <w:adjustRightInd w:val="0"/>
                    <w:snapToGrid w:val="0"/>
                    <w:jc w:val="center"/>
                    <w:rPr>
                      <w:rFonts w:hint="default" w:ascii="Times New Roman" w:hAnsi="Times New Roman" w:cs="Times New Roman"/>
                      <w:color w:val="auto"/>
                      <w:sz w:val="21"/>
                      <w:szCs w:val="21"/>
                    </w:rPr>
                  </w:pPr>
                </w:p>
              </w:tc>
            </w:tr>
            <w:tr w14:paraId="6AC127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9" w:hRule="atLeast"/>
                <w:jc w:val="center"/>
              </w:trPr>
              <w:tc>
                <w:tcPr>
                  <w:tcW w:w="367" w:type="pct"/>
                  <w:vAlign w:val="center"/>
                </w:tcPr>
                <w:p w14:paraId="3A89AE9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声环境</w:t>
                  </w:r>
                </w:p>
              </w:tc>
              <w:tc>
                <w:tcPr>
                  <w:tcW w:w="4632" w:type="pct"/>
                  <w:gridSpan w:val="7"/>
                  <w:vAlign w:val="center"/>
                </w:tcPr>
                <w:p w14:paraId="1102BE21">
                  <w:pPr>
                    <w:tabs>
                      <w:tab w:val="left" w:pos="1800"/>
                    </w:tabs>
                    <w:adjustRightInd w:val="0"/>
                    <w:snapToGrid w:val="0"/>
                    <w:jc w:val="center"/>
                    <w:rPr>
                      <w:rFonts w:hint="default" w:ascii="Times New Roman" w:hAnsi="Times New Roman" w:cs="Times New Roman"/>
                      <w:color w:val="auto"/>
                      <w:sz w:val="21"/>
                      <w:szCs w:val="21"/>
                    </w:rPr>
                  </w:pPr>
                  <w:r>
                    <w:rPr>
                      <w:rFonts w:hint="eastAsia" w:hAnsiTheme="minorEastAsia" w:eastAsiaTheme="minorEastAsia"/>
                      <w:color w:val="auto"/>
                      <w:sz w:val="21"/>
                      <w:szCs w:val="21"/>
                    </w:rPr>
                    <w:t>建设项目</w:t>
                  </w:r>
                  <w:r>
                    <w:rPr>
                      <w:rFonts w:hAnsiTheme="minorEastAsia" w:eastAsiaTheme="minorEastAsia"/>
                      <w:color w:val="auto"/>
                      <w:sz w:val="21"/>
                      <w:szCs w:val="21"/>
                    </w:rPr>
                    <w:t>厂界外</w:t>
                  </w:r>
                  <w:r>
                    <w:rPr>
                      <w:rFonts w:eastAsiaTheme="minorEastAsia"/>
                      <w:color w:val="auto"/>
                      <w:sz w:val="21"/>
                      <w:szCs w:val="21"/>
                    </w:rPr>
                    <w:t>50</w:t>
                  </w:r>
                  <w:r>
                    <w:rPr>
                      <w:rFonts w:hAnsiTheme="minorEastAsia" w:eastAsiaTheme="minorEastAsia"/>
                      <w:color w:val="auto"/>
                      <w:sz w:val="21"/>
                      <w:szCs w:val="21"/>
                    </w:rPr>
                    <w:t>米范围内无声环境保护目标</w:t>
                  </w:r>
                </w:p>
              </w:tc>
            </w:tr>
            <w:tr w14:paraId="368E02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9" w:hRule="atLeast"/>
                <w:jc w:val="center"/>
              </w:trPr>
              <w:tc>
                <w:tcPr>
                  <w:tcW w:w="1557" w:type="pct"/>
                  <w:gridSpan w:val="3"/>
                  <w:vMerge w:val="restart"/>
                  <w:vAlign w:val="center"/>
                </w:tcPr>
                <w:p w14:paraId="364BE0A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地表水环境</w:t>
                  </w:r>
                </w:p>
              </w:tc>
              <w:tc>
                <w:tcPr>
                  <w:tcW w:w="511" w:type="pct"/>
                  <w:vAlign w:val="center"/>
                </w:tcPr>
                <w:p w14:paraId="1F5726C2">
                  <w:pPr>
                    <w:tabs>
                      <w:tab w:val="left" w:pos="1800"/>
                    </w:tabs>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公兴河</w:t>
                  </w:r>
                </w:p>
              </w:tc>
              <w:tc>
                <w:tcPr>
                  <w:tcW w:w="454" w:type="pct"/>
                  <w:vAlign w:val="center"/>
                </w:tcPr>
                <w:p w14:paraId="46BDA187">
                  <w:pPr>
                    <w:tabs>
                      <w:tab w:val="left" w:pos="1800"/>
                    </w:tabs>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纳污河</w:t>
                  </w:r>
                </w:p>
              </w:tc>
              <w:tc>
                <w:tcPr>
                  <w:tcW w:w="532" w:type="pct"/>
                  <w:vAlign w:val="center"/>
                </w:tcPr>
                <w:p w14:paraId="2D75DBFC">
                  <w:pPr>
                    <w:tabs>
                      <w:tab w:val="left" w:pos="1800"/>
                    </w:tabs>
                    <w:adjustRightInd w:val="0"/>
                    <w:snapToGrid w:val="0"/>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N</w:t>
                  </w:r>
                </w:p>
              </w:tc>
              <w:tc>
                <w:tcPr>
                  <w:tcW w:w="621" w:type="pct"/>
                  <w:vAlign w:val="center"/>
                </w:tcPr>
                <w:p w14:paraId="2BE0EA15">
                  <w:pPr>
                    <w:tabs>
                      <w:tab w:val="left" w:pos="1800"/>
                    </w:tabs>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8150</w:t>
                  </w:r>
                </w:p>
              </w:tc>
              <w:tc>
                <w:tcPr>
                  <w:tcW w:w="1323" w:type="pct"/>
                  <w:vAlign w:val="center"/>
                </w:tcPr>
                <w:p w14:paraId="25E36A91">
                  <w:pPr>
                    <w:tabs>
                      <w:tab w:val="left" w:pos="1800"/>
                    </w:tabs>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《地表水环境质量标准》（GB3838-2002）Ⅲ类标准</w:t>
                  </w:r>
                </w:p>
              </w:tc>
            </w:tr>
            <w:tr w14:paraId="1A9FF3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9" w:hRule="atLeast"/>
                <w:jc w:val="center"/>
              </w:trPr>
              <w:tc>
                <w:tcPr>
                  <w:tcW w:w="1557" w:type="pct"/>
                  <w:gridSpan w:val="3"/>
                  <w:vMerge w:val="continue"/>
                  <w:vAlign w:val="center"/>
                </w:tcPr>
                <w:p w14:paraId="18F97D57">
                  <w:pPr>
                    <w:jc w:val="center"/>
                    <w:rPr>
                      <w:rFonts w:hint="default" w:ascii="Times New Roman" w:hAnsi="Times New Roman" w:cs="Times New Roman"/>
                      <w:color w:val="auto"/>
                      <w:sz w:val="21"/>
                      <w:szCs w:val="21"/>
                    </w:rPr>
                  </w:pPr>
                </w:p>
              </w:tc>
              <w:tc>
                <w:tcPr>
                  <w:tcW w:w="511" w:type="pct"/>
                  <w:vAlign w:val="center"/>
                </w:tcPr>
                <w:p w14:paraId="7C64EB54">
                  <w:pPr>
                    <w:tabs>
                      <w:tab w:val="left" w:pos="1800"/>
                    </w:tabs>
                    <w:adjustRightInd w:val="0"/>
                    <w:snapToGrid w:val="0"/>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盐河</w:t>
                  </w:r>
                </w:p>
              </w:tc>
              <w:tc>
                <w:tcPr>
                  <w:tcW w:w="454" w:type="pct"/>
                  <w:vAlign w:val="center"/>
                </w:tcPr>
                <w:p w14:paraId="3AE0C32B">
                  <w:pPr>
                    <w:tabs>
                      <w:tab w:val="left" w:pos="1800"/>
                    </w:tabs>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纳污河</w:t>
                  </w:r>
                </w:p>
              </w:tc>
              <w:tc>
                <w:tcPr>
                  <w:tcW w:w="532" w:type="pct"/>
                  <w:vAlign w:val="center"/>
                </w:tcPr>
                <w:p w14:paraId="1BA05FFE">
                  <w:pPr>
                    <w:tabs>
                      <w:tab w:val="left" w:pos="1800"/>
                    </w:tabs>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E</w:t>
                  </w:r>
                </w:p>
              </w:tc>
              <w:tc>
                <w:tcPr>
                  <w:tcW w:w="621" w:type="pct"/>
                  <w:vAlign w:val="center"/>
                </w:tcPr>
                <w:p w14:paraId="4DE30583">
                  <w:pPr>
                    <w:tabs>
                      <w:tab w:val="left" w:pos="1800"/>
                    </w:tabs>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955</w:t>
                  </w:r>
                </w:p>
              </w:tc>
              <w:tc>
                <w:tcPr>
                  <w:tcW w:w="1323" w:type="pct"/>
                  <w:vAlign w:val="center"/>
                </w:tcPr>
                <w:p w14:paraId="591CA78F">
                  <w:pPr>
                    <w:tabs>
                      <w:tab w:val="left" w:pos="1800"/>
                    </w:tabs>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《地表水环境质量标准》（GB3838-2002）类标准</w:t>
                  </w:r>
                </w:p>
              </w:tc>
            </w:tr>
            <w:tr w14:paraId="4E453A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57" w:type="pct"/>
                  <w:gridSpan w:val="3"/>
                  <w:vAlign w:val="center"/>
                </w:tcPr>
                <w:p w14:paraId="7C1DB453">
                  <w:pPr>
                    <w:tabs>
                      <w:tab w:val="left" w:pos="1800"/>
                    </w:tabs>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地下水环境</w:t>
                  </w:r>
                </w:p>
              </w:tc>
              <w:tc>
                <w:tcPr>
                  <w:tcW w:w="3442" w:type="pct"/>
                  <w:gridSpan w:val="5"/>
                  <w:vAlign w:val="center"/>
                </w:tcPr>
                <w:p w14:paraId="03DED882">
                  <w:pPr>
                    <w:tabs>
                      <w:tab w:val="left" w:pos="1800"/>
                    </w:tabs>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厂界外500米范围内无地下水集中式饮用水水源和热水、矿泉水、温泉等特殊地下水资源</w:t>
                  </w:r>
                </w:p>
              </w:tc>
            </w:tr>
            <w:tr w14:paraId="462AB3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57" w:type="pct"/>
                  <w:gridSpan w:val="3"/>
                  <w:vAlign w:val="center"/>
                </w:tcPr>
                <w:p w14:paraId="4B4C02F3">
                  <w:pPr>
                    <w:tabs>
                      <w:tab w:val="left" w:pos="1800"/>
                    </w:tabs>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生态环境</w:t>
                  </w:r>
                </w:p>
              </w:tc>
              <w:tc>
                <w:tcPr>
                  <w:tcW w:w="966" w:type="pct"/>
                  <w:gridSpan w:val="2"/>
                  <w:vAlign w:val="center"/>
                </w:tcPr>
                <w:p w14:paraId="7820CDC9">
                  <w:pPr>
                    <w:tabs>
                      <w:tab w:val="left" w:pos="1800"/>
                    </w:tabs>
                    <w:adjustRightInd w:val="0"/>
                    <w:snapToGrid w:val="0"/>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涟水湖</w:t>
                  </w:r>
                </w:p>
              </w:tc>
              <w:tc>
                <w:tcPr>
                  <w:tcW w:w="532" w:type="pct"/>
                  <w:vAlign w:val="center"/>
                </w:tcPr>
                <w:p w14:paraId="4D0E493B">
                  <w:pPr>
                    <w:tabs>
                      <w:tab w:val="left" w:pos="1800"/>
                    </w:tabs>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WS</w:t>
                  </w:r>
                </w:p>
              </w:tc>
              <w:tc>
                <w:tcPr>
                  <w:tcW w:w="621" w:type="pct"/>
                  <w:vAlign w:val="center"/>
                </w:tcPr>
                <w:p w14:paraId="7EDFAF67">
                  <w:pPr>
                    <w:tabs>
                      <w:tab w:val="left" w:pos="1800"/>
                    </w:tabs>
                    <w:adjustRightInd w:val="0"/>
                    <w:snapToGrid w:val="0"/>
                    <w:jc w:val="center"/>
                    <w:rPr>
                      <w:rFonts w:hint="default" w:ascii="Times New Roman" w:hAnsi="Times New Roman" w:cs="Times New Roman"/>
                      <w:color w:val="auto"/>
                      <w:sz w:val="21"/>
                      <w:szCs w:val="21"/>
                      <w:lang w:val="en-US"/>
                    </w:rPr>
                  </w:pPr>
                  <w:r>
                    <w:rPr>
                      <w:rFonts w:hint="eastAsia" w:cs="Times New Roman"/>
                      <w:color w:val="auto"/>
                      <w:sz w:val="21"/>
                      <w:szCs w:val="21"/>
                      <w:lang w:val="en-US" w:eastAsia="zh-CN"/>
                    </w:rPr>
                    <w:t>1010</w:t>
                  </w:r>
                </w:p>
              </w:tc>
              <w:tc>
                <w:tcPr>
                  <w:tcW w:w="1323" w:type="pct"/>
                  <w:vAlign w:val="center"/>
                </w:tcPr>
                <w:p w14:paraId="0E02B257">
                  <w:pPr>
                    <w:tabs>
                      <w:tab w:val="left" w:pos="1800"/>
                    </w:tabs>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自然保护区</w:t>
                  </w:r>
                </w:p>
              </w:tc>
            </w:tr>
          </w:tbl>
          <w:p w14:paraId="3ADCAE39">
            <w:pPr>
              <w:autoSpaceDE w:val="0"/>
              <w:autoSpaceDN w:val="0"/>
              <w:snapToGrid w:val="0"/>
              <w:jc w:val="left"/>
              <w:rPr>
                <w:color w:val="auto"/>
              </w:rPr>
            </w:pPr>
          </w:p>
        </w:tc>
      </w:tr>
      <w:tr w14:paraId="45C9CD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62" w:hRule="atLeast"/>
          <w:jc w:val="center"/>
        </w:trPr>
        <w:tc>
          <w:tcPr>
            <w:tcW w:w="234" w:type="pct"/>
            <w:tcMar>
              <w:left w:w="28" w:type="dxa"/>
              <w:right w:w="28" w:type="dxa"/>
            </w:tcMar>
            <w:vAlign w:val="center"/>
          </w:tcPr>
          <w:p w14:paraId="2C19CE52">
            <w:pPr>
              <w:adjustRightInd w:val="0"/>
              <w:snapToGrid w:val="0"/>
              <w:jc w:val="center"/>
              <w:rPr>
                <w:b/>
                <w:bCs/>
                <w:color w:val="auto"/>
                <w:kern w:val="0"/>
                <w:sz w:val="24"/>
              </w:rPr>
            </w:pPr>
            <w:r>
              <w:rPr>
                <w:rFonts w:hAnsi="宋体"/>
                <w:b/>
                <w:bCs/>
                <w:color w:val="auto"/>
                <w:kern w:val="0"/>
                <w:sz w:val="24"/>
              </w:rPr>
              <w:t>污染</w:t>
            </w:r>
          </w:p>
          <w:p w14:paraId="6434B365">
            <w:pPr>
              <w:adjustRightInd w:val="0"/>
              <w:snapToGrid w:val="0"/>
              <w:jc w:val="center"/>
              <w:rPr>
                <w:b/>
                <w:bCs/>
                <w:color w:val="auto"/>
                <w:kern w:val="0"/>
                <w:sz w:val="24"/>
              </w:rPr>
            </w:pPr>
            <w:r>
              <w:rPr>
                <w:rFonts w:hAnsi="宋体"/>
                <w:b/>
                <w:bCs/>
                <w:color w:val="auto"/>
                <w:kern w:val="0"/>
                <w:sz w:val="24"/>
              </w:rPr>
              <w:t>物排</w:t>
            </w:r>
          </w:p>
          <w:p w14:paraId="404F3614">
            <w:pPr>
              <w:adjustRightInd w:val="0"/>
              <w:snapToGrid w:val="0"/>
              <w:jc w:val="center"/>
              <w:rPr>
                <w:b/>
                <w:bCs/>
                <w:color w:val="auto"/>
                <w:kern w:val="0"/>
                <w:sz w:val="24"/>
              </w:rPr>
            </w:pPr>
            <w:r>
              <w:rPr>
                <w:rFonts w:hAnsi="宋体"/>
                <w:b/>
                <w:bCs/>
                <w:color w:val="auto"/>
                <w:kern w:val="0"/>
                <w:sz w:val="24"/>
              </w:rPr>
              <w:t>放控</w:t>
            </w:r>
          </w:p>
          <w:p w14:paraId="62347F48">
            <w:pPr>
              <w:adjustRightInd w:val="0"/>
              <w:snapToGrid w:val="0"/>
              <w:jc w:val="center"/>
              <w:rPr>
                <w:b/>
                <w:bCs/>
                <w:color w:val="auto"/>
                <w:kern w:val="0"/>
                <w:sz w:val="24"/>
              </w:rPr>
            </w:pPr>
            <w:r>
              <w:rPr>
                <w:rFonts w:hAnsi="宋体"/>
                <w:b/>
                <w:bCs/>
                <w:color w:val="auto"/>
                <w:kern w:val="0"/>
                <w:sz w:val="24"/>
              </w:rPr>
              <w:t>制标</w:t>
            </w:r>
          </w:p>
          <w:p w14:paraId="27578098">
            <w:pPr>
              <w:adjustRightInd w:val="0"/>
              <w:snapToGrid w:val="0"/>
              <w:jc w:val="center"/>
              <w:rPr>
                <w:b/>
                <w:bCs/>
                <w:color w:val="auto"/>
                <w:kern w:val="0"/>
                <w:sz w:val="24"/>
              </w:rPr>
            </w:pPr>
            <w:r>
              <w:rPr>
                <w:rFonts w:hAnsi="宋体"/>
                <w:b/>
                <w:bCs/>
                <w:color w:val="auto"/>
                <w:kern w:val="0"/>
                <w:sz w:val="24"/>
              </w:rPr>
              <w:t>准</w:t>
            </w:r>
          </w:p>
        </w:tc>
        <w:tc>
          <w:tcPr>
            <w:tcW w:w="4766" w:type="pct"/>
          </w:tcPr>
          <w:p w14:paraId="2771A732">
            <w:pPr>
              <w:widowControl/>
              <w:adjustRightInd w:val="0"/>
              <w:snapToGrid w:val="0"/>
              <w:spacing w:line="360" w:lineRule="auto"/>
              <w:ind w:firstLine="482" w:firstLineChars="200"/>
              <w:rPr>
                <w:b/>
                <w:color w:val="auto"/>
                <w:kern w:val="0"/>
                <w:sz w:val="24"/>
                <w:szCs w:val="20"/>
              </w:rPr>
            </w:pPr>
            <w:r>
              <w:rPr>
                <w:b/>
                <w:color w:val="auto"/>
                <w:kern w:val="0"/>
                <w:sz w:val="24"/>
                <w:szCs w:val="20"/>
              </w:rPr>
              <w:t>1.</w:t>
            </w:r>
            <w:r>
              <w:rPr>
                <w:rFonts w:hAnsi="宋体"/>
                <w:b/>
                <w:color w:val="auto"/>
                <w:kern w:val="0"/>
                <w:sz w:val="24"/>
                <w:szCs w:val="20"/>
              </w:rPr>
              <w:t>废气</w:t>
            </w:r>
          </w:p>
          <w:p w14:paraId="1A95FAEE">
            <w:pPr>
              <w:autoSpaceDE w:val="0"/>
              <w:autoSpaceDN w:val="0"/>
              <w:adjustRightInd w:val="0"/>
              <w:spacing w:line="360" w:lineRule="auto"/>
              <w:ind w:firstLine="480" w:firstLineChars="200"/>
              <w:rPr>
                <w:color w:val="auto"/>
                <w:sz w:val="24"/>
              </w:rPr>
            </w:pPr>
            <w:r>
              <w:rPr>
                <w:rFonts w:hint="eastAsia"/>
                <w:color w:val="auto"/>
                <w:sz w:val="24"/>
                <w:lang w:eastAsia="zh-CN"/>
              </w:rPr>
              <w:t>扩建</w:t>
            </w:r>
            <w:r>
              <w:rPr>
                <w:color w:val="auto"/>
                <w:sz w:val="24"/>
              </w:rPr>
              <w:t>项目污水处理站无组织氨、硫化氢浓度排放执行《恶臭污染物排放标准》（GB14554-93）中</w:t>
            </w:r>
            <w:r>
              <w:rPr>
                <w:rFonts w:hint="eastAsia"/>
                <w:color w:val="auto"/>
                <w:sz w:val="24"/>
              </w:rPr>
              <w:t>表1恶臭污染物</w:t>
            </w:r>
            <w:r>
              <w:rPr>
                <w:color w:val="auto"/>
                <w:sz w:val="24"/>
              </w:rPr>
              <w:t>厂界标准值中的二级（新扩改建）排放标准，具体详见表3-</w:t>
            </w:r>
            <w:r>
              <w:rPr>
                <w:rFonts w:hint="eastAsia"/>
                <w:color w:val="auto"/>
                <w:sz w:val="24"/>
                <w:lang w:val="en-US" w:eastAsia="zh-CN"/>
              </w:rPr>
              <w:t>4</w:t>
            </w:r>
            <w:r>
              <w:rPr>
                <w:color w:val="auto"/>
                <w:sz w:val="24"/>
              </w:rPr>
              <w:t>。</w:t>
            </w:r>
          </w:p>
          <w:p w14:paraId="3B023B9C">
            <w:pPr>
              <w:pStyle w:val="10"/>
              <w:spacing w:before="120"/>
              <w:ind w:left="960" w:hanging="480"/>
              <w:rPr>
                <w:rFonts w:eastAsia="宋体"/>
                <w:color w:val="auto"/>
              </w:rPr>
            </w:pPr>
            <w:r>
              <w:rPr>
                <w:rFonts w:eastAsia="宋体"/>
                <w:color w:val="auto"/>
              </w:rPr>
              <w:t>表3-</w:t>
            </w:r>
            <w:r>
              <w:rPr>
                <w:rFonts w:hint="eastAsia" w:eastAsia="宋体"/>
                <w:color w:val="auto"/>
                <w:lang w:val="en-US" w:eastAsia="zh-CN"/>
              </w:rPr>
              <w:t>4</w:t>
            </w:r>
            <w:r>
              <w:rPr>
                <w:rFonts w:eastAsia="宋体"/>
                <w:color w:val="auto"/>
              </w:rPr>
              <w:t xml:space="preserve"> 恶臭污染物厂界标准限值</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2263"/>
              <w:gridCol w:w="4884"/>
            </w:tblGrid>
            <w:tr w14:paraId="4FE18D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779" w:type="pct"/>
                  <w:tcBorders>
                    <w:top w:val="single" w:color="auto" w:sz="12" w:space="0"/>
                    <w:bottom w:val="single" w:color="auto" w:sz="12" w:space="0"/>
                  </w:tcBorders>
                  <w:noWrap/>
                  <w:vAlign w:val="center"/>
                </w:tcPr>
                <w:p w14:paraId="368367E7">
                  <w:pPr>
                    <w:jc w:val="center"/>
                    <w:rPr>
                      <w:b/>
                      <w:bCs/>
                      <w:color w:val="auto"/>
                      <w:szCs w:val="21"/>
                    </w:rPr>
                  </w:pPr>
                  <w:r>
                    <w:rPr>
                      <w:rFonts w:hint="eastAsia"/>
                      <w:b/>
                      <w:bCs/>
                      <w:color w:val="auto"/>
                      <w:szCs w:val="21"/>
                    </w:rPr>
                    <w:t>污染物名称</w:t>
                  </w:r>
                </w:p>
              </w:tc>
              <w:tc>
                <w:tcPr>
                  <w:tcW w:w="2110" w:type="pct"/>
                  <w:tcBorders>
                    <w:top w:val="single" w:color="auto" w:sz="12" w:space="0"/>
                    <w:bottom w:val="single" w:color="auto" w:sz="12" w:space="0"/>
                  </w:tcBorders>
                  <w:vAlign w:val="center"/>
                </w:tcPr>
                <w:p w14:paraId="1BDAA711">
                  <w:pPr>
                    <w:jc w:val="center"/>
                    <w:rPr>
                      <w:b/>
                      <w:bCs/>
                      <w:color w:val="auto"/>
                      <w:szCs w:val="21"/>
                    </w:rPr>
                  </w:pPr>
                  <w:r>
                    <w:rPr>
                      <w:rFonts w:hint="eastAsia"/>
                      <w:b/>
                      <w:bCs/>
                      <w:color w:val="auto"/>
                      <w:szCs w:val="21"/>
                    </w:rPr>
                    <w:t>二级新改扩建排放标准（</w:t>
                  </w:r>
                  <w:r>
                    <w:rPr>
                      <w:b/>
                      <w:color w:val="auto"/>
                      <w:szCs w:val="21"/>
                    </w:rPr>
                    <w:t>mg/m</w:t>
                  </w:r>
                  <w:r>
                    <w:rPr>
                      <w:b/>
                      <w:color w:val="auto"/>
                      <w:szCs w:val="21"/>
                      <w:vertAlign w:val="superscript"/>
                    </w:rPr>
                    <w:t>3</w:t>
                  </w:r>
                  <w:r>
                    <w:rPr>
                      <w:rFonts w:hint="eastAsia"/>
                      <w:b/>
                      <w:bCs/>
                      <w:color w:val="auto"/>
                      <w:szCs w:val="21"/>
                    </w:rPr>
                    <w:t>）</w:t>
                  </w:r>
                </w:p>
              </w:tc>
              <w:tc>
                <w:tcPr>
                  <w:tcW w:w="2111" w:type="pct"/>
                  <w:tcBorders>
                    <w:top w:val="single" w:color="auto" w:sz="12" w:space="0"/>
                    <w:bottom w:val="single" w:color="auto" w:sz="12" w:space="0"/>
                  </w:tcBorders>
                  <w:noWrap/>
                  <w:vAlign w:val="center"/>
                </w:tcPr>
                <w:p w14:paraId="0088992C">
                  <w:pPr>
                    <w:jc w:val="center"/>
                    <w:rPr>
                      <w:b/>
                      <w:bCs/>
                      <w:color w:val="auto"/>
                      <w:szCs w:val="21"/>
                    </w:rPr>
                  </w:pPr>
                  <w:r>
                    <w:rPr>
                      <w:rFonts w:hint="eastAsia"/>
                      <w:b/>
                      <w:bCs/>
                      <w:color w:val="auto"/>
                      <w:szCs w:val="21"/>
                    </w:rPr>
                    <w:t>标准来源</w:t>
                  </w:r>
                </w:p>
              </w:tc>
            </w:tr>
            <w:tr w14:paraId="1EB6F7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9" w:type="pct"/>
                  <w:tcBorders>
                    <w:top w:val="single" w:color="auto" w:sz="12" w:space="0"/>
                  </w:tcBorders>
                  <w:noWrap/>
                  <w:vAlign w:val="center"/>
                </w:tcPr>
                <w:p w14:paraId="6737A24B">
                  <w:pPr>
                    <w:jc w:val="center"/>
                    <w:rPr>
                      <w:color w:val="auto"/>
                      <w:szCs w:val="21"/>
                    </w:rPr>
                  </w:pPr>
                  <w:r>
                    <w:rPr>
                      <w:rFonts w:hint="eastAsia"/>
                      <w:color w:val="auto"/>
                      <w:szCs w:val="21"/>
                    </w:rPr>
                    <w:t>氨</w:t>
                  </w:r>
                </w:p>
              </w:tc>
              <w:tc>
                <w:tcPr>
                  <w:tcW w:w="2110" w:type="pct"/>
                  <w:tcBorders>
                    <w:top w:val="single" w:color="auto" w:sz="12" w:space="0"/>
                  </w:tcBorders>
                  <w:vAlign w:val="center"/>
                </w:tcPr>
                <w:p w14:paraId="6CA55C5D">
                  <w:pPr>
                    <w:jc w:val="center"/>
                    <w:rPr>
                      <w:color w:val="auto"/>
                      <w:szCs w:val="21"/>
                    </w:rPr>
                  </w:pPr>
                  <w:r>
                    <w:rPr>
                      <w:color w:val="auto"/>
                      <w:szCs w:val="21"/>
                    </w:rPr>
                    <w:t>1.5</w:t>
                  </w:r>
                </w:p>
              </w:tc>
              <w:tc>
                <w:tcPr>
                  <w:tcW w:w="2111" w:type="pct"/>
                  <w:vMerge w:val="restart"/>
                  <w:tcBorders>
                    <w:top w:val="single" w:color="auto" w:sz="12" w:space="0"/>
                  </w:tcBorders>
                  <w:noWrap/>
                  <w:vAlign w:val="center"/>
                </w:tcPr>
                <w:p w14:paraId="3B664797">
                  <w:pPr>
                    <w:jc w:val="center"/>
                    <w:rPr>
                      <w:color w:val="auto"/>
                      <w:szCs w:val="21"/>
                    </w:rPr>
                  </w:pPr>
                  <w:r>
                    <w:rPr>
                      <w:color w:val="auto"/>
                      <w:szCs w:val="21"/>
                    </w:rPr>
                    <w:t>《恶臭污染物排放标准》（GB14554-93）</w:t>
                  </w:r>
                  <w:r>
                    <w:rPr>
                      <w:rFonts w:hint="eastAsia"/>
                      <w:color w:val="auto"/>
                      <w:szCs w:val="21"/>
                    </w:rPr>
                    <w:t>表1标准</w:t>
                  </w:r>
                </w:p>
              </w:tc>
            </w:tr>
            <w:tr w14:paraId="7C3493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9" w:type="pct"/>
                  <w:tcBorders>
                    <w:bottom w:val="single" w:color="auto" w:sz="12" w:space="0"/>
                  </w:tcBorders>
                  <w:noWrap/>
                  <w:vAlign w:val="center"/>
                </w:tcPr>
                <w:p w14:paraId="5A7A9CE8">
                  <w:pPr>
                    <w:jc w:val="center"/>
                    <w:rPr>
                      <w:color w:val="auto"/>
                      <w:szCs w:val="21"/>
                    </w:rPr>
                  </w:pPr>
                  <w:r>
                    <w:rPr>
                      <w:rFonts w:hint="eastAsia"/>
                      <w:color w:val="auto"/>
                      <w:szCs w:val="21"/>
                    </w:rPr>
                    <w:t>硫化氢</w:t>
                  </w:r>
                </w:p>
              </w:tc>
              <w:tc>
                <w:tcPr>
                  <w:tcW w:w="2110" w:type="pct"/>
                  <w:tcBorders>
                    <w:bottom w:val="single" w:color="auto" w:sz="12" w:space="0"/>
                  </w:tcBorders>
                  <w:vAlign w:val="center"/>
                </w:tcPr>
                <w:p w14:paraId="2297DC0B">
                  <w:pPr>
                    <w:jc w:val="center"/>
                    <w:rPr>
                      <w:color w:val="auto"/>
                      <w:szCs w:val="21"/>
                    </w:rPr>
                  </w:pPr>
                  <w:r>
                    <w:rPr>
                      <w:color w:val="auto"/>
                      <w:szCs w:val="21"/>
                    </w:rPr>
                    <w:t>0.06</w:t>
                  </w:r>
                </w:p>
              </w:tc>
              <w:tc>
                <w:tcPr>
                  <w:tcW w:w="2111" w:type="pct"/>
                  <w:vMerge w:val="continue"/>
                  <w:tcBorders>
                    <w:bottom w:val="single" w:color="auto" w:sz="12" w:space="0"/>
                  </w:tcBorders>
                  <w:noWrap/>
                  <w:vAlign w:val="center"/>
                </w:tcPr>
                <w:p w14:paraId="2F042891">
                  <w:pPr>
                    <w:jc w:val="center"/>
                    <w:rPr>
                      <w:color w:val="auto"/>
                      <w:szCs w:val="21"/>
                    </w:rPr>
                  </w:pPr>
                </w:p>
              </w:tc>
            </w:tr>
          </w:tbl>
          <w:p w14:paraId="40A476EE">
            <w:pPr>
              <w:autoSpaceDE w:val="0"/>
              <w:autoSpaceDN w:val="0"/>
              <w:adjustRightInd w:val="0"/>
              <w:spacing w:line="360" w:lineRule="auto"/>
              <w:ind w:firstLine="480" w:firstLineChars="200"/>
              <w:rPr>
                <w:color w:val="auto"/>
                <w:sz w:val="24"/>
              </w:rPr>
            </w:pPr>
            <w:r>
              <w:rPr>
                <w:rFonts w:hint="eastAsia"/>
                <w:color w:val="auto"/>
                <w:sz w:val="24"/>
                <w:lang w:eastAsia="zh-CN"/>
              </w:rPr>
              <w:t>扩建</w:t>
            </w:r>
            <w:r>
              <w:rPr>
                <w:color w:val="auto"/>
                <w:sz w:val="24"/>
              </w:rPr>
              <w:t>项目</w:t>
            </w:r>
            <w:r>
              <w:rPr>
                <w:rFonts w:hint="eastAsia"/>
                <w:color w:val="auto"/>
                <w:sz w:val="24"/>
              </w:rPr>
              <w:t>生产厂房内乙醇的无组织排放以非甲烷总烃表征，厂区内执行《大气污染物综合排放标准》（</w:t>
            </w:r>
            <w:r>
              <w:rPr>
                <w:color w:val="auto"/>
                <w:sz w:val="24"/>
              </w:rPr>
              <w:t>DB32/4041-2021</w:t>
            </w:r>
            <w:r>
              <w:rPr>
                <w:rFonts w:hint="eastAsia"/>
                <w:color w:val="auto"/>
                <w:sz w:val="24"/>
              </w:rPr>
              <w:t>）表2</w:t>
            </w:r>
            <w:r>
              <w:rPr>
                <w:color w:val="auto"/>
                <w:sz w:val="24"/>
              </w:rPr>
              <w:t xml:space="preserve"> VOCs</w:t>
            </w:r>
            <w:r>
              <w:rPr>
                <w:rFonts w:hint="eastAsia"/>
                <w:color w:val="auto"/>
                <w:sz w:val="24"/>
              </w:rPr>
              <w:t>无组织</w:t>
            </w:r>
            <w:r>
              <w:rPr>
                <w:color w:val="auto"/>
                <w:sz w:val="24"/>
              </w:rPr>
              <w:t>排放限值</w:t>
            </w:r>
            <w:r>
              <w:rPr>
                <w:rFonts w:hint="eastAsia"/>
                <w:color w:val="auto"/>
                <w:sz w:val="24"/>
              </w:rPr>
              <w:t>，厂界执行《大气污染物综合排放标准》（</w:t>
            </w:r>
            <w:r>
              <w:rPr>
                <w:color w:val="auto"/>
                <w:sz w:val="24"/>
              </w:rPr>
              <w:t>DB32/4041-2021</w:t>
            </w:r>
            <w:r>
              <w:rPr>
                <w:rFonts w:hint="eastAsia"/>
                <w:color w:val="auto"/>
                <w:sz w:val="24"/>
              </w:rPr>
              <w:t>）表</w:t>
            </w:r>
            <w:r>
              <w:rPr>
                <w:color w:val="auto"/>
                <w:sz w:val="24"/>
              </w:rPr>
              <w:t xml:space="preserve">3 </w:t>
            </w:r>
            <w:r>
              <w:rPr>
                <w:rFonts w:hint="eastAsia"/>
                <w:color w:val="auto"/>
                <w:sz w:val="24"/>
              </w:rPr>
              <w:t>单位边界大气污染物排放监控浓度限值，</w:t>
            </w:r>
            <w:r>
              <w:rPr>
                <w:color w:val="auto"/>
                <w:sz w:val="24"/>
              </w:rPr>
              <w:t>具体详见表3-</w:t>
            </w:r>
            <w:r>
              <w:rPr>
                <w:rFonts w:hint="eastAsia"/>
                <w:color w:val="auto"/>
                <w:sz w:val="24"/>
                <w:lang w:val="en-US" w:eastAsia="zh-CN"/>
              </w:rPr>
              <w:t>5</w:t>
            </w:r>
            <w:r>
              <w:rPr>
                <w:color w:val="auto"/>
                <w:sz w:val="24"/>
              </w:rPr>
              <w:t>。</w:t>
            </w:r>
          </w:p>
          <w:p w14:paraId="6B8FB7D4">
            <w:pPr>
              <w:adjustRightInd w:val="0"/>
              <w:snapToGrid w:val="0"/>
              <w:jc w:val="center"/>
              <w:rPr>
                <w:b/>
                <w:color w:val="auto"/>
                <w:sz w:val="24"/>
              </w:rPr>
            </w:pPr>
            <w:r>
              <w:rPr>
                <w:b/>
                <w:color w:val="auto"/>
                <w:sz w:val="24"/>
              </w:rPr>
              <w:t>表3-</w:t>
            </w:r>
            <w:r>
              <w:rPr>
                <w:rFonts w:hint="eastAsia"/>
                <w:b/>
                <w:color w:val="auto"/>
                <w:sz w:val="24"/>
                <w:lang w:val="en-US" w:eastAsia="zh-CN"/>
              </w:rPr>
              <w:t>5</w:t>
            </w:r>
            <w:r>
              <w:rPr>
                <w:b/>
                <w:color w:val="auto"/>
                <w:sz w:val="24"/>
              </w:rPr>
              <w:t xml:space="preserve"> </w:t>
            </w:r>
            <w:r>
              <w:rPr>
                <w:rFonts w:hint="eastAsia"/>
                <w:b/>
                <w:color w:val="auto"/>
                <w:sz w:val="24"/>
              </w:rPr>
              <w:t>非甲烷总烃无组织排放限值</w:t>
            </w:r>
          </w:p>
          <w:tbl>
            <w:tblPr>
              <w:tblStyle w:val="32"/>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1293"/>
              <w:gridCol w:w="2431"/>
              <w:gridCol w:w="2721"/>
              <w:gridCol w:w="1973"/>
            </w:tblGrid>
            <w:tr w14:paraId="6363879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768" w:type="pct"/>
                  <w:tcBorders>
                    <w:top w:val="single" w:color="000000" w:sz="12" w:space="0"/>
                    <w:bottom w:val="single" w:color="000000" w:sz="12" w:space="0"/>
                  </w:tcBorders>
                  <w:tcMar>
                    <w:left w:w="28" w:type="dxa"/>
                    <w:right w:w="28" w:type="dxa"/>
                  </w:tcMar>
                  <w:vAlign w:val="center"/>
                </w:tcPr>
                <w:p w14:paraId="024984F9">
                  <w:pPr>
                    <w:spacing w:line="300" w:lineRule="exact"/>
                    <w:jc w:val="center"/>
                    <w:rPr>
                      <w:b/>
                      <w:color w:val="auto"/>
                      <w:szCs w:val="21"/>
                    </w:rPr>
                  </w:pPr>
                  <w:r>
                    <w:rPr>
                      <w:b/>
                      <w:color w:val="auto"/>
                      <w:szCs w:val="21"/>
                    </w:rPr>
                    <w:t>污染物项目</w:t>
                  </w:r>
                </w:p>
              </w:tc>
              <w:tc>
                <w:tcPr>
                  <w:tcW w:w="1444" w:type="pct"/>
                  <w:tcBorders>
                    <w:top w:val="single" w:color="000000" w:sz="12" w:space="0"/>
                    <w:bottom w:val="single" w:color="000000" w:sz="12" w:space="0"/>
                  </w:tcBorders>
                  <w:tcMar>
                    <w:left w:w="28" w:type="dxa"/>
                    <w:right w:w="28" w:type="dxa"/>
                  </w:tcMar>
                  <w:vAlign w:val="center"/>
                </w:tcPr>
                <w:p w14:paraId="4FD3C97B">
                  <w:pPr>
                    <w:spacing w:line="300" w:lineRule="exact"/>
                    <w:jc w:val="center"/>
                    <w:rPr>
                      <w:b/>
                      <w:color w:val="auto"/>
                      <w:szCs w:val="21"/>
                    </w:rPr>
                  </w:pPr>
                  <w:r>
                    <w:rPr>
                      <w:rFonts w:hint="eastAsia"/>
                      <w:b/>
                      <w:color w:val="auto"/>
                      <w:szCs w:val="21"/>
                    </w:rPr>
                    <w:t>监控点</w:t>
                  </w:r>
                  <w:r>
                    <w:rPr>
                      <w:b/>
                      <w:color w:val="auto"/>
                      <w:szCs w:val="21"/>
                    </w:rPr>
                    <w:t>限值</w:t>
                  </w:r>
                  <w:r>
                    <w:rPr>
                      <w:rFonts w:hint="eastAsia"/>
                      <w:b/>
                      <w:color w:val="auto"/>
                      <w:szCs w:val="21"/>
                    </w:rPr>
                    <w:t>（</w:t>
                  </w:r>
                  <w:r>
                    <w:rPr>
                      <w:b/>
                      <w:color w:val="auto"/>
                      <w:szCs w:val="21"/>
                    </w:rPr>
                    <w:t>mg/m</w:t>
                  </w:r>
                  <w:r>
                    <w:rPr>
                      <w:b/>
                      <w:color w:val="auto"/>
                      <w:szCs w:val="21"/>
                      <w:vertAlign w:val="superscript"/>
                    </w:rPr>
                    <w:t>3</w:t>
                  </w:r>
                  <w:r>
                    <w:rPr>
                      <w:rFonts w:hint="eastAsia"/>
                      <w:b/>
                      <w:color w:val="auto"/>
                      <w:szCs w:val="21"/>
                    </w:rPr>
                    <w:t>）</w:t>
                  </w:r>
                </w:p>
              </w:tc>
              <w:tc>
                <w:tcPr>
                  <w:tcW w:w="1616" w:type="pct"/>
                  <w:tcBorders>
                    <w:top w:val="single" w:color="000000" w:sz="12" w:space="0"/>
                    <w:bottom w:val="single" w:color="000000" w:sz="12" w:space="0"/>
                  </w:tcBorders>
                  <w:tcMar>
                    <w:left w:w="28" w:type="dxa"/>
                    <w:right w:w="28" w:type="dxa"/>
                  </w:tcMar>
                  <w:vAlign w:val="center"/>
                </w:tcPr>
                <w:p w14:paraId="4E0FF621">
                  <w:pPr>
                    <w:spacing w:line="300" w:lineRule="exact"/>
                    <w:jc w:val="center"/>
                    <w:rPr>
                      <w:b/>
                      <w:color w:val="auto"/>
                      <w:szCs w:val="21"/>
                    </w:rPr>
                  </w:pPr>
                  <w:r>
                    <w:rPr>
                      <w:b/>
                      <w:color w:val="auto"/>
                      <w:szCs w:val="21"/>
                    </w:rPr>
                    <w:t>限值含义</w:t>
                  </w:r>
                </w:p>
              </w:tc>
              <w:tc>
                <w:tcPr>
                  <w:tcW w:w="1172" w:type="pct"/>
                  <w:tcBorders>
                    <w:top w:val="single" w:color="000000" w:sz="12" w:space="0"/>
                    <w:bottom w:val="single" w:color="000000" w:sz="12" w:space="0"/>
                  </w:tcBorders>
                  <w:tcMar>
                    <w:left w:w="28" w:type="dxa"/>
                    <w:right w:w="28" w:type="dxa"/>
                  </w:tcMar>
                  <w:vAlign w:val="center"/>
                </w:tcPr>
                <w:p w14:paraId="6C5E04C3">
                  <w:pPr>
                    <w:spacing w:line="300" w:lineRule="exact"/>
                    <w:jc w:val="center"/>
                    <w:rPr>
                      <w:b/>
                      <w:color w:val="auto"/>
                      <w:szCs w:val="21"/>
                    </w:rPr>
                  </w:pPr>
                  <w:r>
                    <w:rPr>
                      <w:b/>
                      <w:color w:val="auto"/>
                      <w:szCs w:val="21"/>
                    </w:rPr>
                    <w:t>无组织排放监控位置</w:t>
                  </w:r>
                </w:p>
              </w:tc>
            </w:tr>
            <w:tr w14:paraId="1E868DC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768" w:type="pct"/>
                  <w:vMerge w:val="restart"/>
                  <w:tcBorders>
                    <w:top w:val="single" w:color="000000" w:sz="12" w:space="0"/>
                  </w:tcBorders>
                  <w:tcMar>
                    <w:left w:w="28" w:type="dxa"/>
                    <w:right w:w="28" w:type="dxa"/>
                  </w:tcMar>
                  <w:vAlign w:val="center"/>
                </w:tcPr>
                <w:p w14:paraId="65D6B0B1">
                  <w:pPr>
                    <w:spacing w:line="300" w:lineRule="exact"/>
                    <w:jc w:val="center"/>
                    <w:rPr>
                      <w:color w:val="auto"/>
                      <w:szCs w:val="21"/>
                    </w:rPr>
                  </w:pPr>
                  <w:r>
                    <w:rPr>
                      <w:rFonts w:hint="eastAsia"/>
                      <w:color w:val="auto"/>
                      <w:szCs w:val="21"/>
                    </w:rPr>
                    <w:t>NMHC</w:t>
                  </w:r>
                </w:p>
              </w:tc>
              <w:tc>
                <w:tcPr>
                  <w:tcW w:w="1444" w:type="pct"/>
                  <w:tcBorders>
                    <w:top w:val="single" w:color="000000" w:sz="12" w:space="0"/>
                  </w:tcBorders>
                  <w:tcMar>
                    <w:left w:w="28" w:type="dxa"/>
                    <w:right w:w="28" w:type="dxa"/>
                  </w:tcMar>
                  <w:vAlign w:val="center"/>
                </w:tcPr>
                <w:p w14:paraId="39AA30F9">
                  <w:pPr>
                    <w:spacing w:line="300" w:lineRule="exact"/>
                    <w:jc w:val="center"/>
                    <w:rPr>
                      <w:color w:val="auto"/>
                      <w:szCs w:val="21"/>
                    </w:rPr>
                  </w:pPr>
                  <w:r>
                    <w:rPr>
                      <w:rFonts w:hint="eastAsia"/>
                      <w:color w:val="auto"/>
                      <w:szCs w:val="21"/>
                    </w:rPr>
                    <w:t>6</w:t>
                  </w:r>
                </w:p>
              </w:tc>
              <w:tc>
                <w:tcPr>
                  <w:tcW w:w="1616" w:type="pct"/>
                  <w:tcBorders>
                    <w:top w:val="single" w:color="000000" w:sz="12" w:space="0"/>
                  </w:tcBorders>
                  <w:tcMar>
                    <w:left w:w="28" w:type="dxa"/>
                    <w:right w:w="28" w:type="dxa"/>
                  </w:tcMar>
                  <w:vAlign w:val="center"/>
                </w:tcPr>
                <w:p w14:paraId="7ECFDA68">
                  <w:pPr>
                    <w:spacing w:line="300" w:lineRule="exact"/>
                    <w:jc w:val="center"/>
                    <w:rPr>
                      <w:color w:val="auto"/>
                      <w:szCs w:val="21"/>
                    </w:rPr>
                  </w:pPr>
                  <w:r>
                    <w:rPr>
                      <w:color w:val="auto"/>
                      <w:szCs w:val="21"/>
                    </w:rPr>
                    <w:t>监控点处</w:t>
                  </w:r>
                  <w:r>
                    <w:rPr>
                      <w:rFonts w:hint="eastAsia"/>
                      <w:color w:val="auto"/>
                      <w:szCs w:val="21"/>
                    </w:rPr>
                    <w:t>1h平均浓度值</w:t>
                  </w:r>
                </w:p>
              </w:tc>
              <w:tc>
                <w:tcPr>
                  <w:tcW w:w="1172" w:type="pct"/>
                  <w:vMerge w:val="restart"/>
                  <w:tcBorders>
                    <w:top w:val="single" w:color="000000" w:sz="12" w:space="0"/>
                  </w:tcBorders>
                  <w:tcMar>
                    <w:left w:w="28" w:type="dxa"/>
                    <w:right w:w="28" w:type="dxa"/>
                  </w:tcMar>
                  <w:vAlign w:val="center"/>
                </w:tcPr>
                <w:p w14:paraId="508DB21B">
                  <w:pPr>
                    <w:spacing w:line="300" w:lineRule="exact"/>
                    <w:jc w:val="center"/>
                    <w:rPr>
                      <w:color w:val="auto"/>
                      <w:szCs w:val="21"/>
                    </w:rPr>
                  </w:pPr>
                  <w:r>
                    <w:rPr>
                      <w:color w:val="auto"/>
                      <w:szCs w:val="21"/>
                    </w:rPr>
                    <w:t>在</w:t>
                  </w:r>
                  <w:r>
                    <w:rPr>
                      <w:rFonts w:hint="eastAsia"/>
                      <w:color w:val="auto"/>
                      <w:szCs w:val="21"/>
                    </w:rPr>
                    <w:t>厂房外设置监控点</w:t>
                  </w:r>
                </w:p>
              </w:tc>
            </w:tr>
            <w:tr w14:paraId="0323AAF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768" w:type="pct"/>
                  <w:vMerge w:val="continue"/>
                  <w:tcMar>
                    <w:left w:w="28" w:type="dxa"/>
                    <w:right w:w="28" w:type="dxa"/>
                  </w:tcMar>
                  <w:vAlign w:val="center"/>
                </w:tcPr>
                <w:p w14:paraId="25B41E4A">
                  <w:pPr>
                    <w:spacing w:line="300" w:lineRule="exact"/>
                    <w:jc w:val="center"/>
                    <w:rPr>
                      <w:color w:val="auto"/>
                      <w:szCs w:val="21"/>
                    </w:rPr>
                  </w:pPr>
                </w:p>
              </w:tc>
              <w:tc>
                <w:tcPr>
                  <w:tcW w:w="1444" w:type="pct"/>
                  <w:tcMar>
                    <w:left w:w="28" w:type="dxa"/>
                    <w:right w:w="28" w:type="dxa"/>
                  </w:tcMar>
                  <w:vAlign w:val="center"/>
                </w:tcPr>
                <w:p w14:paraId="09E4D392">
                  <w:pPr>
                    <w:spacing w:line="300" w:lineRule="exact"/>
                    <w:jc w:val="center"/>
                    <w:rPr>
                      <w:color w:val="auto"/>
                      <w:szCs w:val="21"/>
                    </w:rPr>
                  </w:pPr>
                  <w:r>
                    <w:rPr>
                      <w:rFonts w:hint="eastAsia"/>
                      <w:color w:val="auto"/>
                      <w:szCs w:val="21"/>
                    </w:rPr>
                    <w:t>20</w:t>
                  </w:r>
                </w:p>
              </w:tc>
              <w:tc>
                <w:tcPr>
                  <w:tcW w:w="1616" w:type="pct"/>
                  <w:tcMar>
                    <w:left w:w="28" w:type="dxa"/>
                    <w:right w:w="28" w:type="dxa"/>
                  </w:tcMar>
                  <w:vAlign w:val="center"/>
                </w:tcPr>
                <w:p w14:paraId="47D52F0F">
                  <w:pPr>
                    <w:spacing w:line="300" w:lineRule="exact"/>
                    <w:jc w:val="center"/>
                    <w:rPr>
                      <w:color w:val="auto"/>
                      <w:szCs w:val="21"/>
                    </w:rPr>
                  </w:pPr>
                  <w:r>
                    <w:rPr>
                      <w:color w:val="auto"/>
                      <w:szCs w:val="21"/>
                    </w:rPr>
                    <w:t>监控点处任意一次浓度值</w:t>
                  </w:r>
                </w:p>
              </w:tc>
              <w:tc>
                <w:tcPr>
                  <w:tcW w:w="1172" w:type="pct"/>
                  <w:vMerge w:val="continue"/>
                  <w:tcMar>
                    <w:left w:w="28" w:type="dxa"/>
                    <w:right w:w="28" w:type="dxa"/>
                  </w:tcMar>
                  <w:vAlign w:val="center"/>
                </w:tcPr>
                <w:p w14:paraId="1ED19D46">
                  <w:pPr>
                    <w:spacing w:line="300" w:lineRule="exact"/>
                    <w:jc w:val="center"/>
                    <w:rPr>
                      <w:color w:val="auto"/>
                      <w:szCs w:val="21"/>
                    </w:rPr>
                  </w:pPr>
                </w:p>
              </w:tc>
            </w:tr>
            <w:tr w14:paraId="16974E2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768" w:type="pct"/>
                  <w:vMerge w:val="continue"/>
                  <w:tcMar>
                    <w:left w:w="28" w:type="dxa"/>
                    <w:right w:w="28" w:type="dxa"/>
                  </w:tcMar>
                  <w:vAlign w:val="center"/>
                </w:tcPr>
                <w:p w14:paraId="053C9F1B">
                  <w:pPr>
                    <w:spacing w:line="300" w:lineRule="exact"/>
                    <w:jc w:val="center"/>
                    <w:rPr>
                      <w:color w:val="auto"/>
                      <w:szCs w:val="21"/>
                    </w:rPr>
                  </w:pPr>
                </w:p>
              </w:tc>
              <w:tc>
                <w:tcPr>
                  <w:tcW w:w="1444" w:type="pct"/>
                  <w:tcMar>
                    <w:left w:w="28" w:type="dxa"/>
                    <w:right w:w="28" w:type="dxa"/>
                  </w:tcMar>
                  <w:vAlign w:val="center"/>
                </w:tcPr>
                <w:p w14:paraId="04CB442A">
                  <w:pPr>
                    <w:spacing w:line="300" w:lineRule="exact"/>
                    <w:jc w:val="center"/>
                    <w:rPr>
                      <w:color w:val="auto"/>
                      <w:szCs w:val="21"/>
                    </w:rPr>
                  </w:pPr>
                  <w:r>
                    <w:rPr>
                      <w:rFonts w:hint="eastAsia"/>
                      <w:color w:val="auto"/>
                      <w:szCs w:val="21"/>
                    </w:rPr>
                    <w:t>4</w:t>
                  </w:r>
                </w:p>
              </w:tc>
              <w:tc>
                <w:tcPr>
                  <w:tcW w:w="1616" w:type="pct"/>
                  <w:tcMar>
                    <w:left w:w="28" w:type="dxa"/>
                    <w:right w:w="28" w:type="dxa"/>
                  </w:tcMar>
                  <w:vAlign w:val="center"/>
                </w:tcPr>
                <w:p w14:paraId="78834733">
                  <w:pPr>
                    <w:spacing w:line="300" w:lineRule="exact"/>
                    <w:jc w:val="center"/>
                    <w:rPr>
                      <w:color w:val="auto"/>
                      <w:szCs w:val="21"/>
                    </w:rPr>
                  </w:pPr>
                  <w:r>
                    <w:rPr>
                      <w:rFonts w:hint="eastAsia"/>
                      <w:color w:val="auto"/>
                      <w:szCs w:val="21"/>
                    </w:rPr>
                    <w:t>监控点处1</w:t>
                  </w:r>
                  <w:r>
                    <w:rPr>
                      <w:color w:val="auto"/>
                      <w:szCs w:val="21"/>
                    </w:rPr>
                    <w:t>h</w:t>
                  </w:r>
                  <w:r>
                    <w:rPr>
                      <w:rFonts w:hint="eastAsia"/>
                      <w:color w:val="auto"/>
                      <w:szCs w:val="21"/>
                    </w:rPr>
                    <w:t>平均浓度值</w:t>
                  </w:r>
                </w:p>
              </w:tc>
              <w:tc>
                <w:tcPr>
                  <w:tcW w:w="1172" w:type="pct"/>
                  <w:tcMar>
                    <w:left w:w="28" w:type="dxa"/>
                    <w:right w:w="28" w:type="dxa"/>
                  </w:tcMar>
                  <w:vAlign w:val="center"/>
                </w:tcPr>
                <w:p w14:paraId="508166D4">
                  <w:pPr>
                    <w:spacing w:line="300" w:lineRule="exact"/>
                    <w:jc w:val="center"/>
                    <w:rPr>
                      <w:color w:val="auto"/>
                      <w:szCs w:val="21"/>
                    </w:rPr>
                  </w:pPr>
                  <w:r>
                    <w:rPr>
                      <w:rFonts w:hint="eastAsia"/>
                      <w:color w:val="auto"/>
                      <w:szCs w:val="21"/>
                    </w:rPr>
                    <w:t>厂界外浓度最高点</w:t>
                  </w:r>
                </w:p>
              </w:tc>
            </w:tr>
          </w:tbl>
          <w:p w14:paraId="13E75673">
            <w:pPr>
              <w:adjustRightInd w:val="0"/>
              <w:snapToGrid w:val="0"/>
              <w:spacing w:line="360" w:lineRule="auto"/>
              <w:ind w:firstLine="482" w:firstLineChars="200"/>
              <w:rPr>
                <w:b/>
                <w:color w:val="auto"/>
                <w:kern w:val="0"/>
                <w:sz w:val="24"/>
                <w:szCs w:val="20"/>
              </w:rPr>
            </w:pPr>
            <w:r>
              <w:rPr>
                <w:b/>
                <w:color w:val="auto"/>
                <w:kern w:val="0"/>
                <w:sz w:val="24"/>
                <w:szCs w:val="20"/>
              </w:rPr>
              <w:t>2.</w:t>
            </w:r>
            <w:r>
              <w:rPr>
                <w:rFonts w:hAnsi="宋体"/>
                <w:b/>
                <w:color w:val="auto"/>
                <w:kern w:val="0"/>
                <w:sz w:val="24"/>
                <w:szCs w:val="20"/>
              </w:rPr>
              <w:t>废水</w:t>
            </w:r>
          </w:p>
          <w:p w14:paraId="54B5C155">
            <w:pPr>
              <w:pStyle w:val="135"/>
              <w:spacing w:line="360" w:lineRule="auto"/>
              <w:ind w:firstLine="480" w:firstLineChars="200"/>
              <w:jc w:val="both"/>
              <w:rPr>
                <w:rFonts w:ascii="Times New Roman" w:hAnsi="Times New Roman" w:eastAsia="宋体"/>
                <w:color w:val="auto"/>
                <w:kern w:val="0"/>
                <w:sz w:val="24"/>
                <w:szCs w:val="24"/>
              </w:rPr>
            </w:pPr>
            <w:r>
              <w:rPr>
                <w:rFonts w:hint="eastAsia" w:ascii="Times New Roman" w:hAnsi="Times New Roman" w:eastAsia="宋体"/>
                <w:color w:val="auto"/>
                <w:kern w:val="0"/>
                <w:sz w:val="24"/>
                <w:szCs w:val="24"/>
                <w:lang w:eastAsia="zh-CN"/>
              </w:rPr>
              <w:t>扩建</w:t>
            </w:r>
            <w:r>
              <w:rPr>
                <w:rFonts w:ascii="Times New Roman" w:hAnsi="Times New Roman" w:eastAsia="宋体"/>
                <w:color w:val="auto"/>
                <w:kern w:val="0"/>
                <w:sz w:val="24"/>
                <w:szCs w:val="24"/>
              </w:rPr>
              <w:t>项目废水主要为</w:t>
            </w:r>
            <w:r>
              <w:rPr>
                <w:rFonts w:hint="eastAsia" w:ascii="Times New Roman" w:hAnsi="Times New Roman" w:eastAsia="宋体"/>
                <w:color w:val="auto"/>
                <w:kern w:val="0"/>
                <w:sz w:val="24"/>
                <w:szCs w:val="24"/>
              </w:rPr>
              <w:t>职工生活废水、食堂废水、生产废水、设备清洗废水、地面清洁废水及蒸汽冷凝水。蒸汽冷凝水回用于生产。职工生活废水经化粪池处理后排入厂区污水处理站；食堂废水和设备清洗废水经隔油池处理后排入厂区污水处理站；地面清洁废水和生产废水排入厂区污水处理站，</w:t>
            </w:r>
            <w:r>
              <w:rPr>
                <w:rFonts w:ascii="Times New Roman" w:hAnsi="Times New Roman" w:eastAsia="宋体"/>
                <w:color w:val="auto"/>
                <w:kern w:val="0"/>
                <w:sz w:val="24"/>
                <w:szCs w:val="24"/>
              </w:rPr>
              <w:t>经厂内污水处理站处置后接管至涟水经济开发区西区污水处理厂处理。接管标准执行涟水经济开发区西区污水处理厂</w:t>
            </w:r>
            <w:r>
              <w:rPr>
                <w:rFonts w:ascii="Times New Roman" w:hAnsi="Times New Roman" w:eastAsia="宋体"/>
                <w:color w:val="auto"/>
                <w:sz w:val="24"/>
                <w:szCs w:val="24"/>
              </w:rPr>
              <w:t>的接管标准；</w:t>
            </w:r>
            <w:r>
              <w:rPr>
                <w:rFonts w:hint="eastAsia" w:eastAsia="宋体"/>
                <w:color w:val="auto"/>
                <w:sz w:val="24"/>
                <w:szCs w:val="24"/>
                <w:lang w:eastAsia="zh-CN"/>
              </w:rPr>
              <w:t>污水处理厂</w:t>
            </w:r>
            <w:r>
              <w:rPr>
                <w:rFonts w:ascii="Times New Roman" w:hAnsi="Times New Roman" w:eastAsia="宋体"/>
                <w:color w:val="auto"/>
                <w:sz w:val="24"/>
                <w:szCs w:val="24"/>
              </w:rPr>
              <w:t>尾水标准执行《城镇污水处理厂污染物排放标准》（GB18918-2002）表1中一级A</w:t>
            </w:r>
            <w:r>
              <w:rPr>
                <w:rFonts w:ascii="Times New Roman" w:hAnsi="Times New Roman" w:eastAsia="宋体"/>
                <w:color w:val="auto"/>
                <w:kern w:val="0"/>
                <w:sz w:val="24"/>
                <w:szCs w:val="24"/>
              </w:rPr>
              <w:t>标准，处理达标后排入公兴河，具体见表3-</w:t>
            </w:r>
            <w:r>
              <w:rPr>
                <w:rFonts w:hint="eastAsia" w:ascii="Times New Roman" w:hAnsi="Times New Roman" w:eastAsia="宋体"/>
                <w:color w:val="auto"/>
                <w:kern w:val="0"/>
                <w:sz w:val="24"/>
                <w:szCs w:val="24"/>
                <w:lang w:val="en-US" w:eastAsia="zh-CN"/>
              </w:rPr>
              <w:t>6</w:t>
            </w:r>
            <w:r>
              <w:rPr>
                <w:rFonts w:ascii="Times New Roman" w:hAnsi="Times New Roman" w:eastAsia="宋体"/>
                <w:color w:val="auto"/>
                <w:kern w:val="0"/>
                <w:sz w:val="24"/>
                <w:szCs w:val="24"/>
              </w:rPr>
              <w:t>。</w:t>
            </w:r>
          </w:p>
          <w:p w14:paraId="76026650">
            <w:pPr>
              <w:adjustRightInd w:val="0"/>
              <w:snapToGrid w:val="0"/>
              <w:jc w:val="center"/>
              <w:rPr>
                <w:rFonts w:ascii="Times New Roman" w:hAnsi="Times New Roman" w:eastAsia="宋体" w:cs="Times New Roman"/>
                <w:b/>
                <w:color w:val="auto"/>
                <w:sz w:val="24"/>
              </w:rPr>
            </w:pPr>
            <w:r>
              <w:rPr>
                <w:rFonts w:ascii="Times New Roman" w:hAnsi="Times New Roman" w:eastAsia="宋体" w:cs="Times New Roman"/>
                <w:b/>
                <w:color w:val="auto"/>
                <w:sz w:val="24"/>
              </w:rPr>
              <w:t>表3-</w:t>
            </w:r>
            <w:r>
              <w:rPr>
                <w:rFonts w:hint="eastAsia" w:ascii="Times New Roman" w:hAnsi="Times New Roman" w:eastAsia="宋体" w:cs="Times New Roman"/>
                <w:b/>
                <w:color w:val="auto"/>
                <w:sz w:val="24"/>
                <w:lang w:val="en-US" w:eastAsia="zh-CN"/>
              </w:rPr>
              <w:t>6</w:t>
            </w:r>
            <w:r>
              <w:rPr>
                <w:rFonts w:ascii="Times New Roman" w:hAnsi="Times New Roman" w:eastAsia="宋体" w:cs="Times New Roman"/>
                <w:b/>
                <w:color w:val="auto"/>
                <w:sz w:val="24"/>
              </w:rPr>
              <w:t xml:space="preserve"> 污水接管和尾水排放标准限值（单位：mg/L）</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465"/>
              <w:gridCol w:w="2828"/>
              <w:gridCol w:w="3125"/>
            </w:tblGrid>
            <w:tr w14:paraId="238364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64" w:type="pct"/>
                  <w:tcBorders>
                    <w:top w:val="single" w:color="auto" w:sz="12" w:space="0"/>
                    <w:bottom w:val="single" w:color="auto" w:sz="12" w:space="0"/>
                  </w:tcBorders>
                  <w:shd w:val="clear" w:color="auto" w:fill="auto"/>
                  <w:vAlign w:val="center"/>
                </w:tcPr>
                <w:p w14:paraId="469F7AA4">
                  <w:pPr>
                    <w:pStyle w:val="135"/>
                    <w:rPr>
                      <w:rFonts w:ascii="Times New Roman" w:hAnsi="Times New Roman" w:eastAsia="宋体"/>
                      <w:b/>
                      <w:color w:val="auto"/>
                      <w:sz w:val="21"/>
                      <w:szCs w:val="21"/>
                    </w:rPr>
                  </w:pPr>
                  <w:r>
                    <w:rPr>
                      <w:rFonts w:ascii="Times New Roman" w:hAnsi="Times New Roman" w:eastAsia="宋体"/>
                      <w:b/>
                      <w:color w:val="auto"/>
                      <w:sz w:val="21"/>
                      <w:szCs w:val="21"/>
                    </w:rPr>
                    <w:t>水质参数</w:t>
                  </w:r>
                </w:p>
              </w:tc>
              <w:tc>
                <w:tcPr>
                  <w:tcW w:w="1680" w:type="pct"/>
                  <w:tcBorders>
                    <w:top w:val="single" w:color="auto" w:sz="12" w:space="0"/>
                    <w:bottom w:val="single" w:color="auto" w:sz="12" w:space="0"/>
                  </w:tcBorders>
                  <w:shd w:val="clear" w:color="auto" w:fill="auto"/>
                  <w:vAlign w:val="center"/>
                </w:tcPr>
                <w:p w14:paraId="480105E0">
                  <w:pPr>
                    <w:pStyle w:val="135"/>
                    <w:rPr>
                      <w:rFonts w:ascii="Times New Roman" w:hAnsi="Times New Roman" w:eastAsia="宋体"/>
                      <w:b/>
                      <w:color w:val="auto"/>
                      <w:sz w:val="21"/>
                      <w:szCs w:val="21"/>
                    </w:rPr>
                  </w:pPr>
                  <w:r>
                    <w:rPr>
                      <w:rFonts w:ascii="Times New Roman" w:hAnsi="Times New Roman" w:eastAsia="宋体"/>
                      <w:b/>
                      <w:color w:val="auto"/>
                      <w:sz w:val="21"/>
                      <w:szCs w:val="21"/>
                    </w:rPr>
                    <w:t>废水接管标准</w:t>
                  </w:r>
                </w:p>
              </w:tc>
              <w:tc>
                <w:tcPr>
                  <w:tcW w:w="1856" w:type="pct"/>
                  <w:tcBorders>
                    <w:top w:val="single" w:color="auto" w:sz="12" w:space="0"/>
                    <w:bottom w:val="single" w:color="auto" w:sz="12" w:space="0"/>
                  </w:tcBorders>
                  <w:shd w:val="clear" w:color="auto" w:fill="auto"/>
                  <w:vAlign w:val="center"/>
                </w:tcPr>
                <w:p w14:paraId="6858B8FD">
                  <w:pPr>
                    <w:pStyle w:val="135"/>
                    <w:rPr>
                      <w:rFonts w:ascii="Times New Roman" w:hAnsi="Times New Roman" w:eastAsia="宋体"/>
                      <w:b/>
                      <w:color w:val="auto"/>
                      <w:sz w:val="21"/>
                      <w:szCs w:val="21"/>
                    </w:rPr>
                  </w:pPr>
                  <w:r>
                    <w:rPr>
                      <w:rFonts w:ascii="Times New Roman" w:hAnsi="Times New Roman" w:eastAsia="宋体"/>
                      <w:b/>
                      <w:color w:val="auto"/>
                      <w:sz w:val="21"/>
                      <w:szCs w:val="21"/>
                    </w:rPr>
                    <w:t>尾水排放标准</w:t>
                  </w:r>
                </w:p>
              </w:tc>
            </w:tr>
            <w:tr w14:paraId="263377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64" w:type="pct"/>
                  <w:tcBorders>
                    <w:top w:val="single" w:color="auto" w:sz="12" w:space="0"/>
                  </w:tcBorders>
                  <w:shd w:val="clear" w:color="auto" w:fill="auto"/>
                  <w:vAlign w:val="center"/>
                </w:tcPr>
                <w:p w14:paraId="5A4D1B51">
                  <w:pPr>
                    <w:pStyle w:val="135"/>
                    <w:rPr>
                      <w:rFonts w:ascii="Times New Roman" w:hAnsi="Times New Roman" w:eastAsia="宋体"/>
                      <w:color w:val="auto"/>
                      <w:sz w:val="21"/>
                      <w:szCs w:val="21"/>
                    </w:rPr>
                  </w:pPr>
                  <w:r>
                    <w:rPr>
                      <w:rFonts w:ascii="Times New Roman" w:hAnsi="Times New Roman" w:eastAsia="宋体"/>
                      <w:color w:val="auto"/>
                      <w:sz w:val="21"/>
                      <w:szCs w:val="21"/>
                    </w:rPr>
                    <w:t>pH</w:t>
                  </w:r>
                </w:p>
              </w:tc>
              <w:tc>
                <w:tcPr>
                  <w:tcW w:w="1680" w:type="pct"/>
                  <w:tcBorders>
                    <w:top w:val="single" w:color="auto" w:sz="12" w:space="0"/>
                  </w:tcBorders>
                  <w:shd w:val="clear" w:color="auto" w:fill="auto"/>
                  <w:vAlign w:val="center"/>
                </w:tcPr>
                <w:p w14:paraId="2B81DB9D">
                  <w:pPr>
                    <w:pStyle w:val="135"/>
                    <w:rPr>
                      <w:rFonts w:ascii="Times New Roman" w:hAnsi="Times New Roman" w:eastAsia="宋体"/>
                      <w:color w:val="auto"/>
                      <w:sz w:val="21"/>
                      <w:szCs w:val="21"/>
                    </w:rPr>
                  </w:pPr>
                  <w:r>
                    <w:rPr>
                      <w:rFonts w:ascii="Times New Roman" w:hAnsi="Times New Roman" w:eastAsia="宋体"/>
                      <w:color w:val="auto"/>
                      <w:sz w:val="21"/>
                      <w:szCs w:val="21"/>
                    </w:rPr>
                    <w:t>6~9（无量纲）</w:t>
                  </w:r>
                </w:p>
              </w:tc>
              <w:tc>
                <w:tcPr>
                  <w:tcW w:w="1856" w:type="pct"/>
                  <w:tcBorders>
                    <w:top w:val="single" w:color="auto" w:sz="12" w:space="0"/>
                  </w:tcBorders>
                  <w:shd w:val="clear" w:color="auto" w:fill="auto"/>
                  <w:vAlign w:val="center"/>
                </w:tcPr>
                <w:p w14:paraId="0CA58E9C">
                  <w:pPr>
                    <w:pStyle w:val="135"/>
                    <w:rPr>
                      <w:rFonts w:ascii="Times New Roman" w:hAnsi="Times New Roman" w:eastAsia="宋体"/>
                      <w:color w:val="auto"/>
                      <w:sz w:val="21"/>
                      <w:szCs w:val="21"/>
                    </w:rPr>
                  </w:pPr>
                  <w:r>
                    <w:rPr>
                      <w:rFonts w:ascii="Times New Roman" w:hAnsi="Times New Roman" w:eastAsia="宋体"/>
                      <w:color w:val="auto"/>
                      <w:sz w:val="21"/>
                      <w:szCs w:val="21"/>
                    </w:rPr>
                    <w:t>6~9（无量纲）</w:t>
                  </w:r>
                </w:p>
              </w:tc>
            </w:tr>
            <w:tr w14:paraId="691567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64" w:type="pct"/>
                  <w:shd w:val="clear" w:color="auto" w:fill="auto"/>
                  <w:vAlign w:val="center"/>
                </w:tcPr>
                <w:p w14:paraId="6D564D42">
                  <w:pPr>
                    <w:pStyle w:val="135"/>
                    <w:rPr>
                      <w:rFonts w:ascii="Times New Roman" w:hAnsi="Times New Roman" w:eastAsia="宋体"/>
                      <w:color w:val="auto"/>
                      <w:sz w:val="21"/>
                      <w:szCs w:val="21"/>
                    </w:rPr>
                  </w:pPr>
                  <w:r>
                    <w:rPr>
                      <w:rFonts w:ascii="Times New Roman" w:hAnsi="Times New Roman" w:eastAsia="宋体"/>
                      <w:color w:val="auto"/>
                      <w:sz w:val="21"/>
                      <w:szCs w:val="21"/>
                    </w:rPr>
                    <w:t>COD</w:t>
                  </w:r>
                </w:p>
              </w:tc>
              <w:tc>
                <w:tcPr>
                  <w:tcW w:w="1680" w:type="pct"/>
                  <w:shd w:val="clear" w:color="auto" w:fill="auto"/>
                  <w:vAlign w:val="center"/>
                </w:tcPr>
                <w:p w14:paraId="2641EA79">
                  <w:pPr>
                    <w:pStyle w:val="135"/>
                    <w:rPr>
                      <w:rFonts w:ascii="Times New Roman" w:hAnsi="Times New Roman" w:eastAsia="宋体"/>
                      <w:color w:val="auto"/>
                      <w:sz w:val="21"/>
                      <w:szCs w:val="21"/>
                    </w:rPr>
                  </w:pPr>
                  <w:r>
                    <w:rPr>
                      <w:rFonts w:ascii="Times New Roman" w:hAnsi="Times New Roman" w:eastAsia="宋体"/>
                      <w:color w:val="auto"/>
                      <w:sz w:val="21"/>
                      <w:szCs w:val="21"/>
                    </w:rPr>
                    <w:t>500</w:t>
                  </w:r>
                </w:p>
              </w:tc>
              <w:tc>
                <w:tcPr>
                  <w:tcW w:w="1856" w:type="pct"/>
                  <w:shd w:val="clear" w:color="auto" w:fill="auto"/>
                  <w:vAlign w:val="center"/>
                </w:tcPr>
                <w:p w14:paraId="4E3823AC">
                  <w:pPr>
                    <w:pStyle w:val="135"/>
                    <w:rPr>
                      <w:rFonts w:ascii="Times New Roman" w:hAnsi="Times New Roman" w:eastAsia="宋体"/>
                      <w:color w:val="auto"/>
                      <w:sz w:val="21"/>
                      <w:szCs w:val="21"/>
                    </w:rPr>
                  </w:pPr>
                  <w:r>
                    <w:rPr>
                      <w:rFonts w:ascii="Times New Roman" w:hAnsi="Times New Roman" w:eastAsia="宋体"/>
                      <w:color w:val="auto"/>
                      <w:sz w:val="21"/>
                      <w:szCs w:val="21"/>
                    </w:rPr>
                    <w:t>50</w:t>
                  </w:r>
                </w:p>
              </w:tc>
            </w:tr>
            <w:tr w14:paraId="13E226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64" w:type="pct"/>
                  <w:shd w:val="clear" w:color="auto" w:fill="auto"/>
                  <w:vAlign w:val="center"/>
                </w:tcPr>
                <w:p w14:paraId="394B805B">
                  <w:pPr>
                    <w:pStyle w:val="135"/>
                    <w:rPr>
                      <w:rFonts w:ascii="Times New Roman" w:hAnsi="Times New Roman" w:eastAsia="宋体"/>
                      <w:color w:val="auto"/>
                      <w:sz w:val="21"/>
                      <w:szCs w:val="21"/>
                    </w:rPr>
                  </w:pPr>
                  <w:r>
                    <w:rPr>
                      <w:rFonts w:ascii="Times New Roman" w:hAnsi="Times New Roman" w:eastAsia="宋体"/>
                      <w:color w:val="auto"/>
                      <w:sz w:val="21"/>
                      <w:szCs w:val="21"/>
                    </w:rPr>
                    <w:t>BOD</w:t>
                  </w:r>
                  <w:r>
                    <w:rPr>
                      <w:rFonts w:ascii="Times New Roman" w:hAnsi="Times New Roman" w:eastAsia="宋体"/>
                      <w:color w:val="auto"/>
                      <w:sz w:val="21"/>
                      <w:szCs w:val="21"/>
                      <w:vertAlign w:val="subscript"/>
                    </w:rPr>
                    <w:t>5</w:t>
                  </w:r>
                </w:p>
              </w:tc>
              <w:tc>
                <w:tcPr>
                  <w:tcW w:w="1680" w:type="pct"/>
                  <w:shd w:val="clear" w:color="auto" w:fill="auto"/>
                  <w:vAlign w:val="center"/>
                </w:tcPr>
                <w:p w14:paraId="731BC92B">
                  <w:pPr>
                    <w:pStyle w:val="135"/>
                    <w:rPr>
                      <w:rFonts w:ascii="Times New Roman" w:hAnsi="Times New Roman" w:eastAsia="宋体"/>
                      <w:color w:val="auto"/>
                      <w:sz w:val="21"/>
                      <w:szCs w:val="21"/>
                    </w:rPr>
                  </w:pPr>
                  <w:r>
                    <w:rPr>
                      <w:rFonts w:ascii="Times New Roman" w:hAnsi="Times New Roman" w:eastAsia="宋体"/>
                      <w:color w:val="auto"/>
                      <w:sz w:val="21"/>
                      <w:szCs w:val="21"/>
                    </w:rPr>
                    <w:t>180</w:t>
                  </w:r>
                </w:p>
              </w:tc>
              <w:tc>
                <w:tcPr>
                  <w:tcW w:w="1856" w:type="pct"/>
                  <w:shd w:val="clear" w:color="auto" w:fill="auto"/>
                  <w:vAlign w:val="center"/>
                </w:tcPr>
                <w:p w14:paraId="452419D4">
                  <w:pPr>
                    <w:pStyle w:val="135"/>
                    <w:rPr>
                      <w:rFonts w:ascii="Times New Roman" w:hAnsi="Times New Roman" w:eastAsia="宋体"/>
                      <w:color w:val="auto"/>
                      <w:sz w:val="21"/>
                      <w:szCs w:val="21"/>
                    </w:rPr>
                  </w:pPr>
                  <w:r>
                    <w:rPr>
                      <w:rFonts w:hint="eastAsia" w:ascii="Times New Roman" w:hAnsi="Times New Roman" w:eastAsia="宋体"/>
                      <w:color w:val="auto"/>
                      <w:sz w:val="21"/>
                      <w:szCs w:val="21"/>
                    </w:rPr>
                    <w:t>1</w:t>
                  </w:r>
                  <w:r>
                    <w:rPr>
                      <w:rFonts w:ascii="Times New Roman" w:hAnsi="Times New Roman" w:eastAsia="宋体"/>
                      <w:color w:val="auto"/>
                      <w:sz w:val="21"/>
                      <w:szCs w:val="21"/>
                    </w:rPr>
                    <w:t>0</w:t>
                  </w:r>
                </w:p>
              </w:tc>
            </w:tr>
            <w:tr w14:paraId="1C4C07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64" w:type="pct"/>
                  <w:shd w:val="clear" w:color="auto" w:fill="auto"/>
                  <w:vAlign w:val="center"/>
                </w:tcPr>
                <w:p w14:paraId="7E05C51D">
                  <w:pPr>
                    <w:pStyle w:val="135"/>
                    <w:rPr>
                      <w:rFonts w:ascii="Times New Roman" w:hAnsi="Times New Roman" w:eastAsia="宋体"/>
                      <w:color w:val="auto"/>
                      <w:sz w:val="21"/>
                      <w:szCs w:val="21"/>
                    </w:rPr>
                  </w:pPr>
                  <w:r>
                    <w:rPr>
                      <w:rFonts w:ascii="Times New Roman" w:hAnsi="Times New Roman" w:eastAsia="宋体"/>
                      <w:color w:val="auto"/>
                      <w:sz w:val="21"/>
                      <w:szCs w:val="21"/>
                    </w:rPr>
                    <w:t>SS</w:t>
                  </w:r>
                </w:p>
              </w:tc>
              <w:tc>
                <w:tcPr>
                  <w:tcW w:w="1680" w:type="pct"/>
                  <w:shd w:val="clear" w:color="auto" w:fill="auto"/>
                  <w:vAlign w:val="center"/>
                </w:tcPr>
                <w:p w14:paraId="792D2C0B">
                  <w:pPr>
                    <w:pStyle w:val="135"/>
                    <w:rPr>
                      <w:rFonts w:ascii="Times New Roman" w:hAnsi="Times New Roman" w:eastAsia="宋体"/>
                      <w:color w:val="auto"/>
                      <w:sz w:val="21"/>
                      <w:szCs w:val="21"/>
                    </w:rPr>
                  </w:pPr>
                  <w:r>
                    <w:rPr>
                      <w:rFonts w:ascii="Times New Roman" w:hAnsi="Times New Roman" w:eastAsia="宋体"/>
                      <w:color w:val="auto"/>
                      <w:sz w:val="21"/>
                      <w:szCs w:val="21"/>
                    </w:rPr>
                    <w:t>400</w:t>
                  </w:r>
                </w:p>
              </w:tc>
              <w:tc>
                <w:tcPr>
                  <w:tcW w:w="1856" w:type="pct"/>
                  <w:shd w:val="clear" w:color="auto" w:fill="auto"/>
                  <w:vAlign w:val="center"/>
                </w:tcPr>
                <w:p w14:paraId="13CAB7A8">
                  <w:pPr>
                    <w:pStyle w:val="135"/>
                    <w:rPr>
                      <w:rFonts w:ascii="Times New Roman" w:hAnsi="Times New Roman" w:eastAsia="宋体"/>
                      <w:color w:val="auto"/>
                      <w:sz w:val="21"/>
                      <w:szCs w:val="21"/>
                    </w:rPr>
                  </w:pPr>
                  <w:r>
                    <w:rPr>
                      <w:rFonts w:ascii="Times New Roman" w:hAnsi="Times New Roman" w:eastAsia="宋体"/>
                      <w:color w:val="auto"/>
                      <w:sz w:val="21"/>
                      <w:szCs w:val="21"/>
                    </w:rPr>
                    <w:t>10</w:t>
                  </w:r>
                </w:p>
              </w:tc>
            </w:tr>
            <w:tr w14:paraId="56A76B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64" w:type="pct"/>
                  <w:shd w:val="clear" w:color="auto" w:fill="auto"/>
                  <w:vAlign w:val="center"/>
                </w:tcPr>
                <w:p w14:paraId="472C2AD8">
                  <w:pPr>
                    <w:pStyle w:val="135"/>
                    <w:rPr>
                      <w:rFonts w:ascii="Times New Roman" w:hAnsi="Times New Roman" w:eastAsia="宋体"/>
                      <w:color w:val="auto"/>
                      <w:sz w:val="21"/>
                      <w:szCs w:val="21"/>
                    </w:rPr>
                  </w:pPr>
                  <w:r>
                    <w:rPr>
                      <w:rFonts w:ascii="Times New Roman" w:hAnsi="Times New Roman" w:eastAsia="宋体"/>
                      <w:color w:val="auto"/>
                      <w:sz w:val="21"/>
                      <w:szCs w:val="21"/>
                    </w:rPr>
                    <w:t>氨氮</w:t>
                  </w:r>
                </w:p>
              </w:tc>
              <w:tc>
                <w:tcPr>
                  <w:tcW w:w="1680" w:type="pct"/>
                  <w:shd w:val="clear" w:color="auto" w:fill="auto"/>
                  <w:vAlign w:val="center"/>
                </w:tcPr>
                <w:p w14:paraId="1F5158F7">
                  <w:pPr>
                    <w:pStyle w:val="135"/>
                    <w:rPr>
                      <w:rFonts w:ascii="Times New Roman" w:hAnsi="Times New Roman" w:eastAsia="宋体"/>
                      <w:color w:val="auto"/>
                      <w:sz w:val="21"/>
                      <w:szCs w:val="21"/>
                    </w:rPr>
                  </w:pPr>
                  <w:r>
                    <w:rPr>
                      <w:rFonts w:ascii="Times New Roman" w:hAnsi="Times New Roman" w:eastAsia="宋体"/>
                      <w:color w:val="auto"/>
                      <w:sz w:val="21"/>
                      <w:szCs w:val="21"/>
                    </w:rPr>
                    <w:t>30</w:t>
                  </w:r>
                </w:p>
              </w:tc>
              <w:tc>
                <w:tcPr>
                  <w:tcW w:w="1856" w:type="pct"/>
                  <w:shd w:val="clear" w:color="auto" w:fill="auto"/>
                  <w:vAlign w:val="center"/>
                </w:tcPr>
                <w:p w14:paraId="31AD7697">
                  <w:pPr>
                    <w:pStyle w:val="135"/>
                    <w:rPr>
                      <w:rFonts w:ascii="Times New Roman" w:hAnsi="Times New Roman" w:eastAsia="宋体"/>
                      <w:color w:val="auto"/>
                      <w:kern w:val="0"/>
                      <w:sz w:val="21"/>
                      <w:szCs w:val="21"/>
                    </w:rPr>
                  </w:pPr>
                  <w:r>
                    <w:rPr>
                      <w:rFonts w:ascii="Times New Roman" w:hAnsi="Times New Roman" w:eastAsia="宋体"/>
                      <w:color w:val="auto"/>
                      <w:kern w:val="0"/>
                      <w:sz w:val="21"/>
                      <w:szCs w:val="21"/>
                    </w:rPr>
                    <w:t>5</w:t>
                  </w:r>
                </w:p>
              </w:tc>
            </w:tr>
            <w:tr w14:paraId="751F44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64" w:type="pct"/>
                  <w:shd w:val="clear" w:color="auto" w:fill="auto"/>
                  <w:vAlign w:val="center"/>
                </w:tcPr>
                <w:p w14:paraId="1536557C">
                  <w:pPr>
                    <w:pStyle w:val="135"/>
                    <w:rPr>
                      <w:rFonts w:ascii="Times New Roman" w:hAnsi="Times New Roman" w:eastAsia="宋体"/>
                      <w:color w:val="auto"/>
                      <w:sz w:val="21"/>
                      <w:szCs w:val="21"/>
                    </w:rPr>
                  </w:pPr>
                  <w:r>
                    <w:rPr>
                      <w:rFonts w:ascii="Times New Roman" w:hAnsi="Times New Roman" w:eastAsia="宋体"/>
                      <w:color w:val="auto"/>
                      <w:sz w:val="21"/>
                      <w:szCs w:val="21"/>
                    </w:rPr>
                    <w:t>总氮</w:t>
                  </w:r>
                </w:p>
              </w:tc>
              <w:tc>
                <w:tcPr>
                  <w:tcW w:w="1680" w:type="pct"/>
                  <w:shd w:val="clear" w:color="auto" w:fill="auto"/>
                  <w:vAlign w:val="center"/>
                </w:tcPr>
                <w:p w14:paraId="1E027EFD">
                  <w:pPr>
                    <w:pStyle w:val="135"/>
                    <w:rPr>
                      <w:rFonts w:ascii="Times New Roman" w:hAnsi="Times New Roman" w:eastAsia="宋体"/>
                      <w:color w:val="auto"/>
                      <w:sz w:val="21"/>
                      <w:szCs w:val="21"/>
                    </w:rPr>
                  </w:pPr>
                  <w:r>
                    <w:rPr>
                      <w:rFonts w:ascii="Times New Roman" w:hAnsi="Times New Roman" w:eastAsia="宋体"/>
                      <w:color w:val="auto"/>
                      <w:sz w:val="21"/>
                      <w:szCs w:val="21"/>
                    </w:rPr>
                    <w:t>45</w:t>
                  </w:r>
                </w:p>
              </w:tc>
              <w:tc>
                <w:tcPr>
                  <w:tcW w:w="1856" w:type="pct"/>
                  <w:shd w:val="clear" w:color="auto" w:fill="auto"/>
                  <w:vAlign w:val="center"/>
                </w:tcPr>
                <w:p w14:paraId="2EC44CC8">
                  <w:pPr>
                    <w:pStyle w:val="135"/>
                    <w:rPr>
                      <w:rFonts w:ascii="Times New Roman" w:hAnsi="Times New Roman" w:eastAsia="宋体"/>
                      <w:color w:val="auto"/>
                      <w:kern w:val="0"/>
                      <w:sz w:val="21"/>
                      <w:szCs w:val="21"/>
                    </w:rPr>
                  </w:pPr>
                  <w:r>
                    <w:rPr>
                      <w:rFonts w:ascii="Times New Roman" w:hAnsi="Times New Roman" w:eastAsia="宋体"/>
                      <w:color w:val="auto"/>
                      <w:kern w:val="0"/>
                      <w:sz w:val="21"/>
                      <w:szCs w:val="21"/>
                    </w:rPr>
                    <w:t>15</w:t>
                  </w:r>
                </w:p>
              </w:tc>
            </w:tr>
            <w:tr w14:paraId="19FB47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64" w:type="pct"/>
                  <w:shd w:val="clear" w:color="auto" w:fill="auto"/>
                  <w:vAlign w:val="center"/>
                </w:tcPr>
                <w:p w14:paraId="39B2626F">
                  <w:pPr>
                    <w:pStyle w:val="135"/>
                    <w:rPr>
                      <w:rFonts w:ascii="Times New Roman" w:hAnsi="Times New Roman" w:eastAsia="宋体"/>
                      <w:color w:val="auto"/>
                      <w:sz w:val="21"/>
                      <w:szCs w:val="21"/>
                    </w:rPr>
                  </w:pPr>
                  <w:r>
                    <w:rPr>
                      <w:rFonts w:ascii="Times New Roman" w:hAnsi="Times New Roman" w:eastAsia="宋体"/>
                      <w:color w:val="auto"/>
                      <w:sz w:val="21"/>
                      <w:szCs w:val="21"/>
                    </w:rPr>
                    <w:t>总磷</w:t>
                  </w:r>
                </w:p>
              </w:tc>
              <w:tc>
                <w:tcPr>
                  <w:tcW w:w="1680" w:type="pct"/>
                  <w:shd w:val="clear" w:color="auto" w:fill="auto"/>
                  <w:vAlign w:val="center"/>
                </w:tcPr>
                <w:p w14:paraId="470C2D80">
                  <w:pPr>
                    <w:pStyle w:val="135"/>
                    <w:rPr>
                      <w:rFonts w:ascii="Times New Roman" w:hAnsi="Times New Roman" w:eastAsia="宋体"/>
                      <w:color w:val="auto"/>
                      <w:sz w:val="21"/>
                      <w:szCs w:val="21"/>
                    </w:rPr>
                  </w:pPr>
                  <w:r>
                    <w:rPr>
                      <w:rFonts w:ascii="Times New Roman" w:hAnsi="Times New Roman" w:eastAsia="宋体"/>
                      <w:color w:val="auto"/>
                      <w:sz w:val="21"/>
                      <w:szCs w:val="21"/>
                    </w:rPr>
                    <w:t>8</w:t>
                  </w:r>
                </w:p>
              </w:tc>
              <w:tc>
                <w:tcPr>
                  <w:tcW w:w="1856" w:type="pct"/>
                  <w:shd w:val="clear" w:color="auto" w:fill="auto"/>
                  <w:vAlign w:val="center"/>
                </w:tcPr>
                <w:p w14:paraId="68DD32B7">
                  <w:pPr>
                    <w:pStyle w:val="135"/>
                    <w:rPr>
                      <w:rFonts w:ascii="Times New Roman" w:hAnsi="Times New Roman" w:eastAsia="宋体"/>
                      <w:color w:val="auto"/>
                      <w:kern w:val="0"/>
                      <w:sz w:val="21"/>
                      <w:szCs w:val="21"/>
                    </w:rPr>
                  </w:pPr>
                  <w:r>
                    <w:rPr>
                      <w:rFonts w:ascii="Times New Roman" w:hAnsi="Times New Roman" w:eastAsia="宋体"/>
                      <w:color w:val="auto"/>
                      <w:kern w:val="0"/>
                      <w:sz w:val="21"/>
                      <w:szCs w:val="21"/>
                    </w:rPr>
                    <w:t>0.5</w:t>
                  </w:r>
                </w:p>
              </w:tc>
            </w:tr>
            <w:tr w14:paraId="78C3E8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64" w:type="pct"/>
                  <w:shd w:val="clear" w:color="auto" w:fill="auto"/>
                  <w:vAlign w:val="center"/>
                </w:tcPr>
                <w:p w14:paraId="2327E3F6">
                  <w:pPr>
                    <w:pStyle w:val="135"/>
                    <w:rPr>
                      <w:rFonts w:ascii="Times New Roman" w:hAnsi="Times New Roman" w:eastAsia="宋体"/>
                      <w:color w:val="auto"/>
                      <w:sz w:val="21"/>
                      <w:szCs w:val="21"/>
                    </w:rPr>
                  </w:pPr>
                  <w:r>
                    <w:rPr>
                      <w:rFonts w:ascii="Times New Roman" w:hAnsi="Times New Roman" w:eastAsia="宋体"/>
                      <w:color w:val="auto"/>
                      <w:sz w:val="21"/>
                      <w:szCs w:val="21"/>
                    </w:rPr>
                    <w:t>动植物油</w:t>
                  </w:r>
                </w:p>
              </w:tc>
              <w:tc>
                <w:tcPr>
                  <w:tcW w:w="1680" w:type="pct"/>
                  <w:shd w:val="clear" w:color="auto" w:fill="auto"/>
                  <w:vAlign w:val="center"/>
                </w:tcPr>
                <w:p w14:paraId="14B4C5AF">
                  <w:pPr>
                    <w:pStyle w:val="135"/>
                    <w:rPr>
                      <w:rFonts w:ascii="Times New Roman" w:hAnsi="Times New Roman" w:eastAsia="宋体"/>
                      <w:color w:val="auto"/>
                      <w:sz w:val="21"/>
                      <w:szCs w:val="21"/>
                    </w:rPr>
                  </w:pPr>
                  <w:r>
                    <w:rPr>
                      <w:rFonts w:ascii="Times New Roman" w:hAnsi="Times New Roman" w:eastAsia="宋体"/>
                      <w:color w:val="auto"/>
                      <w:sz w:val="21"/>
                      <w:szCs w:val="21"/>
                    </w:rPr>
                    <w:t>100</w:t>
                  </w:r>
                </w:p>
              </w:tc>
              <w:tc>
                <w:tcPr>
                  <w:tcW w:w="1856" w:type="pct"/>
                  <w:shd w:val="clear" w:color="auto" w:fill="auto"/>
                  <w:vAlign w:val="center"/>
                </w:tcPr>
                <w:p w14:paraId="50737760">
                  <w:pPr>
                    <w:pStyle w:val="135"/>
                    <w:rPr>
                      <w:rFonts w:ascii="Times New Roman" w:hAnsi="Times New Roman" w:eastAsia="宋体"/>
                      <w:color w:val="auto"/>
                      <w:kern w:val="0"/>
                      <w:sz w:val="21"/>
                      <w:szCs w:val="21"/>
                    </w:rPr>
                  </w:pPr>
                  <w:r>
                    <w:rPr>
                      <w:rFonts w:ascii="Times New Roman" w:hAnsi="Times New Roman" w:eastAsia="宋体"/>
                      <w:color w:val="auto"/>
                      <w:kern w:val="0"/>
                      <w:sz w:val="21"/>
                      <w:szCs w:val="21"/>
                    </w:rPr>
                    <w:t>1</w:t>
                  </w:r>
                </w:p>
              </w:tc>
            </w:tr>
            <w:tr w14:paraId="75F6C0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64" w:type="pct"/>
                  <w:shd w:val="clear" w:color="auto" w:fill="auto"/>
                  <w:vAlign w:val="center"/>
                </w:tcPr>
                <w:p w14:paraId="224C7050">
                  <w:pPr>
                    <w:pStyle w:val="135"/>
                    <w:rPr>
                      <w:rFonts w:ascii="Times New Roman" w:hAnsi="Times New Roman" w:eastAsia="宋体"/>
                      <w:color w:val="auto"/>
                      <w:sz w:val="21"/>
                      <w:szCs w:val="21"/>
                    </w:rPr>
                  </w:pPr>
                  <w:r>
                    <w:rPr>
                      <w:rFonts w:hint="eastAsia" w:ascii="Times New Roman" w:hAnsi="Times New Roman" w:eastAsia="宋体"/>
                      <w:color w:val="auto"/>
                      <w:sz w:val="21"/>
                      <w:szCs w:val="21"/>
                    </w:rPr>
                    <w:t>L</w:t>
                  </w:r>
                  <w:r>
                    <w:rPr>
                      <w:rFonts w:ascii="Times New Roman" w:hAnsi="Times New Roman" w:eastAsia="宋体"/>
                      <w:color w:val="auto"/>
                      <w:sz w:val="21"/>
                      <w:szCs w:val="21"/>
                    </w:rPr>
                    <w:t>AS</w:t>
                  </w:r>
                </w:p>
              </w:tc>
              <w:tc>
                <w:tcPr>
                  <w:tcW w:w="1680" w:type="pct"/>
                  <w:shd w:val="clear" w:color="auto" w:fill="auto"/>
                  <w:vAlign w:val="center"/>
                </w:tcPr>
                <w:p w14:paraId="28225477">
                  <w:pPr>
                    <w:pStyle w:val="135"/>
                    <w:rPr>
                      <w:rFonts w:ascii="Times New Roman" w:hAnsi="Times New Roman" w:eastAsia="宋体"/>
                      <w:color w:val="auto"/>
                      <w:sz w:val="21"/>
                      <w:szCs w:val="21"/>
                    </w:rPr>
                  </w:pPr>
                  <w:r>
                    <w:rPr>
                      <w:rFonts w:hint="eastAsia" w:ascii="Times New Roman" w:hAnsi="Times New Roman" w:eastAsia="宋体"/>
                      <w:color w:val="auto"/>
                      <w:sz w:val="21"/>
                      <w:szCs w:val="21"/>
                    </w:rPr>
                    <w:t>2</w:t>
                  </w:r>
                  <w:r>
                    <w:rPr>
                      <w:rFonts w:ascii="Times New Roman" w:hAnsi="Times New Roman" w:eastAsia="宋体"/>
                      <w:color w:val="auto"/>
                      <w:sz w:val="21"/>
                      <w:szCs w:val="21"/>
                    </w:rPr>
                    <w:t>0</w:t>
                  </w:r>
                </w:p>
              </w:tc>
              <w:tc>
                <w:tcPr>
                  <w:tcW w:w="1856" w:type="pct"/>
                  <w:shd w:val="clear" w:color="auto" w:fill="auto"/>
                  <w:vAlign w:val="center"/>
                </w:tcPr>
                <w:p w14:paraId="24AC37BA">
                  <w:pPr>
                    <w:pStyle w:val="135"/>
                    <w:rPr>
                      <w:rFonts w:ascii="Times New Roman" w:hAnsi="Times New Roman" w:eastAsia="宋体"/>
                      <w:color w:val="auto"/>
                      <w:kern w:val="0"/>
                      <w:sz w:val="21"/>
                      <w:szCs w:val="21"/>
                    </w:rPr>
                  </w:pPr>
                  <w:r>
                    <w:rPr>
                      <w:rFonts w:hint="eastAsia" w:ascii="Times New Roman" w:hAnsi="Times New Roman" w:eastAsia="宋体"/>
                      <w:color w:val="auto"/>
                      <w:kern w:val="0"/>
                      <w:sz w:val="21"/>
                      <w:szCs w:val="21"/>
                    </w:rPr>
                    <w:t>0</w:t>
                  </w:r>
                  <w:r>
                    <w:rPr>
                      <w:rFonts w:ascii="Times New Roman" w:hAnsi="Times New Roman" w:eastAsia="宋体"/>
                      <w:color w:val="auto"/>
                      <w:kern w:val="0"/>
                      <w:sz w:val="21"/>
                      <w:szCs w:val="21"/>
                    </w:rPr>
                    <w:t>.5</w:t>
                  </w:r>
                </w:p>
              </w:tc>
            </w:tr>
            <w:tr w14:paraId="6D4BBE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64" w:type="pct"/>
                  <w:shd w:val="clear" w:color="auto" w:fill="auto"/>
                  <w:vAlign w:val="center"/>
                </w:tcPr>
                <w:p w14:paraId="0D5DBEF7">
                  <w:pPr>
                    <w:pStyle w:val="135"/>
                    <w:rPr>
                      <w:rFonts w:ascii="Times New Roman" w:hAnsi="Times New Roman" w:eastAsia="宋体"/>
                      <w:color w:val="auto"/>
                      <w:sz w:val="21"/>
                      <w:szCs w:val="21"/>
                    </w:rPr>
                  </w:pPr>
                  <w:r>
                    <w:rPr>
                      <w:rFonts w:ascii="Times New Roman" w:hAnsi="Times New Roman" w:eastAsia="宋体"/>
                      <w:color w:val="auto"/>
                      <w:sz w:val="21"/>
                      <w:szCs w:val="21"/>
                    </w:rPr>
                    <w:t>标准来源</w:t>
                  </w:r>
                </w:p>
              </w:tc>
              <w:tc>
                <w:tcPr>
                  <w:tcW w:w="1680" w:type="pct"/>
                  <w:shd w:val="clear" w:color="auto" w:fill="auto"/>
                  <w:vAlign w:val="center"/>
                </w:tcPr>
                <w:p w14:paraId="1ED78286">
                  <w:pPr>
                    <w:pStyle w:val="135"/>
                    <w:rPr>
                      <w:rFonts w:ascii="Times New Roman" w:hAnsi="Times New Roman" w:eastAsia="宋体"/>
                      <w:color w:val="auto"/>
                      <w:sz w:val="21"/>
                      <w:szCs w:val="21"/>
                    </w:rPr>
                  </w:pPr>
                  <w:r>
                    <w:rPr>
                      <w:rFonts w:ascii="Times New Roman" w:hAnsi="Times New Roman" w:eastAsia="宋体"/>
                      <w:color w:val="auto"/>
                      <w:kern w:val="0"/>
                      <w:sz w:val="21"/>
                      <w:szCs w:val="21"/>
                    </w:rPr>
                    <w:t>涟水经济开发区西区污水处理厂</w:t>
                  </w:r>
                  <w:r>
                    <w:rPr>
                      <w:rFonts w:ascii="Times New Roman" w:hAnsi="Times New Roman" w:eastAsia="宋体"/>
                      <w:color w:val="auto"/>
                      <w:sz w:val="21"/>
                      <w:szCs w:val="21"/>
                    </w:rPr>
                    <w:t>接管标准</w:t>
                  </w:r>
                </w:p>
              </w:tc>
              <w:tc>
                <w:tcPr>
                  <w:tcW w:w="1856" w:type="pct"/>
                  <w:shd w:val="clear" w:color="auto" w:fill="auto"/>
                  <w:vAlign w:val="center"/>
                </w:tcPr>
                <w:p w14:paraId="5BCABA88">
                  <w:pPr>
                    <w:pStyle w:val="135"/>
                    <w:rPr>
                      <w:rFonts w:ascii="Times New Roman" w:hAnsi="Times New Roman" w:eastAsia="宋体"/>
                      <w:color w:val="auto"/>
                      <w:kern w:val="0"/>
                      <w:sz w:val="21"/>
                      <w:szCs w:val="21"/>
                    </w:rPr>
                  </w:pPr>
                  <w:r>
                    <w:rPr>
                      <w:rFonts w:ascii="Times New Roman" w:hAnsi="Times New Roman" w:eastAsia="宋体"/>
                      <w:color w:val="auto"/>
                      <w:sz w:val="21"/>
                      <w:szCs w:val="21"/>
                    </w:rPr>
                    <w:t>《城镇污水处理厂污染物排放标准》（GB18918-2002）一级A标准</w:t>
                  </w:r>
                </w:p>
              </w:tc>
            </w:tr>
          </w:tbl>
          <w:p w14:paraId="491B11F5">
            <w:pPr>
              <w:widowControl/>
              <w:adjustRightInd w:val="0"/>
              <w:snapToGrid w:val="0"/>
              <w:spacing w:line="360" w:lineRule="auto"/>
              <w:ind w:firstLine="482" w:firstLineChars="200"/>
              <w:jc w:val="left"/>
              <w:rPr>
                <w:b/>
                <w:color w:val="auto"/>
                <w:kern w:val="0"/>
                <w:sz w:val="24"/>
                <w:szCs w:val="20"/>
              </w:rPr>
            </w:pPr>
            <w:r>
              <w:rPr>
                <w:b/>
                <w:color w:val="auto"/>
                <w:kern w:val="0"/>
                <w:sz w:val="24"/>
                <w:szCs w:val="20"/>
              </w:rPr>
              <w:t>3.</w:t>
            </w:r>
            <w:r>
              <w:rPr>
                <w:rFonts w:hAnsi="宋体"/>
                <w:b/>
                <w:color w:val="auto"/>
                <w:kern w:val="0"/>
                <w:sz w:val="24"/>
                <w:szCs w:val="20"/>
              </w:rPr>
              <w:t>噪声</w:t>
            </w:r>
          </w:p>
          <w:p w14:paraId="43A2967C">
            <w:pPr>
              <w:autoSpaceDE w:val="0"/>
              <w:autoSpaceDN w:val="0"/>
              <w:adjustRightInd w:val="0"/>
              <w:spacing w:line="360" w:lineRule="auto"/>
              <w:ind w:firstLine="480" w:firstLineChars="200"/>
              <w:rPr>
                <w:rFonts w:hint="eastAsia"/>
                <w:color w:val="auto"/>
                <w:sz w:val="24"/>
              </w:rPr>
            </w:pPr>
            <w:r>
              <w:rPr>
                <w:rFonts w:hint="eastAsia"/>
                <w:color w:val="auto"/>
                <w:sz w:val="24"/>
                <w:lang w:eastAsia="zh-CN"/>
              </w:rPr>
              <w:t>扩建项目</w:t>
            </w:r>
            <w:r>
              <w:rPr>
                <w:rFonts w:hint="eastAsia"/>
                <w:color w:val="auto"/>
                <w:sz w:val="24"/>
              </w:rPr>
              <w:t>施工期各厂界噪声标准</w:t>
            </w:r>
            <w:r>
              <w:rPr>
                <w:color w:val="auto"/>
                <w:sz w:val="24"/>
              </w:rPr>
              <w:t>执行</w:t>
            </w:r>
            <w:r>
              <w:rPr>
                <w:rFonts w:hint="eastAsia"/>
                <w:color w:val="auto"/>
                <w:sz w:val="24"/>
              </w:rPr>
              <w:t>《</w:t>
            </w:r>
            <w:r>
              <w:rPr>
                <w:rFonts w:hint="eastAsia"/>
                <w:color w:val="auto"/>
                <w:sz w:val="24"/>
                <w:lang w:val="en-US" w:eastAsia="zh-CN"/>
              </w:rPr>
              <w:t>建筑施工场界环境噪声排放标准</w:t>
            </w:r>
            <w:r>
              <w:rPr>
                <w:rFonts w:hint="eastAsia"/>
                <w:color w:val="auto"/>
                <w:sz w:val="24"/>
              </w:rPr>
              <w:t>》（GB</w:t>
            </w:r>
            <w:r>
              <w:rPr>
                <w:rFonts w:hint="eastAsia"/>
                <w:color w:val="auto"/>
                <w:sz w:val="24"/>
                <w:lang w:val="en-US" w:eastAsia="zh-CN"/>
              </w:rPr>
              <w:t>12523-2011</w:t>
            </w:r>
            <w:r>
              <w:rPr>
                <w:rFonts w:hint="eastAsia"/>
                <w:color w:val="auto"/>
                <w:sz w:val="24"/>
              </w:rPr>
              <w:t>）标准见表3-</w:t>
            </w:r>
            <w:r>
              <w:rPr>
                <w:rFonts w:hint="eastAsia"/>
                <w:color w:val="auto"/>
                <w:sz w:val="24"/>
                <w:lang w:val="en-US" w:eastAsia="zh-CN"/>
              </w:rPr>
              <w:t>7</w:t>
            </w:r>
            <w:r>
              <w:rPr>
                <w:rFonts w:hint="eastAsia"/>
                <w:color w:val="auto"/>
                <w:sz w:val="24"/>
              </w:rPr>
              <w:t>。</w:t>
            </w:r>
          </w:p>
          <w:p w14:paraId="511435DC">
            <w:pPr>
              <w:autoSpaceDE w:val="0"/>
              <w:autoSpaceDN w:val="0"/>
              <w:adjustRightInd w:val="0"/>
              <w:spacing w:line="460" w:lineRule="exact"/>
              <w:jc w:val="center"/>
              <w:rPr>
                <w:b/>
                <w:bCs/>
                <w:color w:val="auto"/>
                <w:sz w:val="24"/>
                <w:szCs w:val="21"/>
              </w:rPr>
            </w:pPr>
            <w:r>
              <w:rPr>
                <w:b/>
                <w:color w:val="auto"/>
                <w:sz w:val="24"/>
              </w:rPr>
              <w:t>表</w:t>
            </w:r>
            <w:r>
              <w:rPr>
                <w:b/>
                <w:bCs/>
                <w:color w:val="auto"/>
                <w:sz w:val="24"/>
              </w:rPr>
              <w:t>3-</w:t>
            </w:r>
            <w:r>
              <w:rPr>
                <w:rFonts w:hint="eastAsia"/>
                <w:b/>
                <w:bCs/>
                <w:color w:val="auto"/>
                <w:sz w:val="24"/>
                <w:lang w:val="en-US" w:eastAsia="zh-CN"/>
              </w:rPr>
              <w:t>7</w:t>
            </w:r>
            <w:r>
              <w:rPr>
                <w:b/>
                <w:bCs/>
                <w:color w:val="auto"/>
                <w:sz w:val="24"/>
              </w:rPr>
              <w:t xml:space="preserve"> </w:t>
            </w:r>
            <w:r>
              <w:rPr>
                <w:rFonts w:hint="eastAsia"/>
                <w:b/>
                <w:bCs/>
                <w:color w:val="auto"/>
                <w:sz w:val="24"/>
              </w:rPr>
              <w:t>施工期</w:t>
            </w:r>
            <w:r>
              <w:rPr>
                <w:b/>
                <w:color w:val="auto"/>
                <w:sz w:val="24"/>
              </w:rPr>
              <w:t xml:space="preserve">厂界环境噪声排放标准 </w:t>
            </w:r>
            <w:r>
              <w:rPr>
                <w:b/>
                <w:color w:val="auto"/>
                <w:sz w:val="24"/>
                <w:szCs w:val="21"/>
              </w:rPr>
              <w:t>单位：</w:t>
            </w:r>
            <w:r>
              <w:rPr>
                <w:b/>
                <w:bCs/>
                <w:color w:val="auto"/>
                <w:sz w:val="24"/>
                <w:szCs w:val="21"/>
              </w:rPr>
              <w:t>dB(A)</w:t>
            </w:r>
          </w:p>
          <w:tbl>
            <w:tblPr>
              <w:tblStyle w:val="32"/>
              <w:tblW w:w="8337"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3444"/>
              <w:gridCol w:w="1601"/>
              <w:gridCol w:w="3292"/>
            </w:tblGrid>
            <w:tr w14:paraId="760B7B7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7" w:hRule="atLeast"/>
                <w:jc w:val="center"/>
              </w:trPr>
              <w:tc>
                <w:tcPr>
                  <w:tcW w:w="3444" w:type="dxa"/>
                  <w:tcBorders>
                    <w:top w:val="single" w:color="auto" w:sz="12" w:space="0"/>
                    <w:left w:val="nil"/>
                    <w:bottom w:val="single" w:color="auto" w:sz="12" w:space="0"/>
                    <w:right w:val="single" w:color="auto" w:sz="2" w:space="0"/>
                  </w:tcBorders>
                  <w:vAlign w:val="center"/>
                </w:tcPr>
                <w:p w14:paraId="1EA1F64C">
                  <w:pPr>
                    <w:jc w:val="center"/>
                    <w:rPr>
                      <w:b/>
                      <w:bCs/>
                      <w:color w:val="auto"/>
                      <w:szCs w:val="21"/>
                    </w:rPr>
                  </w:pPr>
                  <w:r>
                    <w:rPr>
                      <w:b/>
                      <w:bCs/>
                      <w:color w:val="auto"/>
                      <w:szCs w:val="21"/>
                    </w:rPr>
                    <w:t>执行标准</w:t>
                  </w:r>
                </w:p>
              </w:tc>
              <w:tc>
                <w:tcPr>
                  <w:tcW w:w="1601" w:type="dxa"/>
                  <w:tcBorders>
                    <w:top w:val="single" w:color="auto" w:sz="12" w:space="0"/>
                    <w:left w:val="single" w:color="auto" w:sz="2" w:space="0"/>
                    <w:bottom w:val="single" w:color="auto" w:sz="12" w:space="0"/>
                    <w:right w:val="single" w:color="auto" w:sz="2" w:space="0"/>
                  </w:tcBorders>
                  <w:vAlign w:val="center"/>
                </w:tcPr>
                <w:p w14:paraId="5985D77A">
                  <w:pPr>
                    <w:jc w:val="center"/>
                    <w:rPr>
                      <w:b/>
                      <w:bCs/>
                      <w:color w:val="auto"/>
                      <w:szCs w:val="21"/>
                    </w:rPr>
                  </w:pPr>
                  <w:r>
                    <w:rPr>
                      <w:b/>
                      <w:bCs/>
                      <w:color w:val="auto"/>
                      <w:szCs w:val="21"/>
                    </w:rPr>
                    <w:t>昼间</w:t>
                  </w:r>
                </w:p>
              </w:tc>
              <w:tc>
                <w:tcPr>
                  <w:tcW w:w="3292" w:type="dxa"/>
                  <w:tcBorders>
                    <w:top w:val="single" w:color="auto" w:sz="12" w:space="0"/>
                    <w:left w:val="single" w:color="auto" w:sz="2" w:space="0"/>
                    <w:bottom w:val="single" w:color="auto" w:sz="12" w:space="0"/>
                    <w:right w:val="nil"/>
                  </w:tcBorders>
                  <w:vAlign w:val="center"/>
                </w:tcPr>
                <w:p w14:paraId="69897630">
                  <w:pPr>
                    <w:jc w:val="center"/>
                    <w:rPr>
                      <w:b/>
                      <w:bCs/>
                      <w:color w:val="auto"/>
                      <w:szCs w:val="21"/>
                    </w:rPr>
                  </w:pPr>
                  <w:r>
                    <w:rPr>
                      <w:b/>
                      <w:bCs/>
                      <w:color w:val="auto"/>
                      <w:szCs w:val="21"/>
                    </w:rPr>
                    <w:t>夜间</w:t>
                  </w:r>
                </w:p>
              </w:tc>
            </w:tr>
            <w:tr w14:paraId="21F9F05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02" w:hRule="atLeast"/>
                <w:jc w:val="center"/>
              </w:trPr>
              <w:tc>
                <w:tcPr>
                  <w:tcW w:w="3444" w:type="dxa"/>
                  <w:tcBorders>
                    <w:top w:val="single" w:color="auto" w:sz="12" w:space="0"/>
                    <w:left w:val="nil"/>
                    <w:bottom w:val="single" w:color="auto" w:sz="12" w:space="0"/>
                    <w:right w:val="single" w:color="auto" w:sz="2" w:space="0"/>
                  </w:tcBorders>
                  <w:vAlign w:val="center"/>
                </w:tcPr>
                <w:p w14:paraId="542FCC79">
                  <w:pPr>
                    <w:jc w:val="center"/>
                    <w:rPr>
                      <w:color w:val="auto"/>
                      <w:szCs w:val="21"/>
                    </w:rPr>
                  </w:pPr>
                  <w:r>
                    <w:rPr>
                      <w:color w:val="auto"/>
                      <w:szCs w:val="21"/>
                    </w:rPr>
                    <w:t>GB12348-2008中3类标准</w:t>
                  </w:r>
                </w:p>
              </w:tc>
              <w:tc>
                <w:tcPr>
                  <w:tcW w:w="1601" w:type="dxa"/>
                  <w:tcBorders>
                    <w:top w:val="single" w:color="auto" w:sz="12" w:space="0"/>
                    <w:left w:val="single" w:color="auto" w:sz="2" w:space="0"/>
                    <w:bottom w:val="single" w:color="auto" w:sz="12" w:space="0"/>
                    <w:right w:val="single" w:color="auto" w:sz="2" w:space="0"/>
                  </w:tcBorders>
                  <w:vAlign w:val="center"/>
                </w:tcPr>
                <w:p w14:paraId="46DB3EDB">
                  <w:pPr>
                    <w:jc w:val="center"/>
                    <w:rPr>
                      <w:rFonts w:hint="default" w:eastAsia="宋体"/>
                      <w:color w:val="auto"/>
                      <w:szCs w:val="21"/>
                      <w:lang w:val="en-US" w:eastAsia="zh-CN"/>
                    </w:rPr>
                  </w:pPr>
                  <w:r>
                    <w:rPr>
                      <w:color w:val="auto"/>
                      <w:szCs w:val="21"/>
                    </w:rPr>
                    <w:t>≤</w:t>
                  </w:r>
                  <w:r>
                    <w:rPr>
                      <w:rFonts w:hint="eastAsia"/>
                      <w:color w:val="auto"/>
                      <w:szCs w:val="21"/>
                      <w:lang w:val="en-US" w:eastAsia="zh-CN"/>
                    </w:rPr>
                    <w:t>70</w:t>
                  </w:r>
                </w:p>
              </w:tc>
              <w:tc>
                <w:tcPr>
                  <w:tcW w:w="3292" w:type="dxa"/>
                  <w:tcBorders>
                    <w:top w:val="single" w:color="auto" w:sz="12" w:space="0"/>
                    <w:left w:val="single" w:color="auto" w:sz="2" w:space="0"/>
                    <w:bottom w:val="single" w:color="auto" w:sz="12" w:space="0"/>
                    <w:right w:val="nil"/>
                  </w:tcBorders>
                  <w:vAlign w:val="center"/>
                </w:tcPr>
                <w:p w14:paraId="6F19D404">
                  <w:pPr>
                    <w:jc w:val="center"/>
                    <w:rPr>
                      <w:color w:val="auto"/>
                      <w:szCs w:val="21"/>
                    </w:rPr>
                  </w:pPr>
                  <w:r>
                    <w:rPr>
                      <w:color w:val="auto"/>
                      <w:szCs w:val="21"/>
                    </w:rPr>
                    <w:t>≤55</w:t>
                  </w:r>
                </w:p>
              </w:tc>
            </w:tr>
          </w:tbl>
          <w:p w14:paraId="33923144">
            <w:pPr>
              <w:autoSpaceDE w:val="0"/>
              <w:autoSpaceDN w:val="0"/>
              <w:adjustRightInd w:val="0"/>
              <w:spacing w:line="360" w:lineRule="auto"/>
              <w:ind w:firstLine="480" w:firstLineChars="200"/>
              <w:rPr>
                <w:color w:val="auto"/>
                <w:kern w:val="0"/>
                <w:sz w:val="24"/>
              </w:rPr>
            </w:pPr>
            <w:r>
              <w:rPr>
                <w:rFonts w:hint="eastAsia"/>
                <w:color w:val="auto"/>
                <w:sz w:val="24"/>
                <w:lang w:eastAsia="zh-CN"/>
              </w:rPr>
              <w:t>扩建项目</w:t>
            </w:r>
            <w:r>
              <w:rPr>
                <w:color w:val="auto"/>
                <w:sz w:val="24"/>
              </w:rPr>
              <w:t>运营期各厂界噪声执行《工业企业厂界环境噪声排放标准》（GB12348-2008）3类标准见表3-</w:t>
            </w:r>
            <w:r>
              <w:rPr>
                <w:rFonts w:hint="eastAsia"/>
                <w:color w:val="auto"/>
                <w:sz w:val="24"/>
                <w:lang w:val="en-US" w:eastAsia="zh-CN"/>
              </w:rPr>
              <w:t>8</w:t>
            </w:r>
            <w:r>
              <w:rPr>
                <w:color w:val="auto"/>
                <w:sz w:val="24"/>
              </w:rPr>
              <w:t>。</w:t>
            </w:r>
          </w:p>
          <w:p w14:paraId="60336B43">
            <w:pPr>
              <w:autoSpaceDE w:val="0"/>
              <w:autoSpaceDN w:val="0"/>
              <w:adjustRightInd w:val="0"/>
              <w:spacing w:line="460" w:lineRule="exact"/>
              <w:jc w:val="center"/>
              <w:rPr>
                <w:b/>
                <w:bCs/>
                <w:color w:val="auto"/>
                <w:sz w:val="24"/>
                <w:szCs w:val="21"/>
              </w:rPr>
            </w:pPr>
            <w:r>
              <w:rPr>
                <w:b/>
                <w:color w:val="auto"/>
                <w:sz w:val="24"/>
              </w:rPr>
              <w:t>表</w:t>
            </w:r>
            <w:r>
              <w:rPr>
                <w:b/>
                <w:bCs/>
                <w:color w:val="auto"/>
                <w:sz w:val="24"/>
              </w:rPr>
              <w:t>3-</w:t>
            </w:r>
            <w:r>
              <w:rPr>
                <w:rFonts w:hint="eastAsia"/>
                <w:b/>
                <w:bCs/>
                <w:color w:val="auto"/>
                <w:sz w:val="24"/>
                <w:lang w:val="en-US" w:eastAsia="zh-CN"/>
              </w:rPr>
              <w:t>8</w:t>
            </w:r>
            <w:r>
              <w:rPr>
                <w:b/>
                <w:bCs/>
                <w:color w:val="auto"/>
                <w:sz w:val="24"/>
              </w:rPr>
              <w:t xml:space="preserve"> </w:t>
            </w:r>
            <w:r>
              <w:rPr>
                <w:b/>
                <w:color w:val="auto"/>
                <w:sz w:val="24"/>
              </w:rPr>
              <w:t xml:space="preserve">工业企业厂界环境噪声排放标准 </w:t>
            </w:r>
            <w:r>
              <w:rPr>
                <w:b/>
                <w:color w:val="auto"/>
                <w:sz w:val="24"/>
                <w:szCs w:val="21"/>
              </w:rPr>
              <w:t>单位：</w:t>
            </w:r>
            <w:r>
              <w:rPr>
                <w:b/>
                <w:bCs/>
                <w:color w:val="auto"/>
                <w:sz w:val="24"/>
                <w:szCs w:val="21"/>
              </w:rPr>
              <w:t>dB(A)</w:t>
            </w:r>
          </w:p>
          <w:tbl>
            <w:tblPr>
              <w:tblStyle w:val="32"/>
              <w:tblW w:w="8337"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3444"/>
              <w:gridCol w:w="1601"/>
              <w:gridCol w:w="3292"/>
            </w:tblGrid>
            <w:tr w14:paraId="7034E3D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7" w:hRule="atLeast"/>
                <w:jc w:val="center"/>
              </w:trPr>
              <w:tc>
                <w:tcPr>
                  <w:tcW w:w="3444" w:type="dxa"/>
                  <w:tcBorders>
                    <w:top w:val="single" w:color="auto" w:sz="12" w:space="0"/>
                    <w:left w:val="nil"/>
                    <w:bottom w:val="single" w:color="auto" w:sz="12" w:space="0"/>
                    <w:right w:val="single" w:color="auto" w:sz="2" w:space="0"/>
                  </w:tcBorders>
                  <w:vAlign w:val="center"/>
                </w:tcPr>
                <w:p w14:paraId="604E1D3F">
                  <w:pPr>
                    <w:jc w:val="center"/>
                    <w:rPr>
                      <w:b/>
                      <w:bCs/>
                      <w:color w:val="auto"/>
                      <w:szCs w:val="21"/>
                    </w:rPr>
                  </w:pPr>
                  <w:r>
                    <w:rPr>
                      <w:b/>
                      <w:bCs/>
                      <w:color w:val="auto"/>
                      <w:szCs w:val="21"/>
                    </w:rPr>
                    <w:t>执行标准</w:t>
                  </w:r>
                </w:p>
              </w:tc>
              <w:tc>
                <w:tcPr>
                  <w:tcW w:w="1601" w:type="dxa"/>
                  <w:tcBorders>
                    <w:top w:val="single" w:color="auto" w:sz="12" w:space="0"/>
                    <w:left w:val="single" w:color="auto" w:sz="2" w:space="0"/>
                    <w:bottom w:val="single" w:color="auto" w:sz="12" w:space="0"/>
                    <w:right w:val="single" w:color="auto" w:sz="2" w:space="0"/>
                  </w:tcBorders>
                  <w:vAlign w:val="center"/>
                </w:tcPr>
                <w:p w14:paraId="26CBDDB7">
                  <w:pPr>
                    <w:jc w:val="center"/>
                    <w:rPr>
                      <w:b/>
                      <w:bCs/>
                      <w:color w:val="auto"/>
                      <w:szCs w:val="21"/>
                    </w:rPr>
                  </w:pPr>
                  <w:r>
                    <w:rPr>
                      <w:b/>
                      <w:bCs/>
                      <w:color w:val="auto"/>
                      <w:szCs w:val="21"/>
                    </w:rPr>
                    <w:t>昼间</w:t>
                  </w:r>
                </w:p>
              </w:tc>
              <w:tc>
                <w:tcPr>
                  <w:tcW w:w="3292" w:type="dxa"/>
                  <w:tcBorders>
                    <w:top w:val="single" w:color="auto" w:sz="12" w:space="0"/>
                    <w:left w:val="single" w:color="auto" w:sz="2" w:space="0"/>
                    <w:bottom w:val="single" w:color="auto" w:sz="12" w:space="0"/>
                    <w:right w:val="nil"/>
                  </w:tcBorders>
                  <w:vAlign w:val="center"/>
                </w:tcPr>
                <w:p w14:paraId="0D5AD09C">
                  <w:pPr>
                    <w:jc w:val="center"/>
                    <w:rPr>
                      <w:b/>
                      <w:bCs/>
                      <w:color w:val="auto"/>
                      <w:szCs w:val="21"/>
                    </w:rPr>
                  </w:pPr>
                  <w:r>
                    <w:rPr>
                      <w:b/>
                      <w:bCs/>
                      <w:color w:val="auto"/>
                      <w:szCs w:val="21"/>
                    </w:rPr>
                    <w:t>夜间</w:t>
                  </w:r>
                </w:p>
              </w:tc>
            </w:tr>
            <w:tr w14:paraId="4F82924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02" w:hRule="atLeast"/>
                <w:jc w:val="center"/>
              </w:trPr>
              <w:tc>
                <w:tcPr>
                  <w:tcW w:w="3444" w:type="dxa"/>
                  <w:tcBorders>
                    <w:top w:val="single" w:color="auto" w:sz="12" w:space="0"/>
                    <w:left w:val="nil"/>
                    <w:bottom w:val="single" w:color="auto" w:sz="12" w:space="0"/>
                    <w:right w:val="single" w:color="auto" w:sz="2" w:space="0"/>
                  </w:tcBorders>
                  <w:vAlign w:val="center"/>
                </w:tcPr>
                <w:p w14:paraId="14E0DACC">
                  <w:pPr>
                    <w:jc w:val="center"/>
                    <w:rPr>
                      <w:color w:val="auto"/>
                      <w:szCs w:val="21"/>
                    </w:rPr>
                  </w:pPr>
                  <w:r>
                    <w:rPr>
                      <w:color w:val="auto"/>
                      <w:szCs w:val="21"/>
                    </w:rPr>
                    <w:t>GB12348-2008中3类标准</w:t>
                  </w:r>
                </w:p>
              </w:tc>
              <w:tc>
                <w:tcPr>
                  <w:tcW w:w="1601" w:type="dxa"/>
                  <w:tcBorders>
                    <w:top w:val="single" w:color="auto" w:sz="12" w:space="0"/>
                    <w:left w:val="single" w:color="auto" w:sz="2" w:space="0"/>
                    <w:bottom w:val="single" w:color="auto" w:sz="12" w:space="0"/>
                    <w:right w:val="single" w:color="auto" w:sz="2" w:space="0"/>
                  </w:tcBorders>
                  <w:vAlign w:val="center"/>
                </w:tcPr>
                <w:p w14:paraId="0D6B30CA">
                  <w:pPr>
                    <w:jc w:val="center"/>
                    <w:rPr>
                      <w:color w:val="auto"/>
                      <w:szCs w:val="21"/>
                    </w:rPr>
                  </w:pPr>
                  <w:r>
                    <w:rPr>
                      <w:color w:val="auto"/>
                      <w:szCs w:val="21"/>
                    </w:rPr>
                    <w:t>≤65</w:t>
                  </w:r>
                </w:p>
              </w:tc>
              <w:tc>
                <w:tcPr>
                  <w:tcW w:w="3292" w:type="dxa"/>
                  <w:tcBorders>
                    <w:top w:val="single" w:color="auto" w:sz="12" w:space="0"/>
                    <w:left w:val="single" w:color="auto" w:sz="2" w:space="0"/>
                    <w:bottom w:val="single" w:color="auto" w:sz="12" w:space="0"/>
                    <w:right w:val="nil"/>
                  </w:tcBorders>
                  <w:vAlign w:val="center"/>
                </w:tcPr>
                <w:p w14:paraId="50FD976E">
                  <w:pPr>
                    <w:jc w:val="center"/>
                    <w:rPr>
                      <w:color w:val="auto"/>
                      <w:szCs w:val="21"/>
                    </w:rPr>
                  </w:pPr>
                  <w:r>
                    <w:rPr>
                      <w:color w:val="auto"/>
                      <w:szCs w:val="21"/>
                    </w:rPr>
                    <w:t>≤55</w:t>
                  </w:r>
                </w:p>
              </w:tc>
            </w:tr>
          </w:tbl>
          <w:p w14:paraId="4480016A">
            <w:pPr>
              <w:widowControl/>
              <w:adjustRightInd w:val="0"/>
              <w:snapToGrid w:val="0"/>
              <w:spacing w:before="120" w:beforeLines="50" w:line="360" w:lineRule="auto"/>
              <w:ind w:firstLine="482" w:firstLineChars="200"/>
              <w:rPr>
                <w:b/>
                <w:color w:val="auto"/>
                <w:sz w:val="24"/>
                <w:szCs w:val="20"/>
              </w:rPr>
            </w:pPr>
            <w:r>
              <w:rPr>
                <w:b/>
                <w:color w:val="auto"/>
                <w:sz w:val="24"/>
                <w:szCs w:val="20"/>
              </w:rPr>
              <w:t>4.</w:t>
            </w:r>
            <w:r>
              <w:rPr>
                <w:rFonts w:hAnsi="宋体"/>
                <w:b/>
                <w:color w:val="auto"/>
                <w:sz w:val="24"/>
                <w:szCs w:val="20"/>
              </w:rPr>
              <w:t>固废</w:t>
            </w:r>
          </w:p>
          <w:p w14:paraId="64BCB7D1">
            <w:pPr>
              <w:adjustRightInd w:val="0"/>
              <w:spacing w:line="346" w:lineRule="auto"/>
              <w:ind w:firstLine="480" w:firstLineChars="200"/>
              <w:rPr>
                <w:color w:val="auto"/>
                <w:sz w:val="24"/>
              </w:rPr>
            </w:pPr>
            <w:r>
              <w:rPr>
                <w:rFonts w:hint="eastAsia"/>
                <w:color w:val="auto"/>
                <w:sz w:val="24"/>
                <w:lang w:eastAsia="zh-CN"/>
              </w:rPr>
              <w:t>扩建</w:t>
            </w:r>
            <w:r>
              <w:rPr>
                <w:rFonts w:hAnsi="宋体"/>
                <w:color w:val="auto"/>
                <w:sz w:val="24"/>
              </w:rPr>
              <w:t>项目固体废物属性鉴别执行《固体废物鉴别标准通则》（</w:t>
            </w:r>
            <w:r>
              <w:rPr>
                <w:color w:val="auto"/>
                <w:sz w:val="24"/>
              </w:rPr>
              <w:t>GB34330-2017</w:t>
            </w:r>
            <w:r>
              <w:rPr>
                <w:rFonts w:hAnsi="宋体"/>
                <w:color w:val="auto"/>
                <w:sz w:val="24"/>
              </w:rPr>
              <w:t>），危险废物属性鉴别执行《危险废物鉴别标准通则》（</w:t>
            </w:r>
            <w:r>
              <w:rPr>
                <w:color w:val="auto"/>
                <w:sz w:val="24"/>
              </w:rPr>
              <w:t>GB5085.7-2019</w:t>
            </w:r>
            <w:r>
              <w:rPr>
                <w:rFonts w:hAnsi="宋体"/>
                <w:color w:val="auto"/>
                <w:sz w:val="24"/>
              </w:rPr>
              <w:t>）。</w:t>
            </w:r>
          </w:p>
          <w:p w14:paraId="6E83FB24">
            <w:pPr>
              <w:adjustRightInd w:val="0"/>
              <w:spacing w:line="346" w:lineRule="auto"/>
              <w:ind w:firstLine="480" w:firstLineChars="200"/>
              <w:rPr>
                <w:rFonts w:hAnsi="宋体"/>
                <w:color w:val="auto"/>
                <w:sz w:val="24"/>
              </w:rPr>
            </w:pPr>
            <w:r>
              <w:rPr>
                <w:rFonts w:hAnsi="宋体"/>
                <w:color w:val="auto"/>
                <w:sz w:val="24"/>
              </w:rPr>
              <w:t>危险废物贮存执行《危险废物识别标志设置技术规范》（</w:t>
            </w:r>
            <w:r>
              <w:rPr>
                <w:color w:val="auto"/>
                <w:sz w:val="24"/>
              </w:rPr>
              <w:t>HJ1276-2022</w:t>
            </w:r>
            <w:r>
              <w:rPr>
                <w:rFonts w:hAnsi="宋体"/>
                <w:color w:val="auto"/>
                <w:sz w:val="24"/>
              </w:rPr>
              <w:t>）、《危险废物贮存污染控制标准》（</w:t>
            </w:r>
            <w:r>
              <w:rPr>
                <w:color w:val="auto"/>
                <w:sz w:val="24"/>
              </w:rPr>
              <w:t>GB18597-2023</w:t>
            </w:r>
            <w:r>
              <w:rPr>
                <w:rFonts w:hAnsi="宋体"/>
                <w:color w:val="auto"/>
                <w:sz w:val="24"/>
              </w:rPr>
              <w:t>）和《危险废物收集贮存运输技术规范》（</w:t>
            </w:r>
            <w:r>
              <w:rPr>
                <w:color w:val="auto"/>
                <w:sz w:val="24"/>
              </w:rPr>
              <w:t>HJ2025-2012</w:t>
            </w:r>
            <w:r>
              <w:rPr>
                <w:rFonts w:hAnsi="宋体"/>
                <w:color w:val="auto"/>
                <w:sz w:val="24"/>
              </w:rPr>
              <w:t>）中相关规定；固废贮存场所标志执行《危险废物识别标志设置技术规范》（</w:t>
            </w:r>
            <w:r>
              <w:rPr>
                <w:color w:val="auto"/>
                <w:sz w:val="24"/>
              </w:rPr>
              <w:t>HJ1276-2022</w:t>
            </w:r>
            <w:r>
              <w:rPr>
                <w:rFonts w:hAnsi="宋体"/>
                <w:color w:val="auto"/>
                <w:sz w:val="24"/>
              </w:rPr>
              <w:t>）、《环境保护图形标志固体废物贮存（处置）场》（</w:t>
            </w:r>
            <w:r>
              <w:rPr>
                <w:color w:val="auto"/>
                <w:sz w:val="24"/>
              </w:rPr>
              <w:t>GB15562.2-1995</w:t>
            </w:r>
            <w:r>
              <w:rPr>
                <w:rFonts w:hAnsi="宋体"/>
                <w:color w:val="auto"/>
                <w:sz w:val="24"/>
              </w:rPr>
              <w:t>）及修改单、</w:t>
            </w:r>
            <w:r>
              <w:rPr>
                <w:rFonts w:hint="eastAsia" w:ascii="Times New Roman" w:hAnsi="Times New Roman" w:eastAsia="宋体" w:cs="Times New Roman"/>
                <w:color w:val="auto"/>
                <w:kern w:val="0"/>
                <w:sz w:val="24"/>
              </w:rPr>
              <w:t>《江苏省固体废物全过程环境监管工作意见》的通知(苏环办</w:t>
            </w:r>
            <w:r>
              <w:rPr>
                <w:rFonts w:hint="eastAsia" w:cs="Times New Roman"/>
                <w:color w:val="auto"/>
                <w:kern w:val="0"/>
                <w:sz w:val="24"/>
                <w:lang w:eastAsia="zh-CN"/>
              </w:rPr>
              <w:t>〔2024〕16号</w:t>
            </w:r>
            <w:r>
              <w:rPr>
                <w:rFonts w:hint="eastAsia" w:ascii="Times New Roman" w:hAnsi="Times New Roman" w:eastAsia="宋体" w:cs="Times New Roman"/>
                <w:color w:val="auto"/>
                <w:kern w:val="0"/>
                <w:sz w:val="24"/>
              </w:rPr>
              <w:t>)</w:t>
            </w:r>
            <w:r>
              <w:rPr>
                <w:rFonts w:hAnsi="宋体"/>
                <w:color w:val="auto"/>
                <w:sz w:val="24"/>
              </w:rPr>
              <w:t>、《江苏省危险废物集中收集体系建设工作方案（试行）》（苏环办〔</w:t>
            </w:r>
            <w:r>
              <w:rPr>
                <w:color w:val="auto"/>
                <w:sz w:val="24"/>
              </w:rPr>
              <w:t>2021</w:t>
            </w:r>
            <w:r>
              <w:rPr>
                <w:rFonts w:hAnsi="宋体"/>
                <w:color w:val="auto"/>
                <w:sz w:val="24"/>
              </w:rPr>
              <w:t>〕</w:t>
            </w:r>
            <w:r>
              <w:rPr>
                <w:color w:val="auto"/>
                <w:sz w:val="24"/>
              </w:rPr>
              <w:t>290</w:t>
            </w:r>
            <w:r>
              <w:rPr>
                <w:rFonts w:hAnsi="宋体"/>
                <w:color w:val="auto"/>
                <w:sz w:val="24"/>
              </w:rPr>
              <w:t>号）、</w:t>
            </w:r>
            <w:bookmarkStart w:id="32" w:name="_Hlk140322507"/>
            <w:r>
              <w:rPr>
                <w:rFonts w:hAnsi="宋体"/>
                <w:color w:val="auto"/>
                <w:sz w:val="24"/>
              </w:rPr>
              <w:t>《省生态环境厅关于做好</w:t>
            </w:r>
            <w:r>
              <w:rPr>
                <w:color w:val="auto"/>
                <w:sz w:val="24"/>
              </w:rPr>
              <w:t>&lt;</w:t>
            </w:r>
            <w:r>
              <w:rPr>
                <w:rFonts w:hAnsi="宋体"/>
                <w:color w:val="auto"/>
                <w:sz w:val="24"/>
              </w:rPr>
              <w:t>危险废物贮存污染控制标准</w:t>
            </w:r>
            <w:r>
              <w:rPr>
                <w:color w:val="auto"/>
                <w:sz w:val="24"/>
              </w:rPr>
              <w:t>&gt;</w:t>
            </w:r>
            <w:r>
              <w:rPr>
                <w:rFonts w:hAnsi="宋体"/>
                <w:color w:val="auto"/>
                <w:sz w:val="24"/>
              </w:rPr>
              <w:t>标准规范实施后危险废物环境管理衔接工作的通知》（苏环办</w:t>
            </w:r>
            <w:r>
              <w:rPr>
                <w:rFonts w:hint="eastAsia" w:hAnsi="宋体"/>
                <w:color w:val="auto"/>
                <w:sz w:val="24"/>
                <w:lang w:eastAsia="zh-CN"/>
              </w:rPr>
              <w:t>〔2023〕154号</w:t>
            </w:r>
            <w:r>
              <w:rPr>
                <w:rFonts w:hAnsi="宋体"/>
                <w:color w:val="auto"/>
                <w:sz w:val="24"/>
              </w:rPr>
              <w:t>）要求。</w:t>
            </w:r>
            <w:bookmarkEnd w:id="32"/>
          </w:p>
          <w:p w14:paraId="3BC9991C">
            <w:pPr>
              <w:tabs>
                <w:tab w:val="left" w:pos="720"/>
              </w:tabs>
              <w:adjustRightInd w:val="0"/>
              <w:snapToGrid w:val="0"/>
              <w:spacing w:line="360" w:lineRule="auto"/>
              <w:ind w:firstLine="482" w:firstLineChars="200"/>
              <w:rPr>
                <w:b/>
                <w:bCs/>
                <w:color w:val="auto"/>
                <w:sz w:val="24"/>
              </w:rPr>
            </w:pPr>
            <w:r>
              <w:rPr>
                <w:rFonts w:hint="eastAsia"/>
                <w:b/>
                <w:bCs/>
                <w:color w:val="auto"/>
                <w:sz w:val="24"/>
                <w:lang w:val="en-US" w:eastAsia="zh-CN"/>
              </w:rPr>
              <w:t>5</w:t>
            </w:r>
            <w:r>
              <w:rPr>
                <w:b/>
                <w:bCs/>
                <w:color w:val="auto"/>
                <w:sz w:val="24"/>
              </w:rPr>
              <w:t>总量控制指标</w:t>
            </w:r>
          </w:p>
          <w:p w14:paraId="0F8A0736">
            <w:pPr>
              <w:tabs>
                <w:tab w:val="left" w:pos="720"/>
              </w:tabs>
              <w:adjustRightInd w:val="0"/>
              <w:snapToGrid w:val="0"/>
              <w:spacing w:line="360" w:lineRule="auto"/>
              <w:ind w:firstLine="480" w:firstLineChars="200"/>
              <w:rPr>
                <w:bCs/>
                <w:color w:val="auto"/>
                <w:sz w:val="24"/>
              </w:rPr>
            </w:pPr>
            <w:r>
              <w:rPr>
                <w:rFonts w:hint="eastAsia"/>
                <w:color w:val="auto"/>
                <w:sz w:val="24"/>
                <w:lang w:eastAsia="zh-CN"/>
              </w:rPr>
              <w:t>扩建</w:t>
            </w:r>
            <w:r>
              <w:rPr>
                <w:bCs/>
                <w:color w:val="auto"/>
                <w:sz w:val="24"/>
              </w:rPr>
              <w:t>项目污染物产生量、削减量和排放量三本帐见表3-</w:t>
            </w:r>
            <w:r>
              <w:rPr>
                <w:rFonts w:hint="eastAsia"/>
                <w:bCs/>
                <w:color w:val="auto"/>
                <w:sz w:val="24"/>
                <w:lang w:val="en-US" w:eastAsia="zh-CN"/>
              </w:rPr>
              <w:t>9</w:t>
            </w:r>
            <w:r>
              <w:rPr>
                <w:bCs/>
                <w:color w:val="auto"/>
                <w:sz w:val="24"/>
              </w:rPr>
              <w:t>，本项目建成后全厂污染物产生量、削减量和排放量三本帐见表3-</w:t>
            </w:r>
            <w:r>
              <w:rPr>
                <w:rFonts w:hint="eastAsia"/>
                <w:bCs/>
                <w:color w:val="auto"/>
                <w:sz w:val="24"/>
                <w:lang w:val="en-US" w:eastAsia="zh-CN"/>
              </w:rPr>
              <w:t>10</w:t>
            </w:r>
            <w:r>
              <w:rPr>
                <w:bCs/>
                <w:color w:val="auto"/>
                <w:sz w:val="24"/>
              </w:rPr>
              <w:t>。</w:t>
            </w:r>
          </w:p>
          <w:p w14:paraId="29F3889C">
            <w:pPr>
              <w:keepNext/>
              <w:adjustRightInd w:val="0"/>
              <w:snapToGrid w:val="0"/>
              <w:jc w:val="center"/>
              <w:rPr>
                <w:b/>
                <w:color w:val="auto"/>
                <w:szCs w:val="21"/>
              </w:rPr>
            </w:pPr>
            <w:r>
              <w:rPr>
                <w:b/>
                <w:color w:val="auto"/>
                <w:szCs w:val="21"/>
              </w:rPr>
              <w:t>表3</w:t>
            </w:r>
            <w:r>
              <w:rPr>
                <w:rFonts w:hint="eastAsia"/>
                <w:b/>
                <w:color w:val="auto"/>
                <w:szCs w:val="21"/>
                <w:lang w:val="en-US" w:eastAsia="zh-CN"/>
              </w:rPr>
              <w:t>-9</w:t>
            </w:r>
            <w:r>
              <w:rPr>
                <w:b/>
                <w:color w:val="auto"/>
                <w:szCs w:val="21"/>
              </w:rPr>
              <w:t xml:space="preserve"> 本项目污染物排放量汇总表    单位：t/a</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386"/>
              <w:gridCol w:w="1671"/>
              <w:gridCol w:w="1624"/>
              <w:gridCol w:w="1235"/>
              <w:gridCol w:w="1095"/>
              <w:gridCol w:w="1407"/>
            </w:tblGrid>
            <w:tr w14:paraId="274924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823" w:type="pct"/>
                  <w:noWrap w:val="0"/>
                  <w:vAlign w:val="center"/>
                </w:tcPr>
                <w:p w14:paraId="2095FFB9">
                  <w:pPr>
                    <w:adjustRightInd w:val="0"/>
                    <w:snapToGrid w:val="0"/>
                    <w:jc w:val="center"/>
                    <w:rPr>
                      <w:b/>
                      <w:color w:val="auto"/>
                      <w:sz w:val="21"/>
                      <w:szCs w:val="21"/>
                    </w:rPr>
                  </w:pPr>
                  <w:r>
                    <w:rPr>
                      <w:b/>
                      <w:color w:val="auto"/>
                      <w:sz w:val="21"/>
                      <w:szCs w:val="21"/>
                    </w:rPr>
                    <w:t>类别</w:t>
                  </w:r>
                </w:p>
              </w:tc>
              <w:tc>
                <w:tcPr>
                  <w:tcW w:w="992" w:type="pct"/>
                  <w:noWrap w:val="0"/>
                  <w:vAlign w:val="center"/>
                </w:tcPr>
                <w:p w14:paraId="2D129677">
                  <w:pPr>
                    <w:adjustRightInd w:val="0"/>
                    <w:snapToGrid w:val="0"/>
                    <w:jc w:val="center"/>
                    <w:rPr>
                      <w:b/>
                      <w:color w:val="auto"/>
                      <w:sz w:val="21"/>
                      <w:szCs w:val="21"/>
                    </w:rPr>
                  </w:pPr>
                  <w:r>
                    <w:rPr>
                      <w:b/>
                      <w:color w:val="auto"/>
                      <w:sz w:val="21"/>
                      <w:szCs w:val="21"/>
                    </w:rPr>
                    <w:t>污染物</w:t>
                  </w:r>
                </w:p>
              </w:tc>
              <w:tc>
                <w:tcPr>
                  <w:tcW w:w="964" w:type="pct"/>
                  <w:noWrap w:val="0"/>
                  <w:vAlign w:val="center"/>
                </w:tcPr>
                <w:p w14:paraId="4E7D53C7">
                  <w:pPr>
                    <w:pStyle w:val="143"/>
                    <w:widowControl w:val="0"/>
                    <w:pBdr>
                      <w:left w:val="none" w:color="auto" w:sz="0" w:space="0"/>
                    </w:pBdr>
                    <w:adjustRightInd w:val="0"/>
                    <w:snapToGrid w:val="0"/>
                    <w:spacing w:before="0" w:beforeAutospacing="0" w:after="0" w:afterAutospacing="0"/>
                    <w:rPr>
                      <w:rFonts w:hint="default" w:ascii="Times New Roman" w:hAnsi="Times New Roman" w:eastAsia="宋体"/>
                      <w:b/>
                      <w:color w:val="auto"/>
                      <w:sz w:val="21"/>
                      <w:szCs w:val="21"/>
                    </w:rPr>
                  </w:pPr>
                  <w:r>
                    <w:rPr>
                      <w:rFonts w:hint="default" w:ascii="Times New Roman" w:hAnsi="Times New Roman" w:eastAsia="宋体"/>
                      <w:b/>
                      <w:color w:val="auto"/>
                      <w:sz w:val="21"/>
                      <w:szCs w:val="21"/>
                    </w:rPr>
                    <w:t>产生量</w:t>
                  </w:r>
                </w:p>
              </w:tc>
              <w:tc>
                <w:tcPr>
                  <w:tcW w:w="733" w:type="pct"/>
                  <w:noWrap w:val="0"/>
                  <w:vAlign w:val="center"/>
                </w:tcPr>
                <w:p w14:paraId="292E1D3F">
                  <w:pPr>
                    <w:pStyle w:val="143"/>
                    <w:widowControl w:val="0"/>
                    <w:pBdr>
                      <w:left w:val="none" w:color="auto" w:sz="0" w:space="0"/>
                    </w:pBdr>
                    <w:adjustRightInd w:val="0"/>
                    <w:snapToGrid w:val="0"/>
                    <w:spacing w:before="0" w:beforeAutospacing="0" w:after="0" w:afterAutospacing="0"/>
                    <w:rPr>
                      <w:rFonts w:hint="default" w:ascii="Times New Roman" w:hAnsi="Times New Roman" w:eastAsia="宋体"/>
                      <w:b/>
                      <w:color w:val="auto"/>
                      <w:sz w:val="21"/>
                      <w:szCs w:val="21"/>
                    </w:rPr>
                  </w:pPr>
                  <w:r>
                    <w:rPr>
                      <w:rFonts w:hint="default" w:ascii="Times New Roman" w:hAnsi="Times New Roman" w:eastAsia="宋体"/>
                      <w:b/>
                      <w:color w:val="auto"/>
                      <w:sz w:val="21"/>
                      <w:szCs w:val="21"/>
                    </w:rPr>
                    <w:t>削减量</w:t>
                  </w:r>
                </w:p>
              </w:tc>
              <w:tc>
                <w:tcPr>
                  <w:tcW w:w="650" w:type="pct"/>
                  <w:noWrap w:val="0"/>
                  <w:vAlign w:val="center"/>
                </w:tcPr>
                <w:p w14:paraId="67A80C74">
                  <w:pPr>
                    <w:pStyle w:val="143"/>
                    <w:widowControl w:val="0"/>
                    <w:pBdr>
                      <w:left w:val="none" w:color="auto" w:sz="0" w:space="0"/>
                    </w:pBdr>
                    <w:adjustRightInd w:val="0"/>
                    <w:snapToGrid w:val="0"/>
                    <w:spacing w:before="0" w:beforeAutospacing="0" w:after="0" w:afterAutospacing="0"/>
                    <w:rPr>
                      <w:rFonts w:hint="default" w:ascii="Times New Roman" w:hAnsi="Times New Roman" w:eastAsia="宋体"/>
                      <w:b/>
                      <w:color w:val="auto"/>
                      <w:sz w:val="21"/>
                      <w:szCs w:val="21"/>
                    </w:rPr>
                  </w:pPr>
                  <w:r>
                    <w:rPr>
                      <w:rFonts w:hint="default" w:ascii="Times New Roman" w:hAnsi="Times New Roman" w:eastAsia="宋体"/>
                      <w:b/>
                      <w:color w:val="auto"/>
                      <w:sz w:val="21"/>
                      <w:szCs w:val="21"/>
                    </w:rPr>
                    <w:t>接管量</w:t>
                  </w:r>
                </w:p>
              </w:tc>
              <w:tc>
                <w:tcPr>
                  <w:tcW w:w="835" w:type="pct"/>
                  <w:noWrap w:val="0"/>
                  <w:vAlign w:val="center"/>
                </w:tcPr>
                <w:p w14:paraId="4FAC47F7">
                  <w:pPr>
                    <w:pStyle w:val="143"/>
                    <w:widowControl w:val="0"/>
                    <w:pBdr>
                      <w:left w:val="none" w:color="auto" w:sz="0" w:space="0"/>
                    </w:pBdr>
                    <w:adjustRightInd w:val="0"/>
                    <w:snapToGrid w:val="0"/>
                    <w:spacing w:before="0" w:beforeAutospacing="0" w:after="0" w:afterAutospacing="0"/>
                    <w:rPr>
                      <w:rFonts w:hint="default" w:ascii="Times New Roman" w:hAnsi="Times New Roman" w:eastAsia="宋体"/>
                      <w:b/>
                      <w:color w:val="auto"/>
                      <w:sz w:val="21"/>
                      <w:szCs w:val="21"/>
                    </w:rPr>
                  </w:pPr>
                  <w:r>
                    <w:rPr>
                      <w:rFonts w:hint="default" w:ascii="Times New Roman" w:hAnsi="Times New Roman" w:eastAsia="宋体"/>
                      <w:b/>
                      <w:color w:val="auto"/>
                      <w:sz w:val="21"/>
                      <w:szCs w:val="21"/>
                    </w:rPr>
                    <w:t>排放量</w:t>
                  </w:r>
                </w:p>
              </w:tc>
            </w:tr>
            <w:tr w14:paraId="2B1903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823" w:type="pct"/>
                  <w:noWrap w:val="0"/>
                  <w:vAlign w:val="center"/>
                </w:tcPr>
                <w:p w14:paraId="3679A3B5">
                  <w:pPr>
                    <w:adjustRightInd w:val="0"/>
                    <w:snapToGrid w:val="0"/>
                    <w:jc w:val="center"/>
                    <w:rPr>
                      <w:color w:val="auto"/>
                      <w:sz w:val="21"/>
                      <w:szCs w:val="21"/>
                    </w:rPr>
                  </w:pPr>
                  <w:r>
                    <w:rPr>
                      <w:color w:val="auto"/>
                      <w:sz w:val="21"/>
                      <w:szCs w:val="21"/>
                    </w:rPr>
                    <w:t>废气</w:t>
                  </w:r>
                </w:p>
                <w:p w14:paraId="7EB752A5">
                  <w:pPr>
                    <w:adjustRightInd w:val="0"/>
                    <w:snapToGrid w:val="0"/>
                    <w:jc w:val="center"/>
                    <w:rPr>
                      <w:color w:val="auto"/>
                      <w:sz w:val="21"/>
                      <w:szCs w:val="21"/>
                    </w:rPr>
                  </w:pPr>
                  <w:r>
                    <w:rPr>
                      <w:color w:val="auto"/>
                      <w:sz w:val="21"/>
                      <w:szCs w:val="21"/>
                    </w:rPr>
                    <w:t>（无组织）</w:t>
                  </w:r>
                </w:p>
              </w:tc>
              <w:tc>
                <w:tcPr>
                  <w:tcW w:w="992" w:type="pct"/>
                  <w:noWrap w:val="0"/>
                  <w:vAlign w:val="center"/>
                </w:tcPr>
                <w:p w14:paraId="35145971">
                  <w:pPr>
                    <w:adjustRightInd w:val="0"/>
                    <w:snapToGrid w:val="0"/>
                    <w:jc w:val="center"/>
                    <w:rPr>
                      <w:rFonts w:hint="eastAsia" w:eastAsia="宋体"/>
                      <w:color w:val="auto"/>
                      <w:sz w:val="21"/>
                      <w:szCs w:val="21"/>
                      <w:lang w:eastAsia="zh-CN"/>
                    </w:rPr>
                  </w:pPr>
                  <w:r>
                    <w:rPr>
                      <w:rFonts w:hint="eastAsia"/>
                      <w:color w:val="auto"/>
                      <w:sz w:val="21"/>
                      <w:szCs w:val="21"/>
                      <w:lang w:eastAsia="zh-CN"/>
                    </w:rPr>
                    <w:t>非甲烷总烃</w:t>
                  </w:r>
                </w:p>
              </w:tc>
              <w:tc>
                <w:tcPr>
                  <w:tcW w:w="964" w:type="pct"/>
                  <w:noWrap w:val="0"/>
                  <w:vAlign w:val="center"/>
                </w:tcPr>
                <w:p w14:paraId="335D9E05">
                  <w:pPr>
                    <w:jc w:val="center"/>
                    <w:rPr>
                      <w:rFonts w:hint="default" w:eastAsia="宋体"/>
                      <w:color w:val="auto"/>
                      <w:sz w:val="21"/>
                      <w:szCs w:val="21"/>
                      <w:lang w:val="en-US" w:eastAsia="zh-CN"/>
                    </w:rPr>
                  </w:pPr>
                  <w:r>
                    <w:rPr>
                      <w:rFonts w:hint="eastAsia"/>
                      <w:color w:val="auto"/>
                      <w:sz w:val="21"/>
                      <w:szCs w:val="21"/>
                      <w:lang w:val="en-US" w:eastAsia="zh-CN"/>
                    </w:rPr>
                    <w:t>1.2</w:t>
                  </w:r>
                </w:p>
              </w:tc>
              <w:tc>
                <w:tcPr>
                  <w:tcW w:w="733" w:type="pct"/>
                  <w:noWrap w:val="0"/>
                  <w:vAlign w:val="center"/>
                </w:tcPr>
                <w:p w14:paraId="2B30B4EA">
                  <w:pPr>
                    <w:jc w:val="center"/>
                    <w:rPr>
                      <w:color w:val="auto"/>
                      <w:sz w:val="21"/>
                      <w:szCs w:val="21"/>
                    </w:rPr>
                  </w:pPr>
                  <w:r>
                    <w:rPr>
                      <w:color w:val="auto"/>
                      <w:sz w:val="21"/>
                      <w:szCs w:val="21"/>
                    </w:rPr>
                    <w:t>0</w:t>
                  </w:r>
                </w:p>
              </w:tc>
              <w:tc>
                <w:tcPr>
                  <w:tcW w:w="650" w:type="pct"/>
                  <w:noWrap w:val="0"/>
                  <w:vAlign w:val="center"/>
                </w:tcPr>
                <w:p w14:paraId="03CD3879">
                  <w:pPr>
                    <w:jc w:val="center"/>
                    <w:rPr>
                      <w:color w:val="auto"/>
                      <w:sz w:val="21"/>
                      <w:szCs w:val="21"/>
                    </w:rPr>
                  </w:pPr>
                  <w:r>
                    <w:rPr>
                      <w:color w:val="auto"/>
                      <w:sz w:val="21"/>
                      <w:szCs w:val="21"/>
                    </w:rPr>
                    <w:t>/</w:t>
                  </w:r>
                </w:p>
              </w:tc>
              <w:tc>
                <w:tcPr>
                  <w:tcW w:w="835" w:type="pct"/>
                  <w:noWrap w:val="0"/>
                  <w:vAlign w:val="center"/>
                </w:tcPr>
                <w:p w14:paraId="469B8616">
                  <w:pPr>
                    <w:jc w:val="center"/>
                    <w:rPr>
                      <w:color w:val="auto"/>
                      <w:sz w:val="21"/>
                      <w:szCs w:val="21"/>
                    </w:rPr>
                  </w:pPr>
                  <w:r>
                    <w:rPr>
                      <w:rFonts w:hint="eastAsia"/>
                      <w:color w:val="auto"/>
                      <w:sz w:val="21"/>
                      <w:szCs w:val="21"/>
                      <w:lang w:val="en-US" w:eastAsia="zh-CN"/>
                    </w:rPr>
                    <w:t>1.2</w:t>
                  </w:r>
                </w:p>
              </w:tc>
            </w:tr>
            <w:tr w14:paraId="12DA5D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823" w:type="pct"/>
                  <w:vMerge w:val="restart"/>
                  <w:noWrap w:val="0"/>
                  <w:vAlign w:val="center"/>
                </w:tcPr>
                <w:p w14:paraId="6401C9A5">
                  <w:pPr>
                    <w:jc w:val="center"/>
                    <w:rPr>
                      <w:color w:val="auto"/>
                      <w:sz w:val="21"/>
                      <w:szCs w:val="21"/>
                    </w:rPr>
                  </w:pPr>
                  <w:r>
                    <w:rPr>
                      <w:rFonts w:hint="eastAsia"/>
                      <w:color w:val="auto"/>
                      <w:sz w:val="21"/>
                      <w:szCs w:val="21"/>
                      <w:lang w:eastAsia="zh-CN"/>
                    </w:rPr>
                    <w:t>综合</w:t>
                  </w:r>
                  <w:r>
                    <w:rPr>
                      <w:color w:val="auto"/>
                      <w:sz w:val="21"/>
                      <w:szCs w:val="21"/>
                    </w:rPr>
                    <w:t>废水</w:t>
                  </w:r>
                </w:p>
              </w:tc>
              <w:tc>
                <w:tcPr>
                  <w:tcW w:w="992" w:type="pct"/>
                  <w:noWrap w:val="0"/>
                  <w:vAlign w:val="center"/>
                </w:tcPr>
                <w:p w14:paraId="1B619BC3">
                  <w:pPr>
                    <w:adjustRightInd w:val="0"/>
                    <w:snapToGrid w:val="0"/>
                    <w:jc w:val="center"/>
                    <w:rPr>
                      <w:color w:val="auto"/>
                      <w:sz w:val="21"/>
                      <w:szCs w:val="21"/>
                    </w:rPr>
                  </w:pPr>
                  <w:r>
                    <w:rPr>
                      <w:color w:val="auto"/>
                      <w:sz w:val="21"/>
                      <w:szCs w:val="21"/>
                    </w:rPr>
                    <w:t>废水量</w:t>
                  </w:r>
                </w:p>
              </w:tc>
              <w:tc>
                <w:tcPr>
                  <w:tcW w:w="1624" w:type="dxa"/>
                  <w:noWrap w:val="0"/>
                  <w:vAlign w:val="center"/>
                </w:tcPr>
                <w:p w14:paraId="3BDC546B">
                  <w:pPr>
                    <w:jc w:val="center"/>
                    <w:rPr>
                      <w:rFonts w:hint="default" w:eastAsia="宋体"/>
                      <w:color w:val="auto"/>
                      <w:sz w:val="21"/>
                      <w:szCs w:val="21"/>
                      <w:lang w:val="en-US" w:eastAsia="zh-CN"/>
                    </w:rPr>
                  </w:pPr>
                  <w:r>
                    <w:rPr>
                      <w:rFonts w:hint="eastAsia" w:cs="Times New Roman"/>
                      <w:bCs/>
                      <w:color w:val="auto"/>
                      <w:sz w:val="21"/>
                      <w:szCs w:val="21"/>
                      <w:lang w:val="en-US" w:eastAsia="zh-CN"/>
                    </w:rPr>
                    <w:t>148530</w:t>
                  </w:r>
                </w:p>
              </w:tc>
              <w:tc>
                <w:tcPr>
                  <w:tcW w:w="1235" w:type="dxa"/>
                  <w:noWrap w:val="0"/>
                  <w:vAlign w:val="center"/>
                </w:tcPr>
                <w:p w14:paraId="6259EF12">
                  <w:pPr>
                    <w:jc w:val="center"/>
                    <w:rPr>
                      <w:color w:val="auto"/>
                      <w:sz w:val="21"/>
                      <w:szCs w:val="21"/>
                    </w:rPr>
                  </w:pPr>
                  <w:r>
                    <w:rPr>
                      <w:color w:val="auto"/>
                      <w:sz w:val="21"/>
                      <w:szCs w:val="21"/>
                    </w:rPr>
                    <w:t>/</w:t>
                  </w:r>
                </w:p>
              </w:tc>
              <w:tc>
                <w:tcPr>
                  <w:tcW w:w="650" w:type="pct"/>
                  <w:noWrap w:val="0"/>
                  <w:vAlign w:val="center"/>
                </w:tcPr>
                <w:p w14:paraId="5E61A832">
                  <w:pPr>
                    <w:jc w:val="center"/>
                    <w:rPr>
                      <w:color w:val="auto"/>
                      <w:sz w:val="21"/>
                      <w:szCs w:val="21"/>
                    </w:rPr>
                  </w:pPr>
                  <w:r>
                    <w:rPr>
                      <w:rFonts w:hint="eastAsia" w:cs="Times New Roman"/>
                      <w:bCs/>
                      <w:color w:val="auto"/>
                      <w:sz w:val="21"/>
                      <w:szCs w:val="21"/>
                      <w:lang w:val="en-US" w:eastAsia="zh-CN"/>
                    </w:rPr>
                    <w:t>148530</w:t>
                  </w:r>
                </w:p>
              </w:tc>
              <w:tc>
                <w:tcPr>
                  <w:tcW w:w="835" w:type="pct"/>
                  <w:noWrap w:val="0"/>
                  <w:vAlign w:val="center"/>
                </w:tcPr>
                <w:p w14:paraId="11D9FBA8">
                  <w:pPr>
                    <w:jc w:val="center"/>
                    <w:rPr>
                      <w:color w:val="auto"/>
                      <w:sz w:val="21"/>
                      <w:szCs w:val="21"/>
                    </w:rPr>
                  </w:pPr>
                  <w:r>
                    <w:rPr>
                      <w:rFonts w:hint="eastAsia" w:cs="Times New Roman"/>
                      <w:bCs/>
                      <w:color w:val="auto"/>
                      <w:sz w:val="21"/>
                      <w:szCs w:val="21"/>
                      <w:lang w:val="en-US" w:eastAsia="zh-CN"/>
                    </w:rPr>
                    <w:t>148530</w:t>
                  </w:r>
                </w:p>
              </w:tc>
            </w:tr>
            <w:tr w14:paraId="0218FB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823" w:type="pct"/>
                  <w:vMerge w:val="continue"/>
                  <w:noWrap w:val="0"/>
                  <w:vAlign w:val="center"/>
                </w:tcPr>
                <w:p w14:paraId="00EB2CEF">
                  <w:pPr>
                    <w:jc w:val="center"/>
                    <w:rPr>
                      <w:color w:val="auto"/>
                      <w:sz w:val="21"/>
                      <w:szCs w:val="21"/>
                    </w:rPr>
                  </w:pPr>
                </w:p>
              </w:tc>
              <w:tc>
                <w:tcPr>
                  <w:tcW w:w="992" w:type="pct"/>
                  <w:noWrap w:val="0"/>
                  <w:vAlign w:val="center"/>
                </w:tcPr>
                <w:p w14:paraId="7CB57FC3">
                  <w:pPr>
                    <w:adjustRightInd w:val="0"/>
                    <w:snapToGrid w:val="0"/>
                    <w:jc w:val="center"/>
                    <w:rPr>
                      <w:color w:val="auto"/>
                      <w:sz w:val="21"/>
                      <w:szCs w:val="21"/>
                    </w:rPr>
                  </w:pPr>
                  <w:r>
                    <w:rPr>
                      <w:color w:val="auto"/>
                      <w:sz w:val="21"/>
                      <w:szCs w:val="21"/>
                    </w:rPr>
                    <w:t>COD</w:t>
                  </w:r>
                </w:p>
              </w:tc>
              <w:tc>
                <w:tcPr>
                  <w:tcW w:w="1624" w:type="dxa"/>
                  <w:shd w:val="clear" w:color="auto" w:fill="auto"/>
                  <w:noWrap w:val="0"/>
                  <w:vAlign w:val="center"/>
                </w:tcPr>
                <w:p w14:paraId="246CBD8A">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125.022</w:t>
                  </w:r>
                </w:p>
              </w:tc>
              <w:tc>
                <w:tcPr>
                  <w:tcW w:w="1235" w:type="dxa"/>
                  <w:noWrap w:val="0"/>
                  <w:vAlign w:val="center"/>
                </w:tcPr>
                <w:p w14:paraId="23CA157E">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116.282</w:t>
                  </w:r>
                </w:p>
              </w:tc>
              <w:tc>
                <w:tcPr>
                  <w:tcW w:w="1095" w:type="dxa"/>
                  <w:shd w:val="clear" w:color="auto" w:fill="auto"/>
                  <w:noWrap w:val="0"/>
                  <w:vAlign w:val="center"/>
                </w:tcPr>
                <w:p w14:paraId="47C18AA0">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8.74</w:t>
                  </w:r>
                </w:p>
              </w:tc>
              <w:tc>
                <w:tcPr>
                  <w:tcW w:w="1407" w:type="dxa"/>
                  <w:shd w:val="clear" w:color="auto" w:fill="auto"/>
                  <w:noWrap w:val="0"/>
                  <w:vAlign w:val="center"/>
                </w:tcPr>
                <w:p w14:paraId="0C99E0E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7.43</w:t>
                  </w:r>
                </w:p>
              </w:tc>
            </w:tr>
            <w:tr w14:paraId="012379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823" w:type="pct"/>
                  <w:vMerge w:val="continue"/>
                  <w:noWrap w:val="0"/>
                  <w:vAlign w:val="center"/>
                </w:tcPr>
                <w:p w14:paraId="6D80D644">
                  <w:pPr>
                    <w:jc w:val="center"/>
                    <w:rPr>
                      <w:color w:val="auto"/>
                      <w:sz w:val="21"/>
                      <w:szCs w:val="21"/>
                    </w:rPr>
                  </w:pPr>
                </w:p>
              </w:tc>
              <w:tc>
                <w:tcPr>
                  <w:tcW w:w="992" w:type="pct"/>
                  <w:noWrap w:val="0"/>
                  <w:vAlign w:val="center"/>
                </w:tcPr>
                <w:p w14:paraId="575C7875">
                  <w:pPr>
                    <w:adjustRightInd w:val="0"/>
                    <w:snapToGrid w:val="0"/>
                    <w:jc w:val="center"/>
                    <w:rPr>
                      <w:color w:val="auto"/>
                      <w:sz w:val="21"/>
                      <w:szCs w:val="21"/>
                    </w:rPr>
                  </w:pPr>
                  <w:r>
                    <w:rPr>
                      <w:rFonts w:hint="eastAsia"/>
                      <w:color w:val="auto"/>
                      <w:sz w:val="21"/>
                      <w:szCs w:val="21"/>
                    </w:rPr>
                    <w:t>B</w:t>
                  </w:r>
                  <w:r>
                    <w:rPr>
                      <w:color w:val="auto"/>
                      <w:sz w:val="21"/>
                      <w:szCs w:val="21"/>
                    </w:rPr>
                    <w:t>OD</w:t>
                  </w:r>
                  <w:r>
                    <w:rPr>
                      <w:color w:val="auto"/>
                      <w:sz w:val="21"/>
                      <w:szCs w:val="21"/>
                      <w:vertAlign w:val="subscript"/>
                    </w:rPr>
                    <w:t>5</w:t>
                  </w:r>
                </w:p>
              </w:tc>
              <w:tc>
                <w:tcPr>
                  <w:tcW w:w="1624" w:type="dxa"/>
                  <w:shd w:val="clear" w:color="auto" w:fill="auto"/>
                  <w:noWrap w:val="0"/>
                  <w:vAlign w:val="center"/>
                </w:tcPr>
                <w:p w14:paraId="18C5C1F3">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default" w:cs="Times New Roman"/>
                      <w:i w:val="0"/>
                      <w:iCs w:val="0"/>
                      <w:color w:val="auto"/>
                      <w:kern w:val="0"/>
                      <w:sz w:val="21"/>
                      <w:szCs w:val="21"/>
                      <w:u w:val="none"/>
                      <w:lang w:val="en-US" w:eastAsia="zh-CN" w:bidi="ar"/>
                    </w:rPr>
                    <w:t>57.</w:t>
                  </w:r>
                  <w:r>
                    <w:rPr>
                      <w:rFonts w:hint="eastAsia" w:cs="Times New Roman"/>
                      <w:i w:val="0"/>
                      <w:iCs w:val="0"/>
                      <w:color w:val="auto"/>
                      <w:kern w:val="0"/>
                      <w:sz w:val="21"/>
                      <w:szCs w:val="21"/>
                      <w:u w:val="none"/>
                      <w:lang w:val="en-US" w:eastAsia="zh-CN" w:bidi="ar"/>
                    </w:rPr>
                    <w:t>119</w:t>
                  </w:r>
                </w:p>
              </w:tc>
              <w:tc>
                <w:tcPr>
                  <w:tcW w:w="1235" w:type="dxa"/>
                  <w:noWrap w:val="0"/>
                  <w:vAlign w:val="center"/>
                </w:tcPr>
                <w:p w14:paraId="2C2331FE">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default" w:cs="Times New Roman"/>
                      <w:i w:val="0"/>
                      <w:iCs w:val="0"/>
                      <w:color w:val="auto"/>
                      <w:kern w:val="0"/>
                      <w:sz w:val="21"/>
                      <w:szCs w:val="21"/>
                      <w:u w:val="none"/>
                      <w:lang w:val="en-US" w:eastAsia="zh-CN" w:bidi="ar"/>
                    </w:rPr>
                    <w:t>44.059</w:t>
                  </w:r>
                </w:p>
              </w:tc>
              <w:tc>
                <w:tcPr>
                  <w:tcW w:w="1095" w:type="dxa"/>
                  <w:shd w:val="clear" w:color="auto" w:fill="auto"/>
                  <w:noWrap w:val="0"/>
                  <w:vAlign w:val="center"/>
                </w:tcPr>
                <w:p w14:paraId="2F09EA1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i w:val="0"/>
                      <w:iCs w:val="0"/>
                      <w:color w:val="auto"/>
                      <w:kern w:val="0"/>
                      <w:sz w:val="21"/>
                      <w:szCs w:val="21"/>
                      <w:u w:val="none"/>
                      <w:lang w:val="en-US" w:eastAsia="zh-CN" w:bidi="ar"/>
                    </w:rPr>
                    <w:t>13.06</w:t>
                  </w:r>
                </w:p>
              </w:tc>
              <w:tc>
                <w:tcPr>
                  <w:tcW w:w="1407" w:type="dxa"/>
                  <w:shd w:val="clear" w:color="auto" w:fill="auto"/>
                  <w:noWrap w:val="0"/>
                  <w:vAlign w:val="center"/>
                </w:tcPr>
                <w:p w14:paraId="7063D9B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1.49</w:t>
                  </w:r>
                </w:p>
              </w:tc>
            </w:tr>
            <w:tr w14:paraId="629970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823" w:type="pct"/>
                  <w:vMerge w:val="continue"/>
                  <w:noWrap w:val="0"/>
                  <w:vAlign w:val="center"/>
                </w:tcPr>
                <w:p w14:paraId="7A3495F5">
                  <w:pPr>
                    <w:jc w:val="center"/>
                    <w:rPr>
                      <w:color w:val="auto"/>
                      <w:sz w:val="21"/>
                      <w:szCs w:val="21"/>
                    </w:rPr>
                  </w:pPr>
                </w:p>
              </w:tc>
              <w:tc>
                <w:tcPr>
                  <w:tcW w:w="992" w:type="pct"/>
                  <w:noWrap w:val="0"/>
                  <w:vAlign w:val="center"/>
                </w:tcPr>
                <w:p w14:paraId="2984F3E5">
                  <w:pPr>
                    <w:adjustRightInd w:val="0"/>
                    <w:snapToGrid w:val="0"/>
                    <w:jc w:val="center"/>
                    <w:rPr>
                      <w:rFonts w:hint="eastAsia" w:eastAsia="宋体"/>
                      <w:color w:val="auto"/>
                      <w:sz w:val="21"/>
                      <w:szCs w:val="21"/>
                      <w:lang w:eastAsia="zh-CN"/>
                    </w:rPr>
                  </w:pPr>
                  <w:r>
                    <w:rPr>
                      <w:color w:val="auto"/>
                      <w:sz w:val="21"/>
                      <w:szCs w:val="21"/>
                    </w:rPr>
                    <w:t>SS</w:t>
                  </w:r>
                </w:p>
              </w:tc>
              <w:tc>
                <w:tcPr>
                  <w:tcW w:w="1624" w:type="dxa"/>
                  <w:shd w:val="clear" w:color="auto" w:fill="auto"/>
                  <w:noWrap w:val="0"/>
                  <w:vAlign w:val="center"/>
                </w:tcPr>
                <w:p w14:paraId="374792D5">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27.22</w:t>
                  </w:r>
                </w:p>
              </w:tc>
              <w:tc>
                <w:tcPr>
                  <w:tcW w:w="1235" w:type="dxa"/>
                  <w:noWrap w:val="0"/>
                  <w:vAlign w:val="center"/>
                </w:tcPr>
                <w:p w14:paraId="27C34FA1">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default" w:cs="Times New Roman"/>
                      <w:i w:val="0"/>
                      <w:iCs w:val="0"/>
                      <w:color w:val="auto"/>
                      <w:kern w:val="0"/>
                      <w:sz w:val="21"/>
                      <w:szCs w:val="21"/>
                      <w:u w:val="none"/>
                      <w:lang w:val="en-US" w:eastAsia="zh-CN" w:bidi="ar"/>
                    </w:rPr>
                    <w:t>21.16</w:t>
                  </w:r>
                </w:p>
              </w:tc>
              <w:tc>
                <w:tcPr>
                  <w:tcW w:w="1095" w:type="dxa"/>
                  <w:shd w:val="clear" w:color="auto" w:fill="auto"/>
                  <w:noWrap w:val="0"/>
                  <w:vAlign w:val="center"/>
                </w:tcPr>
                <w:p w14:paraId="0E037E3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i w:val="0"/>
                      <w:iCs w:val="0"/>
                      <w:color w:val="auto"/>
                      <w:kern w:val="0"/>
                      <w:sz w:val="21"/>
                      <w:szCs w:val="21"/>
                      <w:u w:val="none"/>
                      <w:lang w:val="en-US" w:eastAsia="zh-CN" w:bidi="ar"/>
                    </w:rPr>
                    <w:t>6.06</w:t>
                  </w:r>
                </w:p>
              </w:tc>
              <w:tc>
                <w:tcPr>
                  <w:tcW w:w="1407" w:type="dxa"/>
                  <w:shd w:val="clear" w:color="auto" w:fill="auto"/>
                  <w:noWrap w:val="0"/>
                  <w:vAlign w:val="center"/>
                </w:tcPr>
                <w:p w14:paraId="3C2CE258">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1.49</w:t>
                  </w:r>
                </w:p>
              </w:tc>
            </w:tr>
            <w:tr w14:paraId="0D0920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823" w:type="pct"/>
                  <w:vMerge w:val="continue"/>
                  <w:noWrap w:val="0"/>
                  <w:vAlign w:val="center"/>
                </w:tcPr>
                <w:p w14:paraId="39CEB447">
                  <w:pPr>
                    <w:jc w:val="center"/>
                    <w:rPr>
                      <w:color w:val="auto"/>
                      <w:sz w:val="21"/>
                      <w:szCs w:val="21"/>
                    </w:rPr>
                  </w:pPr>
                </w:p>
              </w:tc>
              <w:tc>
                <w:tcPr>
                  <w:tcW w:w="992" w:type="pct"/>
                  <w:noWrap w:val="0"/>
                  <w:vAlign w:val="center"/>
                </w:tcPr>
                <w:p w14:paraId="5018DA8F">
                  <w:pPr>
                    <w:adjustRightInd w:val="0"/>
                    <w:snapToGrid w:val="0"/>
                    <w:jc w:val="center"/>
                    <w:rPr>
                      <w:rFonts w:hint="eastAsia"/>
                      <w:color w:val="auto"/>
                      <w:sz w:val="21"/>
                      <w:szCs w:val="21"/>
                      <w:lang w:eastAsia="zh-CN"/>
                    </w:rPr>
                  </w:pPr>
                  <w:r>
                    <w:rPr>
                      <w:color w:val="auto"/>
                      <w:sz w:val="21"/>
                      <w:szCs w:val="21"/>
                    </w:rPr>
                    <w:t>氨氮</w:t>
                  </w:r>
                </w:p>
              </w:tc>
              <w:tc>
                <w:tcPr>
                  <w:tcW w:w="1624" w:type="dxa"/>
                  <w:shd w:val="clear" w:color="auto" w:fill="auto"/>
                  <w:noWrap w:val="0"/>
                  <w:vAlign w:val="center"/>
                </w:tcPr>
                <w:p w14:paraId="5A912E1C">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7.98</w:t>
                  </w:r>
                </w:p>
              </w:tc>
              <w:tc>
                <w:tcPr>
                  <w:tcW w:w="1235" w:type="dxa"/>
                  <w:noWrap w:val="0"/>
                  <w:vAlign w:val="center"/>
                </w:tcPr>
                <w:p w14:paraId="446A8717">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default" w:cs="Times New Roman"/>
                      <w:i w:val="0"/>
                      <w:iCs w:val="0"/>
                      <w:color w:val="auto"/>
                      <w:kern w:val="0"/>
                      <w:sz w:val="21"/>
                      <w:szCs w:val="21"/>
                      <w:u w:val="none"/>
                      <w:lang w:val="en-US" w:eastAsia="zh-CN" w:bidi="ar"/>
                    </w:rPr>
                    <w:t>7.56</w:t>
                  </w:r>
                </w:p>
              </w:tc>
              <w:tc>
                <w:tcPr>
                  <w:tcW w:w="1095" w:type="dxa"/>
                  <w:shd w:val="clear" w:color="auto" w:fill="auto"/>
                  <w:noWrap w:val="0"/>
                  <w:vAlign w:val="center"/>
                </w:tcPr>
                <w:p w14:paraId="6027A60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i w:val="0"/>
                      <w:iCs w:val="0"/>
                      <w:color w:val="auto"/>
                      <w:kern w:val="0"/>
                      <w:sz w:val="21"/>
                      <w:szCs w:val="21"/>
                      <w:u w:val="none"/>
                      <w:lang w:val="en-US" w:eastAsia="zh-CN" w:bidi="ar"/>
                    </w:rPr>
                    <w:t>0.42</w:t>
                  </w:r>
                </w:p>
              </w:tc>
              <w:tc>
                <w:tcPr>
                  <w:tcW w:w="1407" w:type="dxa"/>
                  <w:shd w:val="clear" w:color="auto" w:fill="auto"/>
                  <w:noWrap w:val="0"/>
                  <w:vAlign w:val="center"/>
                </w:tcPr>
                <w:p w14:paraId="554FF66C">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s="Times New Roman"/>
                      <w:i w:val="0"/>
                      <w:iCs w:val="0"/>
                      <w:color w:val="auto"/>
                      <w:kern w:val="0"/>
                      <w:sz w:val="21"/>
                      <w:szCs w:val="21"/>
                      <w:u w:val="none"/>
                      <w:lang w:val="en-US" w:eastAsia="zh-CN" w:bidi="ar"/>
                    </w:rPr>
                    <w:t>0.29</w:t>
                  </w:r>
                </w:p>
              </w:tc>
            </w:tr>
            <w:tr w14:paraId="56F5E2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823" w:type="pct"/>
                  <w:vMerge w:val="continue"/>
                  <w:noWrap w:val="0"/>
                  <w:vAlign w:val="center"/>
                </w:tcPr>
                <w:p w14:paraId="2EC9D5B6">
                  <w:pPr>
                    <w:jc w:val="center"/>
                    <w:rPr>
                      <w:color w:val="auto"/>
                      <w:sz w:val="21"/>
                      <w:szCs w:val="21"/>
                    </w:rPr>
                  </w:pPr>
                </w:p>
              </w:tc>
              <w:tc>
                <w:tcPr>
                  <w:tcW w:w="992" w:type="pct"/>
                  <w:noWrap w:val="0"/>
                  <w:vAlign w:val="center"/>
                </w:tcPr>
                <w:p w14:paraId="0214DCCF">
                  <w:pPr>
                    <w:adjustRightInd w:val="0"/>
                    <w:snapToGrid w:val="0"/>
                    <w:jc w:val="center"/>
                    <w:rPr>
                      <w:rFonts w:hint="eastAsia"/>
                      <w:color w:val="auto"/>
                      <w:sz w:val="21"/>
                      <w:szCs w:val="21"/>
                      <w:lang w:eastAsia="zh-CN"/>
                    </w:rPr>
                  </w:pPr>
                  <w:r>
                    <w:rPr>
                      <w:color w:val="auto"/>
                      <w:sz w:val="21"/>
                      <w:szCs w:val="21"/>
                    </w:rPr>
                    <w:t>总氮</w:t>
                  </w:r>
                </w:p>
              </w:tc>
              <w:tc>
                <w:tcPr>
                  <w:tcW w:w="1624" w:type="dxa"/>
                  <w:shd w:val="clear" w:color="auto" w:fill="auto"/>
                  <w:noWrap w:val="0"/>
                  <w:vAlign w:val="center"/>
                </w:tcPr>
                <w:p w14:paraId="3A1EF8AF">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15.36</w:t>
                  </w:r>
                </w:p>
              </w:tc>
              <w:tc>
                <w:tcPr>
                  <w:tcW w:w="1235" w:type="dxa"/>
                  <w:noWrap w:val="0"/>
                  <w:vAlign w:val="center"/>
                </w:tcPr>
                <w:p w14:paraId="1510E283">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default" w:cs="Times New Roman"/>
                      <w:i w:val="0"/>
                      <w:iCs w:val="0"/>
                      <w:color w:val="auto"/>
                      <w:kern w:val="0"/>
                      <w:sz w:val="21"/>
                      <w:szCs w:val="21"/>
                      <w:u w:val="none"/>
                      <w:lang w:val="en-US" w:eastAsia="zh-CN" w:bidi="ar"/>
                    </w:rPr>
                    <w:t>14.55</w:t>
                  </w:r>
                </w:p>
              </w:tc>
              <w:tc>
                <w:tcPr>
                  <w:tcW w:w="1095" w:type="dxa"/>
                  <w:shd w:val="clear" w:color="auto" w:fill="auto"/>
                  <w:noWrap w:val="0"/>
                  <w:vAlign w:val="center"/>
                </w:tcPr>
                <w:p w14:paraId="40F82BA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i w:val="0"/>
                      <w:iCs w:val="0"/>
                      <w:color w:val="auto"/>
                      <w:kern w:val="0"/>
                      <w:sz w:val="21"/>
                      <w:szCs w:val="21"/>
                      <w:u w:val="none"/>
                      <w:lang w:val="en-US" w:eastAsia="zh-CN" w:bidi="ar"/>
                    </w:rPr>
                    <w:t>0.81</w:t>
                  </w:r>
                </w:p>
              </w:tc>
              <w:tc>
                <w:tcPr>
                  <w:tcW w:w="1407" w:type="dxa"/>
                  <w:shd w:val="clear" w:color="auto" w:fill="auto"/>
                  <w:noWrap w:val="0"/>
                  <w:vAlign w:val="center"/>
                </w:tcPr>
                <w:p w14:paraId="4E9379BC">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s="Times New Roman"/>
                      <w:i w:val="0"/>
                      <w:iCs w:val="0"/>
                      <w:color w:val="auto"/>
                      <w:kern w:val="0"/>
                      <w:sz w:val="21"/>
                      <w:szCs w:val="21"/>
                      <w:u w:val="none"/>
                      <w:lang w:val="en-US" w:eastAsia="zh-CN" w:bidi="ar"/>
                    </w:rPr>
                    <w:t>0.45</w:t>
                  </w:r>
                </w:p>
              </w:tc>
            </w:tr>
            <w:tr w14:paraId="7DEE32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823" w:type="pct"/>
                  <w:vMerge w:val="continue"/>
                  <w:noWrap w:val="0"/>
                  <w:vAlign w:val="center"/>
                </w:tcPr>
                <w:p w14:paraId="3931A3AC">
                  <w:pPr>
                    <w:jc w:val="center"/>
                    <w:rPr>
                      <w:color w:val="auto"/>
                      <w:sz w:val="21"/>
                      <w:szCs w:val="21"/>
                    </w:rPr>
                  </w:pPr>
                </w:p>
              </w:tc>
              <w:tc>
                <w:tcPr>
                  <w:tcW w:w="992" w:type="pct"/>
                  <w:noWrap w:val="0"/>
                  <w:vAlign w:val="center"/>
                </w:tcPr>
                <w:p w14:paraId="7573A9E7">
                  <w:pPr>
                    <w:adjustRightInd w:val="0"/>
                    <w:snapToGrid w:val="0"/>
                    <w:jc w:val="center"/>
                    <w:rPr>
                      <w:rFonts w:hint="eastAsia"/>
                      <w:color w:val="auto"/>
                      <w:sz w:val="21"/>
                      <w:szCs w:val="21"/>
                      <w:lang w:eastAsia="zh-CN"/>
                    </w:rPr>
                  </w:pPr>
                  <w:r>
                    <w:rPr>
                      <w:color w:val="auto"/>
                      <w:sz w:val="21"/>
                      <w:szCs w:val="21"/>
                    </w:rPr>
                    <w:t>总磷</w:t>
                  </w:r>
                </w:p>
              </w:tc>
              <w:tc>
                <w:tcPr>
                  <w:tcW w:w="1624" w:type="dxa"/>
                  <w:shd w:val="clear" w:color="auto" w:fill="auto"/>
                  <w:noWrap w:val="0"/>
                  <w:vAlign w:val="center"/>
                </w:tcPr>
                <w:p w14:paraId="52B885AD">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2.03</w:t>
                  </w:r>
                </w:p>
              </w:tc>
              <w:tc>
                <w:tcPr>
                  <w:tcW w:w="1235" w:type="dxa"/>
                  <w:noWrap w:val="0"/>
                  <w:vAlign w:val="center"/>
                </w:tcPr>
                <w:p w14:paraId="52642B64">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default" w:cs="Times New Roman"/>
                      <w:i w:val="0"/>
                      <w:iCs w:val="0"/>
                      <w:color w:val="auto"/>
                      <w:kern w:val="0"/>
                      <w:sz w:val="21"/>
                      <w:szCs w:val="21"/>
                      <w:u w:val="none"/>
                      <w:lang w:val="en-US" w:eastAsia="zh-CN" w:bidi="ar"/>
                    </w:rPr>
                    <w:t>1.95</w:t>
                  </w:r>
                </w:p>
              </w:tc>
              <w:tc>
                <w:tcPr>
                  <w:tcW w:w="1095" w:type="dxa"/>
                  <w:shd w:val="clear" w:color="auto" w:fill="auto"/>
                  <w:noWrap w:val="0"/>
                  <w:vAlign w:val="center"/>
                </w:tcPr>
                <w:p w14:paraId="35F6B9D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i w:val="0"/>
                      <w:iCs w:val="0"/>
                      <w:color w:val="auto"/>
                      <w:kern w:val="0"/>
                      <w:sz w:val="21"/>
                      <w:szCs w:val="21"/>
                      <w:u w:val="none"/>
                      <w:lang w:val="en-US" w:eastAsia="zh-CN" w:bidi="ar"/>
                    </w:rPr>
                    <w:t>0.08</w:t>
                  </w:r>
                </w:p>
              </w:tc>
              <w:tc>
                <w:tcPr>
                  <w:tcW w:w="1407" w:type="dxa"/>
                  <w:shd w:val="clear" w:color="auto" w:fill="auto"/>
                  <w:noWrap w:val="0"/>
                  <w:vAlign w:val="center"/>
                </w:tcPr>
                <w:p w14:paraId="187CC19D">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s="Times New Roman"/>
                      <w:i w:val="0"/>
                      <w:iCs w:val="0"/>
                      <w:color w:val="auto"/>
                      <w:kern w:val="0"/>
                      <w:sz w:val="21"/>
                      <w:szCs w:val="21"/>
                      <w:u w:val="none"/>
                      <w:lang w:val="en-US" w:eastAsia="zh-CN" w:bidi="ar"/>
                    </w:rPr>
                    <w:t>0.04</w:t>
                  </w:r>
                </w:p>
              </w:tc>
            </w:tr>
            <w:tr w14:paraId="30F7ED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823" w:type="pct"/>
                  <w:vMerge w:val="continue"/>
                  <w:noWrap w:val="0"/>
                  <w:vAlign w:val="center"/>
                </w:tcPr>
                <w:p w14:paraId="5B6751CA">
                  <w:pPr>
                    <w:jc w:val="center"/>
                    <w:rPr>
                      <w:color w:val="auto"/>
                      <w:sz w:val="21"/>
                      <w:szCs w:val="21"/>
                    </w:rPr>
                  </w:pPr>
                </w:p>
              </w:tc>
              <w:tc>
                <w:tcPr>
                  <w:tcW w:w="992" w:type="pct"/>
                  <w:noWrap w:val="0"/>
                  <w:vAlign w:val="center"/>
                </w:tcPr>
                <w:p w14:paraId="5C02BBC7">
                  <w:pPr>
                    <w:adjustRightInd w:val="0"/>
                    <w:snapToGrid w:val="0"/>
                    <w:jc w:val="center"/>
                    <w:rPr>
                      <w:rFonts w:hint="eastAsia"/>
                      <w:color w:val="auto"/>
                      <w:sz w:val="21"/>
                      <w:szCs w:val="21"/>
                      <w:lang w:eastAsia="zh-CN"/>
                    </w:rPr>
                  </w:pPr>
                  <w:r>
                    <w:rPr>
                      <w:color w:val="auto"/>
                      <w:sz w:val="21"/>
                      <w:szCs w:val="21"/>
                    </w:rPr>
                    <w:t>动植物油</w:t>
                  </w:r>
                </w:p>
              </w:tc>
              <w:tc>
                <w:tcPr>
                  <w:tcW w:w="1624" w:type="dxa"/>
                  <w:shd w:val="clear" w:color="auto" w:fill="auto"/>
                  <w:noWrap w:val="0"/>
                  <w:vAlign w:val="center"/>
                </w:tcPr>
                <w:p w14:paraId="759B8227">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1.79</w:t>
                  </w:r>
                </w:p>
              </w:tc>
              <w:tc>
                <w:tcPr>
                  <w:tcW w:w="1235" w:type="dxa"/>
                  <w:noWrap w:val="0"/>
                  <w:vAlign w:val="center"/>
                </w:tcPr>
                <w:p w14:paraId="1C2291A9">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default" w:cs="Times New Roman"/>
                      <w:i w:val="0"/>
                      <w:iCs w:val="0"/>
                      <w:color w:val="auto"/>
                      <w:kern w:val="0"/>
                      <w:sz w:val="21"/>
                      <w:szCs w:val="21"/>
                      <w:u w:val="none"/>
                      <w:lang w:val="en-US" w:eastAsia="zh-CN" w:bidi="ar"/>
                    </w:rPr>
                    <w:t>1.75</w:t>
                  </w:r>
                </w:p>
              </w:tc>
              <w:tc>
                <w:tcPr>
                  <w:tcW w:w="1095" w:type="dxa"/>
                  <w:shd w:val="clear" w:color="auto" w:fill="auto"/>
                  <w:noWrap w:val="0"/>
                  <w:vAlign w:val="center"/>
                </w:tcPr>
                <w:p w14:paraId="5377D2E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i w:val="0"/>
                      <w:iCs w:val="0"/>
                      <w:color w:val="auto"/>
                      <w:kern w:val="0"/>
                      <w:sz w:val="21"/>
                      <w:szCs w:val="21"/>
                      <w:u w:val="none"/>
                      <w:lang w:val="en-US" w:eastAsia="zh-CN" w:bidi="ar"/>
                    </w:rPr>
                    <w:t>0.04</w:t>
                  </w:r>
                </w:p>
              </w:tc>
              <w:tc>
                <w:tcPr>
                  <w:tcW w:w="1407" w:type="dxa"/>
                  <w:shd w:val="clear" w:color="auto" w:fill="auto"/>
                  <w:noWrap w:val="0"/>
                  <w:vAlign w:val="center"/>
                </w:tcPr>
                <w:p w14:paraId="1AF62DE5">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03</w:t>
                  </w:r>
                </w:p>
              </w:tc>
            </w:tr>
            <w:tr w14:paraId="657E75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823" w:type="pct"/>
                  <w:vMerge w:val="continue"/>
                  <w:noWrap w:val="0"/>
                  <w:vAlign w:val="center"/>
                </w:tcPr>
                <w:p w14:paraId="590320EF">
                  <w:pPr>
                    <w:jc w:val="center"/>
                    <w:rPr>
                      <w:color w:val="auto"/>
                      <w:sz w:val="21"/>
                      <w:szCs w:val="21"/>
                    </w:rPr>
                  </w:pPr>
                </w:p>
              </w:tc>
              <w:tc>
                <w:tcPr>
                  <w:tcW w:w="992" w:type="pct"/>
                  <w:shd w:val="clear" w:color="auto" w:fill="auto"/>
                  <w:noWrap w:val="0"/>
                  <w:vAlign w:val="center"/>
                </w:tcPr>
                <w:p w14:paraId="2738971A">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 w:val="21"/>
                      <w:szCs w:val="21"/>
                    </w:rPr>
                    <w:t>LAS</w:t>
                  </w:r>
                </w:p>
              </w:tc>
              <w:tc>
                <w:tcPr>
                  <w:tcW w:w="1624" w:type="dxa"/>
                  <w:shd w:val="clear" w:color="auto" w:fill="auto"/>
                  <w:noWrap w:val="0"/>
                  <w:vAlign w:val="center"/>
                </w:tcPr>
                <w:p w14:paraId="48366479">
                  <w:pPr>
                    <w:keepNext w:val="0"/>
                    <w:keepLines w:val="0"/>
                    <w:widowControl/>
                    <w:suppressLineNumbers w:val="0"/>
                    <w:jc w:val="center"/>
                    <w:textAlignment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1.25</w:t>
                  </w:r>
                </w:p>
              </w:tc>
              <w:tc>
                <w:tcPr>
                  <w:tcW w:w="1235" w:type="dxa"/>
                  <w:shd w:val="clear" w:color="auto" w:fill="auto"/>
                  <w:noWrap w:val="0"/>
                  <w:vAlign w:val="center"/>
                </w:tcPr>
                <w:p w14:paraId="720A62B3">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default" w:cs="Times New Roman"/>
                      <w:i w:val="0"/>
                      <w:iCs w:val="0"/>
                      <w:color w:val="auto"/>
                      <w:kern w:val="0"/>
                      <w:sz w:val="21"/>
                      <w:szCs w:val="21"/>
                      <w:u w:val="none"/>
                      <w:lang w:val="en-US" w:eastAsia="zh-CN" w:bidi="ar"/>
                    </w:rPr>
                    <w:t>1.17</w:t>
                  </w:r>
                </w:p>
              </w:tc>
              <w:tc>
                <w:tcPr>
                  <w:tcW w:w="1095" w:type="dxa"/>
                  <w:shd w:val="clear" w:color="auto" w:fill="auto"/>
                  <w:noWrap w:val="0"/>
                  <w:vAlign w:val="center"/>
                </w:tcPr>
                <w:p w14:paraId="1FA22C8D">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08</w:t>
                  </w:r>
                </w:p>
              </w:tc>
              <w:tc>
                <w:tcPr>
                  <w:tcW w:w="1407" w:type="dxa"/>
                  <w:shd w:val="clear" w:color="auto" w:fill="auto"/>
                  <w:noWrap w:val="0"/>
                  <w:vAlign w:val="center"/>
                </w:tcPr>
                <w:p w14:paraId="47FFDDF9">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0.07</w:t>
                  </w:r>
                </w:p>
              </w:tc>
            </w:tr>
            <w:tr w14:paraId="29A445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823" w:type="pct"/>
                  <w:vMerge w:val="continue"/>
                  <w:noWrap w:val="0"/>
                  <w:vAlign w:val="center"/>
                </w:tcPr>
                <w:p w14:paraId="5701253E">
                  <w:pPr>
                    <w:jc w:val="center"/>
                    <w:rPr>
                      <w:color w:val="auto"/>
                      <w:sz w:val="21"/>
                      <w:szCs w:val="21"/>
                    </w:rPr>
                  </w:pPr>
                </w:p>
              </w:tc>
              <w:tc>
                <w:tcPr>
                  <w:tcW w:w="992" w:type="pct"/>
                  <w:noWrap w:val="0"/>
                  <w:vAlign w:val="center"/>
                </w:tcPr>
                <w:p w14:paraId="6ACAF1CE">
                  <w:pPr>
                    <w:adjustRightInd w:val="0"/>
                    <w:snapToGrid w:val="0"/>
                    <w:jc w:val="center"/>
                    <w:rPr>
                      <w:rFonts w:hint="eastAsia"/>
                      <w:color w:val="auto"/>
                      <w:sz w:val="21"/>
                      <w:szCs w:val="21"/>
                      <w:lang w:eastAsia="zh-CN"/>
                    </w:rPr>
                  </w:pPr>
                  <w:r>
                    <w:rPr>
                      <w:rFonts w:hint="eastAsia"/>
                      <w:color w:val="auto"/>
                      <w:sz w:val="21"/>
                      <w:szCs w:val="21"/>
                      <w:lang w:eastAsia="zh-CN"/>
                    </w:rPr>
                    <w:t>盐分</w:t>
                  </w:r>
                </w:p>
              </w:tc>
              <w:tc>
                <w:tcPr>
                  <w:tcW w:w="1624" w:type="dxa"/>
                  <w:shd w:val="clear" w:color="auto" w:fill="auto"/>
                  <w:noWrap w:val="0"/>
                  <w:vAlign w:val="center"/>
                </w:tcPr>
                <w:p w14:paraId="774302D3">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5.94</w:t>
                  </w:r>
                </w:p>
              </w:tc>
              <w:tc>
                <w:tcPr>
                  <w:tcW w:w="1235" w:type="dxa"/>
                  <w:noWrap w:val="0"/>
                  <w:vAlign w:val="center"/>
                </w:tcPr>
                <w:p w14:paraId="16033FCB">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w:t>
                  </w:r>
                </w:p>
              </w:tc>
              <w:tc>
                <w:tcPr>
                  <w:tcW w:w="1095" w:type="dxa"/>
                  <w:shd w:val="clear" w:color="auto" w:fill="auto"/>
                  <w:noWrap w:val="0"/>
                  <w:vAlign w:val="center"/>
                </w:tcPr>
                <w:p w14:paraId="7303B6BC">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i w:val="0"/>
                      <w:iCs w:val="0"/>
                      <w:color w:val="auto"/>
                      <w:kern w:val="0"/>
                      <w:sz w:val="21"/>
                      <w:szCs w:val="21"/>
                      <w:u w:val="none"/>
                      <w:lang w:val="en-US" w:eastAsia="zh-CN" w:bidi="ar"/>
                    </w:rPr>
                    <w:t>5.94</w:t>
                  </w:r>
                </w:p>
              </w:tc>
              <w:tc>
                <w:tcPr>
                  <w:tcW w:w="1407" w:type="dxa"/>
                  <w:shd w:val="clear" w:color="auto" w:fill="auto"/>
                  <w:noWrap w:val="0"/>
                  <w:vAlign w:val="center"/>
                </w:tcPr>
                <w:p w14:paraId="14D82415">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5.94</w:t>
                  </w:r>
                </w:p>
              </w:tc>
            </w:tr>
            <w:tr w14:paraId="6D94AA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823" w:type="pct"/>
                  <w:vMerge w:val="restart"/>
                  <w:noWrap w:val="0"/>
                  <w:vAlign w:val="center"/>
                </w:tcPr>
                <w:p w14:paraId="5E9FF485">
                  <w:pPr>
                    <w:adjustRightInd w:val="0"/>
                    <w:snapToGrid w:val="0"/>
                    <w:jc w:val="center"/>
                    <w:rPr>
                      <w:color w:val="auto"/>
                      <w:sz w:val="21"/>
                      <w:szCs w:val="21"/>
                    </w:rPr>
                  </w:pPr>
                  <w:r>
                    <w:rPr>
                      <w:color w:val="auto"/>
                      <w:sz w:val="21"/>
                      <w:szCs w:val="21"/>
                    </w:rPr>
                    <w:t>固废</w:t>
                  </w:r>
                </w:p>
              </w:tc>
              <w:tc>
                <w:tcPr>
                  <w:tcW w:w="992" w:type="pct"/>
                  <w:noWrap w:val="0"/>
                  <w:vAlign w:val="center"/>
                </w:tcPr>
                <w:p w14:paraId="55E8DBF8">
                  <w:pPr>
                    <w:adjustRightInd w:val="0"/>
                    <w:snapToGrid w:val="0"/>
                    <w:jc w:val="center"/>
                    <w:rPr>
                      <w:color w:val="auto"/>
                      <w:sz w:val="21"/>
                      <w:szCs w:val="21"/>
                    </w:rPr>
                  </w:pPr>
                  <w:r>
                    <w:rPr>
                      <w:color w:val="auto"/>
                      <w:sz w:val="21"/>
                      <w:szCs w:val="21"/>
                    </w:rPr>
                    <w:t>一般工业固废</w:t>
                  </w:r>
                </w:p>
              </w:tc>
              <w:tc>
                <w:tcPr>
                  <w:tcW w:w="964" w:type="pct"/>
                  <w:noWrap w:val="0"/>
                  <w:vAlign w:val="center"/>
                </w:tcPr>
                <w:p w14:paraId="7A543B3D">
                  <w:pPr>
                    <w:adjustRightInd w:val="0"/>
                    <w:snapToGrid w:val="0"/>
                    <w:jc w:val="center"/>
                    <w:rPr>
                      <w:rFonts w:hint="default" w:eastAsia="宋体"/>
                      <w:color w:val="auto"/>
                      <w:sz w:val="21"/>
                      <w:szCs w:val="21"/>
                      <w:lang w:val="en-US" w:eastAsia="zh-CN"/>
                    </w:rPr>
                  </w:pPr>
                  <w:r>
                    <w:rPr>
                      <w:rFonts w:hint="eastAsia"/>
                      <w:color w:val="auto"/>
                      <w:sz w:val="21"/>
                      <w:szCs w:val="21"/>
                      <w:lang w:val="en-US" w:eastAsia="zh-CN"/>
                    </w:rPr>
                    <w:t>27.5</w:t>
                  </w:r>
                </w:p>
              </w:tc>
              <w:tc>
                <w:tcPr>
                  <w:tcW w:w="733" w:type="pct"/>
                  <w:noWrap w:val="0"/>
                  <w:vAlign w:val="center"/>
                </w:tcPr>
                <w:p w14:paraId="269212F5">
                  <w:pPr>
                    <w:adjustRightInd w:val="0"/>
                    <w:snapToGrid w:val="0"/>
                    <w:jc w:val="center"/>
                    <w:rPr>
                      <w:rFonts w:hint="eastAsia" w:eastAsia="宋体"/>
                      <w:color w:val="auto"/>
                      <w:sz w:val="21"/>
                      <w:szCs w:val="21"/>
                      <w:lang w:eastAsia="zh-CN"/>
                    </w:rPr>
                  </w:pPr>
                  <w:r>
                    <w:rPr>
                      <w:rFonts w:hint="eastAsia"/>
                      <w:color w:val="auto"/>
                      <w:sz w:val="21"/>
                      <w:szCs w:val="21"/>
                      <w:lang w:val="en-US" w:eastAsia="zh-CN"/>
                    </w:rPr>
                    <w:t>/</w:t>
                  </w:r>
                </w:p>
              </w:tc>
              <w:tc>
                <w:tcPr>
                  <w:tcW w:w="650" w:type="pct"/>
                  <w:noWrap w:val="0"/>
                  <w:vAlign w:val="center"/>
                </w:tcPr>
                <w:p w14:paraId="4F3F8E24">
                  <w:pPr>
                    <w:adjustRightInd w:val="0"/>
                    <w:snapToGrid w:val="0"/>
                    <w:jc w:val="center"/>
                    <w:rPr>
                      <w:color w:val="auto"/>
                      <w:sz w:val="21"/>
                      <w:szCs w:val="21"/>
                    </w:rPr>
                  </w:pPr>
                  <w:r>
                    <w:rPr>
                      <w:rFonts w:hint="eastAsia"/>
                      <w:color w:val="auto"/>
                      <w:sz w:val="21"/>
                      <w:szCs w:val="21"/>
                      <w:lang w:val="en-US" w:eastAsia="zh-CN"/>
                    </w:rPr>
                    <w:t>27.5</w:t>
                  </w:r>
                </w:p>
              </w:tc>
              <w:tc>
                <w:tcPr>
                  <w:tcW w:w="835" w:type="pct"/>
                  <w:noWrap w:val="0"/>
                  <w:vAlign w:val="center"/>
                </w:tcPr>
                <w:p w14:paraId="4D5DDFFC">
                  <w:pPr>
                    <w:adjustRightInd w:val="0"/>
                    <w:snapToGrid w:val="0"/>
                    <w:jc w:val="center"/>
                    <w:rPr>
                      <w:color w:val="auto"/>
                      <w:sz w:val="21"/>
                      <w:szCs w:val="21"/>
                    </w:rPr>
                  </w:pPr>
                  <w:r>
                    <w:rPr>
                      <w:color w:val="auto"/>
                      <w:sz w:val="21"/>
                      <w:szCs w:val="21"/>
                    </w:rPr>
                    <w:t>0</w:t>
                  </w:r>
                </w:p>
              </w:tc>
            </w:tr>
            <w:tr w14:paraId="490EC2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823" w:type="pct"/>
                  <w:vMerge w:val="continue"/>
                  <w:noWrap w:val="0"/>
                  <w:vAlign w:val="center"/>
                </w:tcPr>
                <w:p w14:paraId="72671545">
                  <w:pPr>
                    <w:adjustRightInd w:val="0"/>
                    <w:snapToGrid w:val="0"/>
                    <w:jc w:val="center"/>
                    <w:rPr>
                      <w:color w:val="auto"/>
                      <w:sz w:val="21"/>
                      <w:szCs w:val="21"/>
                    </w:rPr>
                  </w:pPr>
                </w:p>
              </w:tc>
              <w:tc>
                <w:tcPr>
                  <w:tcW w:w="992" w:type="pct"/>
                  <w:noWrap w:val="0"/>
                  <w:vAlign w:val="center"/>
                </w:tcPr>
                <w:p w14:paraId="23D74F15">
                  <w:pPr>
                    <w:pBdr>
                      <w:left w:val="single" w:color="auto" w:sz="4" w:space="0"/>
                    </w:pBdr>
                    <w:adjustRightInd w:val="0"/>
                    <w:snapToGrid w:val="0"/>
                    <w:jc w:val="center"/>
                    <w:rPr>
                      <w:color w:val="auto"/>
                      <w:sz w:val="21"/>
                      <w:szCs w:val="21"/>
                    </w:rPr>
                  </w:pPr>
                  <w:r>
                    <w:rPr>
                      <w:color w:val="auto"/>
                      <w:sz w:val="21"/>
                      <w:szCs w:val="21"/>
                    </w:rPr>
                    <w:t>危险废物</w:t>
                  </w:r>
                </w:p>
              </w:tc>
              <w:tc>
                <w:tcPr>
                  <w:tcW w:w="964" w:type="pct"/>
                  <w:noWrap w:val="0"/>
                  <w:vAlign w:val="center"/>
                </w:tcPr>
                <w:p w14:paraId="1CBBE243">
                  <w:pPr>
                    <w:pBdr>
                      <w:left w:val="single" w:color="auto" w:sz="4" w:space="0"/>
                    </w:pBdr>
                    <w:adjustRightInd w:val="0"/>
                    <w:snapToGrid w:val="0"/>
                    <w:jc w:val="center"/>
                    <w:rPr>
                      <w:rFonts w:hint="default" w:eastAsia="宋体"/>
                      <w:color w:val="auto"/>
                      <w:sz w:val="21"/>
                      <w:szCs w:val="21"/>
                      <w:lang w:val="en-US" w:eastAsia="zh-CN"/>
                    </w:rPr>
                  </w:pPr>
                </w:p>
              </w:tc>
              <w:tc>
                <w:tcPr>
                  <w:tcW w:w="733" w:type="pct"/>
                  <w:noWrap w:val="0"/>
                  <w:vAlign w:val="center"/>
                </w:tcPr>
                <w:p w14:paraId="3253447E">
                  <w:pPr>
                    <w:pBdr>
                      <w:left w:val="single" w:color="auto" w:sz="4" w:space="0"/>
                    </w:pBdr>
                    <w:adjustRightInd w:val="0"/>
                    <w:snapToGrid w:val="0"/>
                    <w:jc w:val="center"/>
                    <w:rPr>
                      <w:rFonts w:hint="default" w:eastAsia="宋体"/>
                      <w:color w:val="auto"/>
                      <w:sz w:val="21"/>
                      <w:szCs w:val="21"/>
                      <w:lang w:val="en-US" w:eastAsia="zh-CN"/>
                    </w:rPr>
                  </w:pPr>
                </w:p>
              </w:tc>
              <w:tc>
                <w:tcPr>
                  <w:tcW w:w="650" w:type="pct"/>
                  <w:noWrap w:val="0"/>
                  <w:vAlign w:val="center"/>
                </w:tcPr>
                <w:p w14:paraId="1F32CA20">
                  <w:pPr>
                    <w:pBdr>
                      <w:left w:val="single" w:color="auto" w:sz="4" w:space="0"/>
                    </w:pBdr>
                    <w:adjustRightInd w:val="0"/>
                    <w:snapToGrid w:val="0"/>
                    <w:jc w:val="center"/>
                    <w:rPr>
                      <w:color w:val="auto"/>
                      <w:sz w:val="21"/>
                      <w:szCs w:val="21"/>
                    </w:rPr>
                  </w:pPr>
                  <w:r>
                    <w:rPr>
                      <w:color w:val="auto"/>
                      <w:sz w:val="21"/>
                      <w:szCs w:val="21"/>
                    </w:rPr>
                    <w:t>/</w:t>
                  </w:r>
                </w:p>
              </w:tc>
              <w:tc>
                <w:tcPr>
                  <w:tcW w:w="835" w:type="pct"/>
                  <w:tcBorders>
                    <w:right w:val="single" w:color="auto" w:sz="4" w:space="0"/>
                  </w:tcBorders>
                  <w:noWrap w:val="0"/>
                  <w:vAlign w:val="center"/>
                </w:tcPr>
                <w:p w14:paraId="373E3507">
                  <w:pPr>
                    <w:pBdr>
                      <w:left w:val="single" w:color="auto" w:sz="4" w:space="0"/>
                    </w:pBdr>
                    <w:adjustRightInd w:val="0"/>
                    <w:snapToGrid w:val="0"/>
                    <w:jc w:val="center"/>
                    <w:rPr>
                      <w:color w:val="auto"/>
                      <w:sz w:val="21"/>
                      <w:szCs w:val="21"/>
                    </w:rPr>
                  </w:pPr>
                  <w:r>
                    <w:rPr>
                      <w:color w:val="auto"/>
                      <w:sz w:val="21"/>
                      <w:szCs w:val="21"/>
                    </w:rPr>
                    <w:t>0</w:t>
                  </w:r>
                </w:p>
              </w:tc>
            </w:tr>
            <w:tr w14:paraId="03F7B6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823" w:type="pct"/>
                  <w:vMerge w:val="continue"/>
                  <w:noWrap w:val="0"/>
                  <w:vAlign w:val="center"/>
                </w:tcPr>
                <w:p w14:paraId="6A6F524D">
                  <w:pPr>
                    <w:adjustRightInd w:val="0"/>
                    <w:snapToGrid w:val="0"/>
                    <w:jc w:val="center"/>
                    <w:rPr>
                      <w:color w:val="auto"/>
                      <w:sz w:val="21"/>
                      <w:szCs w:val="21"/>
                    </w:rPr>
                  </w:pPr>
                </w:p>
              </w:tc>
              <w:tc>
                <w:tcPr>
                  <w:tcW w:w="992" w:type="pct"/>
                  <w:noWrap w:val="0"/>
                  <w:vAlign w:val="center"/>
                </w:tcPr>
                <w:p w14:paraId="004A8DD9">
                  <w:pPr>
                    <w:pBdr>
                      <w:left w:val="single" w:color="auto" w:sz="4" w:space="0"/>
                    </w:pBdr>
                    <w:adjustRightInd w:val="0"/>
                    <w:snapToGrid w:val="0"/>
                    <w:jc w:val="center"/>
                    <w:rPr>
                      <w:color w:val="auto"/>
                      <w:sz w:val="21"/>
                      <w:szCs w:val="21"/>
                    </w:rPr>
                  </w:pPr>
                  <w:r>
                    <w:rPr>
                      <w:color w:val="auto"/>
                      <w:sz w:val="21"/>
                      <w:szCs w:val="21"/>
                    </w:rPr>
                    <w:t>生活垃圾</w:t>
                  </w:r>
                </w:p>
              </w:tc>
              <w:tc>
                <w:tcPr>
                  <w:tcW w:w="964" w:type="pct"/>
                  <w:noWrap w:val="0"/>
                  <w:vAlign w:val="center"/>
                </w:tcPr>
                <w:p w14:paraId="3D204E14">
                  <w:pPr>
                    <w:pBdr>
                      <w:left w:val="single" w:color="auto" w:sz="4" w:space="0"/>
                    </w:pBdr>
                    <w:adjustRightInd w:val="0"/>
                    <w:snapToGrid w:val="0"/>
                    <w:jc w:val="center"/>
                    <w:rPr>
                      <w:rFonts w:hint="eastAsia" w:eastAsia="宋体"/>
                      <w:color w:val="auto"/>
                      <w:sz w:val="21"/>
                      <w:szCs w:val="21"/>
                      <w:lang w:eastAsia="zh-CN"/>
                    </w:rPr>
                  </w:pPr>
                  <w:r>
                    <w:rPr>
                      <w:rFonts w:hint="eastAsia"/>
                      <w:color w:val="auto"/>
                      <w:sz w:val="21"/>
                      <w:szCs w:val="21"/>
                      <w:lang w:val="en-US" w:eastAsia="zh-CN"/>
                    </w:rPr>
                    <w:t>/</w:t>
                  </w:r>
                </w:p>
              </w:tc>
              <w:tc>
                <w:tcPr>
                  <w:tcW w:w="733" w:type="pct"/>
                  <w:noWrap w:val="0"/>
                  <w:vAlign w:val="center"/>
                </w:tcPr>
                <w:p w14:paraId="0A960D0E">
                  <w:pPr>
                    <w:pBdr>
                      <w:left w:val="single" w:color="auto" w:sz="4" w:space="0"/>
                    </w:pBdr>
                    <w:adjustRightInd w:val="0"/>
                    <w:snapToGrid w:val="0"/>
                    <w:jc w:val="center"/>
                    <w:rPr>
                      <w:rFonts w:hint="eastAsia" w:eastAsia="宋体"/>
                      <w:color w:val="auto"/>
                      <w:sz w:val="21"/>
                      <w:szCs w:val="21"/>
                      <w:lang w:eastAsia="zh-CN"/>
                    </w:rPr>
                  </w:pPr>
                  <w:r>
                    <w:rPr>
                      <w:rFonts w:hint="eastAsia"/>
                      <w:color w:val="auto"/>
                      <w:sz w:val="21"/>
                      <w:szCs w:val="21"/>
                      <w:lang w:val="en-US" w:eastAsia="zh-CN"/>
                    </w:rPr>
                    <w:t>/</w:t>
                  </w:r>
                </w:p>
              </w:tc>
              <w:tc>
                <w:tcPr>
                  <w:tcW w:w="650" w:type="pct"/>
                  <w:noWrap w:val="0"/>
                  <w:vAlign w:val="center"/>
                </w:tcPr>
                <w:p w14:paraId="33D7ACBE">
                  <w:pPr>
                    <w:pBdr>
                      <w:left w:val="single" w:color="auto" w:sz="4" w:space="0"/>
                    </w:pBdr>
                    <w:adjustRightInd w:val="0"/>
                    <w:snapToGrid w:val="0"/>
                    <w:jc w:val="center"/>
                    <w:rPr>
                      <w:color w:val="auto"/>
                      <w:sz w:val="21"/>
                      <w:szCs w:val="21"/>
                    </w:rPr>
                  </w:pPr>
                  <w:r>
                    <w:rPr>
                      <w:color w:val="auto"/>
                      <w:sz w:val="21"/>
                      <w:szCs w:val="21"/>
                    </w:rPr>
                    <w:t>/</w:t>
                  </w:r>
                </w:p>
              </w:tc>
              <w:tc>
                <w:tcPr>
                  <w:tcW w:w="835" w:type="pct"/>
                  <w:tcBorders>
                    <w:right w:val="single" w:color="auto" w:sz="4" w:space="0"/>
                  </w:tcBorders>
                  <w:noWrap w:val="0"/>
                  <w:vAlign w:val="center"/>
                </w:tcPr>
                <w:p w14:paraId="40A9F93E">
                  <w:pPr>
                    <w:pBdr>
                      <w:left w:val="single" w:color="auto" w:sz="4" w:space="0"/>
                    </w:pBdr>
                    <w:adjustRightInd w:val="0"/>
                    <w:snapToGrid w:val="0"/>
                    <w:jc w:val="center"/>
                    <w:rPr>
                      <w:rFonts w:hint="eastAsia" w:eastAsia="宋体"/>
                      <w:color w:val="auto"/>
                      <w:sz w:val="21"/>
                      <w:szCs w:val="21"/>
                      <w:lang w:eastAsia="zh-CN"/>
                    </w:rPr>
                  </w:pPr>
                  <w:r>
                    <w:rPr>
                      <w:rFonts w:hint="eastAsia"/>
                      <w:color w:val="auto"/>
                      <w:sz w:val="21"/>
                      <w:szCs w:val="21"/>
                      <w:lang w:val="en-US" w:eastAsia="zh-CN"/>
                    </w:rPr>
                    <w:t>/</w:t>
                  </w:r>
                </w:p>
              </w:tc>
            </w:tr>
          </w:tbl>
          <w:p w14:paraId="3861A4DA">
            <w:pPr>
              <w:pStyle w:val="13"/>
              <w:rPr>
                <w:color w:val="auto"/>
              </w:rPr>
            </w:pPr>
          </w:p>
        </w:tc>
      </w:tr>
    </w:tbl>
    <w:p w14:paraId="6B73AB6F">
      <w:pPr>
        <w:adjustRightInd w:val="0"/>
        <w:snapToGrid w:val="0"/>
        <w:jc w:val="center"/>
        <w:rPr>
          <w:b/>
          <w:bCs/>
          <w:color w:val="auto"/>
          <w:kern w:val="0"/>
          <w:szCs w:val="21"/>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3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16"/>
        <w:gridCol w:w="12612"/>
      </w:tblGrid>
      <w:tr w14:paraId="53A5C7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37" w:hRule="atLeast"/>
          <w:jc w:val="center"/>
        </w:trPr>
        <w:tc>
          <w:tcPr>
            <w:tcW w:w="233" w:type="pct"/>
            <w:vAlign w:val="center"/>
          </w:tcPr>
          <w:p w14:paraId="2EB8F9EF">
            <w:pPr>
              <w:adjustRightInd w:val="0"/>
              <w:snapToGrid w:val="0"/>
              <w:jc w:val="center"/>
              <w:rPr>
                <w:b/>
                <w:bCs/>
                <w:color w:val="auto"/>
                <w:kern w:val="0"/>
                <w:szCs w:val="21"/>
              </w:rPr>
            </w:pPr>
            <w:r>
              <w:rPr>
                <w:rFonts w:hAnsi="宋体"/>
                <w:b/>
                <w:bCs/>
                <w:color w:val="auto"/>
                <w:kern w:val="0"/>
                <w:szCs w:val="21"/>
              </w:rPr>
              <w:t>总量</w:t>
            </w:r>
          </w:p>
          <w:p w14:paraId="01957982">
            <w:pPr>
              <w:adjustRightInd w:val="0"/>
              <w:snapToGrid w:val="0"/>
              <w:jc w:val="center"/>
              <w:rPr>
                <w:b/>
                <w:bCs/>
                <w:color w:val="auto"/>
                <w:kern w:val="0"/>
                <w:szCs w:val="21"/>
              </w:rPr>
            </w:pPr>
            <w:r>
              <w:rPr>
                <w:rFonts w:hAnsi="宋体"/>
                <w:b/>
                <w:bCs/>
                <w:color w:val="auto"/>
                <w:kern w:val="0"/>
                <w:szCs w:val="21"/>
              </w:rPr>
              <w:t>控制</w:t>
            </w:r>
          </w:p>
          <w:p w14:paraId="74F7AB95">
            <w:pPr>
              <w:adjustRightInd w:val="0"/>
              <w:snapToGrid w:val="0"/>
              <w:jc w:val="center"/>
              <w:rPr>
                <w:b/>
                <w:bCs/>
                <w:color w:val="auto"/>
                <w:kern w:val="0"/>
                <w:szCs w:val="21"/>
              </w:rPr>
            </w:pPr>
            <w:r>
              <w:rPr>
                <w:rFonts w:hAnsi="宋体"/>
                <w:b/>
                <w:bCs/>
                <w:color w:val="auto"/>
                <w:kern w:val="0"/>
                <w:szCs w:val="21"/>
              </w:rPr>
              <w:t>指标</w:t>
            </w:r>
          </w:p>
        </w:tc>
        <w:tc>
          <w:tcPr>
            <w:tcW w:w="4766" w:type="pct"/>
            <w:vAlign w:val="center"/>
          </w:tcPr>
          <w:p w14:paraId="5E5E4341">
            <w:pPr>
              <w:keepNext w:val="0"/>
              <w:keepLines w:val="0"/>
              <w:pageBreakBefore w:val="0"/>
              <w:widowControl/>
              <w:kinsoku/>
              <w:wordWrap/>
              <w:overflowPunct/>
              <w:topLinePunct w:val="0"/>
              <w:autoSpaceDE/>
              <w:autoSpaceDN/>
              <w:bidi w:val="0"/>
              <w:adjustRightInd w:val="0"/>
              <w:snapToGrid w:val="0"/>
              <w:spacing w:before="120" w:beforeLines="50" w:line="300" w:lineRule="exact"/>
              <w:ind w:firstLine="480" w:firstLineChars="200"/>
              <w:jc w:val="left"/>
              <w:textAlignment w:val="auto"/>
              <w:rPr>
                <w:color w:val="auto"/>
                <w:kern w:val="0"/>
                <w:sz w:val="24"/>
              </w:rPr>
            </w:pPr>
            <w:r>
              <w:rPr>
                <w:rFonts w:hAnsi="宋体"/>
                <w:color w:val="auto"/>
                <w:kern w:val="0"/>
                <w:sz w:val="24"/>
              </w:rPr>
              <w:t>建设项目污染物排放情况见表</w:t>
            </w:r>
            <w:r>
              <w:rPr>
                <w:color w:val="auto"/>
                <w:kern w:val="0"/>
                <w:sz w:val="24"/>
              </w:rPr>
              <w:t>3-</w:t>
            </w:r>
            <w:r>
              <w:rPr>
                <w:rFonts w:hint="eastAsia"/>
                <w:color w:val="auto"/>
                <w:kern w:val="0"/>
                <w:sz w:val="24"/>
                <w:lang w:val="en-US" w:eastAsia="zh-CN"/>
              </w:rPr>
              <w:t>10</w:t>
            </w:r>
            <w:r>
              <w:rPr>
                <w:rFonts w:hAnsi="宋体"/>
                <w:color w:val="auto"/>
                <w:kern w:val="0"/>
                <w:sz w:val="24"/>
              </w:rPr>
              <w:t>。</w:t>
            </w:r>
          </w:p>
          <w:p w14:paraId="6A61B50C">
            <w:pPr>
              <w:pStyle w:val="72"/>
              <w:keepNext w:val="0"/>
              <w:keepLines w:val="0"/>
              <w:pageBreakBefore w:val="0"/>
              <w:widowControl/>
              <w:kinsoku/>
              <w:wordWrap/>
              <w:overflowPunct/>
              <w:topLinePunct w:val="0"/>
              <w:autoSpaceDE/>
              <w:autoSpaceDN/>
              <w:bidi w:val="0"/>
              <w:adjustRightInd w:val="0"/>
              <w:snapToGrid w:val="0"/>
              <w:spacing w:before="120" w:beforeLines="50" w:line="300" w:lineRule="exact"/>
              <w:ind w:firstLine="422"/>
              <w:jc w:val="center"/>
              <w:textAlignment w:val="auto"/>
              <w:rPr>
                <w:bCs/>
                <w:color w:val="auto"/>
                <w:kern w:val="2"/>
                <w:sz w:val="21"/>
                <w:szCs w:val="21"/>
              </w:rPr>
            </w:pPr>
            <w:r>
              <w:rPr>
                <w:rFonts w:hAnsi="宋体"/>
                <w:b/>
                <w:bCs/>
                <w:color w:val="auto"/>
                <w:kern w:val="2"/>
                <w:szCs w:val="24"/>
              </w:rPr>
              <w:t>表</w:t>
            </w:r>
            <w:r>
              <w:rPr>
                <w:b/>
                <w:bCs/>
                <w:color w:val="auto"/>
                <w:kern w:val="2"/>
                <w:szCs w:val="24"/>
              </w:rPr>
              <w:t>3-</w:t>
            </w:r>
            <w:r>
              <w:rPr>
                <w:rFonts w:hint="eastAsia"/>
                <w:b/>
                <w:bCs/>
                <w:color w:val="auto"/>
                <w:kern w:val="2"/>
                <w:szCs w:val="24"/>
                <w:lang w:val="en-US" w:eastAsia="zh-CN"/>
              </w:rPr>
              <w:t>10</w:t>
            </w:r>
            <w:r>
              <w:rPr>
                <w:rFonts w:hAnsi="宋体"/>
                <w:b/>
                <w:bCs/>
                <w:color w:val="auto"/>
                <w:kern w:val="2"/>
                <w:szCs w:val="24"/>
              </w:rPr>
              <w:t>项目污染物</w:t>
            </w:r>
            <w:r>
              <w:rPr>
                <w:b/>
                <w:bCs/>
                <w:color w:val="auto"/>
                <w:kern w:val="2"/>
                <w:szCs w:val="24"/>
              </w:rPr>
              <w:t>“</w:t>
            </w:r>
            <w:r>
              <w:rPr>
                <w:rFonts w:hAnsi="宋体"/>
                <w:b/>
                <w:bCs/>
                <w:color w:val="auto"/>
                <w:kern w:val="2"/>
                <w:szCs w:val="24"/>
              </w:rPr>
              <w:t>三本账</w:t>
            </w:r>
            <w:r>
              <w:rPr>
                <w:b/>
                <w:bCs/>
                <w:color w:val="auto"/>
                <w:kern w:val="2"/>
                <w:szCs w:val="24"/>
              </w:rPr>
              <w:t>”</w:t>
            </w:r>
            <w:r>
              <w:rPr>
                <w:rFonts w:hAnsi="宋体"/>
                <w:b/>
                <w:bCs/>
                <w:color w:val="auto"/>
                <w:kern w:val="2"/>
                <w:szCs w:val="24"/>
              </w:rPr>
              <w:t>一览表</w:t>
            </w:r>
            <w:r>
              <w:rPr>
                <w:rFonts w:hAnsi="宋体"/>
                <w:bCs/>
                <w:color w:val="auto"/>
                <w:kern w:val="2"/>
                <w:sz w:val="21"/>
                <w:szCs w:val="21"/>
              </w:rPr>
              <w:t>单位：</w:t>
            </w:r>
            <w:r>
              <w:rPr>
                <w:bCs/>
                <w:color w:val="auto"/>
                <w:kern w:val="2"/>
                <w:sz w:val="21"/>
                <w:szCs w:val="21"/>
              </w:rPr>
              <w:t>t/a</w:t>
            </w:r>
          </w:p>
          <w:tbl>
            <w:tblPr>
              <w:tblStyle w:val="32"/>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511"/>
              <w:gridCol w:w="543"/>
              <w:gridCol w:w="466"/>
              <w:gridCol w:w="1131"/>
              <w:gridCol w:w="957"/>
              <w:gridCol w:w="855"/>
              <w:gridCol w:w="957"/>
              <w:gridCol w:w="972"/>
              <w:gridCol w:w="821"/>
              <w:gridCol w:w="67"/>
              <w:gridCol w:w="783"/>
              <w:gridCol w:w="1093"/>
              <w:gridCol w:w="1215"/>
              <w:gridCol w:w="880"/>
              <w:gridCol w:w="1138"/>
            </w:tblGrid>
            <w:tr w14:paraId="0B0147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57" w:hRule="atLeast"/>
                <w:tblHeader/>
                <w:jc w:val="center"/>
              </w:trPr>
              <w:tc>
                <w:tcPr>
                  <w:tcW w:w="206" w:type="pct"/>
                  <w:vMerge w:val="restart"/>
                  <w:shd w:val="clear" w:color="auto" w:fill="auto"/>
                  <w:vAlign w:val="center"/>
                </w:tcPr>
                <w:p w14:paraId="1EADA0AD">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种类</w:t>
                  </w:r>
                </w:p>
              </w:tc>
              <w:tc>
                <w:tcPr>
                  <w:tcW w:w="863" w:type="pct"/>
                  <w:gridSpan w:val="3"/>
                  <w:vMerge w:val="restart"/>
                  <w:shd w:val="clear" w:color="auto" w:fill="auto"/>
                  <w:vAlign w:val="center"/>
                </w:tcPr>
                <w:p w14:paraId="65989383">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污染物名称</w:t>
                  </w:r>
                </w:p>
              </w:tc>
              <w:tc>
                <w:tcPr>
                  <w:tcW w:w="731" w:type="pct"/>
                  <w:gridSpan w:val="2"/>
                  <w:shd w:val="clear" w:color="auto" w:fill="auto"/>
                  <w:vAlign w:val="center"/>
                </w:tcPr>
                <w:p w14:paraId="7D1CF02A">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现有项目批复量</w:t>
                  </w:r>
                </w:p>
              </w:tc>
              <w:tc>
                <w:tcPr>
                  <w:tcW w:w="778" w:type="pct"/>
                  <w:gridSpan w:val="2"/>
                  <w:shd w:val="clear" w:color="auto" w:fill="auto"/>
                  <w:vAlign w:val="center"/>
                </w:tcPr>
                <w:p w14:paraId="481F5327">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eastAsia="zh-CN"/>
                    </w:rPr>
                    <w:t>本次</w:t>
                  </w:r>
                  <w:r>
                    <w:rPr>
                      <w:rFonts w:hint="default" w:ascii="Times New Roman" w:hAnsi="Times New Roman" w:eastAsia="宋体" w:cs="Times New Roman"/>
                      <w:b/>
                      <w:color w:val="auto"/>
                      <w:sz w:val="21"/>
                      <w:szCs w:val="21"/>
                    </w:rPr>
                    <w:t>建设项目</w:t>
                  </w:r>
                </w:p>
              </w:tc>
              <w:tc>
                <w:tcPr>
                  <w:tcW w:w="674" w:type="pct"/>
                  <w:gridSpan w:val="3"/>
                  <w:shd w:val="clear" w:color="auto" w:fill="auto"/>
                  <w:vAlign w:val="center"/>
                </w:tcPr>
                <w:p w14:paraId="19CB0F45">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“以新带老”削减量</w:t>
                  </w:r>
                </w:p>
              </w:tc>
              <w:tc>
                <w:tcPr>
                  <w:tcW w:w="931" w:type="pct"/>
                  <w:gridSpan w:val="2"/>
                  <w:shd w:val="clear" w:color="auto" w:fill="auto"/>
                  <w:vAlign w:val="center"/>
                </w:tcPr>
                <w:p w14:paraId="79B26159">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建设项目增减量</w:t>
                  </w:r>
                </w:p>
              </w:tc>
              <w:tc>
                <w:tcPr>
                  <w:tcW w:w="814" w:type="pct"/>
                  <w:gridSpan w:val="2"/>
                  <w:shd w:val="clear" w:color="auto" w:fill="auto"/>
                  <w:vAlign w:val="center"/>
                </w:tcPr>
                <w:p w14:paraId="6EB1EFAE">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最终全厂排放总量</w:t>
                  </w:r>
                </w:p>
              </w:tc>
            </w:tr>
            <w:tr w14:paraId="721FAF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57" w:hRule="atLeast"/>
                <w:tblHeader/>
                <w:jc w:val="center"/>
              </w:trPr>
              <w:tc>
                <w:tcPr>
                  <w:tcW w:w="206" w:type="pct"/>
                  <w:vMerge w:val="continue"/>
                  <w:shd w:val="clear" w:color="auto" w:fill="auto"/>
                  <w:vAlign w:val="center"/>
                </w:tcPr>
                <w:p w14:paraId="4C6CA61F">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863" w:type="pct"/>
                  <w:gridSpan w:val="3"/>
                  <w:vMerge w:val="continue"/>
                  <w:shd w:val="clear" w:color="auto" w:fill="auto"/>
                  <w:vAlign w:val="center"/>
                </w:tcPr>
                <w:p w14:paraId="5CCF0AE0">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386" w:type="pct"/>
                  <w:shd w:val="clear" w:color="auto" w:fill="auto"/>
                  <w:vAlign w:val="center"/>
                </w:tcPr>
                <w:p w14:paraId="67B4F3C4">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接管量</w:t>
                  </w:r>
                </w:p>
              </w:tc>
              <w:tc>
                <w:tcPr>
                  <w:tcW w:w="345" w:type="pct"/>
                  <w:shd w:val="clear" w:color="auto" w:fill="auto"/>
                  <w:vAlign w:val="center"/>
                </w:tcPr>
                <w:p w14:paraId="0E4294B9">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环境</w:t>
                  </w:r>
                </w:p>
                <w:p w14:paraId="12A6B437">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排放量</w:t>
                  </w:r>
                </w:p>
              </w:tc>
              <w:tc>
                <w:tcPr>
                  <w:tcW w:w="386" w:type="pct"/>
                  <w:shd w:val="clear" w:color="auto" w:fill="auto"/>
                  <w:vAlign w:val="center"/>
                </w:tcPr>
                <w:p w14:paraId="2104BEEE">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接管量</w:t>
                  </w:r>
                </w:p>
              </w:tc>
              <w:tc>
                <w:tcPr>
                  <w:tcW w:w="391" w:type="pct"/>
                  <w:shd w:val="clear" w:color="auto" w:fill="auto"/>
                  <w:vAlign w:val="center"/>
                </w:tcPr>
                <w:p w14:paraId="27DB90AE">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环境</w:t>
                  </w:r>
                </w:p>
                <w:p w14:paraId="20AB7912">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排放量</w:t>
                  </w:r>
                </w:p>
              </w:tc>
              <w:tc>
                <w:tcPr>
                  <w:tcW w:w="331" w:type="pct"/>
                  <w:shd w:val="clear" w:color="auto" w:fill="auto"/>
                  <w:vAlign w:val="center"/>
                </w:tcPr>
                <w:p w14:paraId="064975CB">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接管量</w:t>
                  </w:r>
                </w:p>
              </w:tc>
              <w:tc>
                <w:tcPr>
                  <w:tcW w:w="343" w:type="pct"/>
                  <w:gridSpan w:val="2"/>
                  <w:shd w:val="clear" w:color="auto" w:fill="auto"/>
                  <w:vAlign w:val="center"/>
                </w:tcPr>
                <w:p w14:paraId="6BFD250B">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环境</w:t>
                  </w:r>
                </w:p>
                <w:p w14:paraId="334E5118">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排放量</w:t>
                  </w:r>
                </w:p>
              </w:tc>
              <w:tc>
                <w:tcPr>
                  <w:tcW w:w="441" w:type="pct"/>
                  <w:shd w:val="clear" w:color="auto" w:fill="auto"/>
                  <w:vAlign w:val="center"/>
                </w:tcPr>
                <w:p w14:paraId="2B525278">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接管量</w:t>
                  </w:r>
                </w:p>
              </w:tc>
              <w:tc>
                <w:tcPr>
                  <w:tcW w:w="490" w:type="pct"/>
                  <w:shd w:val="clear" w:color="auto" w:fill="auto"/>
                  <w:vAlign w:val="center"/>
                </w:tcPr>
                <w:p w14:paraId="63C4DACE">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环境</w:t>
                  </w:r>
                </w:p>
                <w:p w14:paraId="372EF9F0">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排放量</w:t>
                  </w:r>
                </w:p>
              </w:tc>
              <w:tc>
                <w:tcPr>
                  <w:tcW w:w="355" w:type="pct"/>
                  <w:shd w:val="clear" w:color="auto" w:fill="auto"/>
                  <w:vAlign w:val="center"/>
                </w:tcPr>
                <w:p w14:paraId="19408211">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接管量</w:t>
                  </w:r>
                </w:p>
              </w:tc>
              <w:tc>
                <w:tcPr>
                  <w:tcW w:w="459" w:type="pct"/>
                  <w:shd w:val="clear" w:color="auto" w:fill="auto"/>
                  <w:vAlign w:val="center"/>
                </w:tcPr>
                <w:p w14:paraId="6D1A1875">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环境</w:t>
                  </w:r>
                </w:p>
                <w:p w14:paraId="2002BA1C">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排放量</w:t>
                  </w:r>
                </w:p>
              </w:tc>
            </w:tr>
            <w:tr w14:paraId="6C362A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57" w:hRule="atLeast"/>
                <w:jc w:val="center"/>
              </w:trPr>
              <w:tc>
                <w:tcPr>
                  <w:tcW w:w="206" w:type="pct"/>
                  <w:vMerge w:val="continue"/>
                  <w:shd w:val="clear" w:color="auto" w:fill="auto"/>
                  <w:vAlign w:val="center"/>
                </w:tcPr>
                <w:p w14:paraId="7A652F62">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407" w:type="pct"/>
                  <w:gridSpan w:val="2"/>
                  <w:shd w:val="clear" w:color="auto" w:fill="auto"/>
                  <w:vAlign w:val="center"/>
                </w:tcPr>
                <w:p w14:paraId="23D01186">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有组织</w:t>
                  </w:r>
                </w:p>
              </w:tc>
              <w:tc>
                <w:tcPr>
                  <w:tcW w:w="456" w:type="pct"/>
                  <w:shd w:val="clear" w:color="auto" w:fill="auto"/>
                  <w:vAlign w:val="center"/>
                </w:tcPr>
                <w:p w14:paraId="0A38BF16">
                  <w:pPr>
                    <w:jc w:val="center"/>
                    <w:rPr>
                      <w:rFonts w:hint="default" w:ascii="Times New Roman" w:hAnsi="Times New Roman" w:eastAsia="宋体" w:cs="Times New Roman"/>
                      <w:color w:val="auto"/>
                      <w:sz w:val="21"/>
                      <w:szCs w:val="21"/>
                      <w:lang w:val="en-US" w:eastAsia="zh-CN"/>
                    </w:rPr>
                  </w:pPr>
                  <w:r>
                    <w:rPr>
                      <w:color w:val="auto"/>
                      <w:szCs w:val="21"/>
                    </w:rPr>
                    <w:t>油烟</w:t>
                  </w:r>
                </w:p>
              </w:tc>
              <w:tc>
                <w:tcPr>
                  <w:tcW w:w="731" w:type="pct"/>
                  <w:gridSpan w:val="2"/>
                  <w:shd w:val="clear" w:color="auto" w:fill="auto"/>
                  <w:vAlign w:val="center"/>
                </w:tcPr>
                <w:p w14:paraId="280E3714">
                  <w:pPr>
                    <w:jc w:val="center"/>
                    <w:rPr>
                      <w:rFonts w:hint="default" w:ascii="Times New Roman" w:hAnsi="Times New Roman" w:eastAsia="宋体" w:cs="Times New Roman"/>
                      <w:bCs/>
                      <w:color w:val="auto"/>
                      <w:sz w:val="21"/>
                      <w:szCs w:val="21"/>
                      <w:lang w:val="en-US" w:eastAsia="zh-CN"/>
                    </w:rPr>
                  </w:pPr>
                  <w:r>
                    <w:rPr>
                      <w:color w:val="auto"/>
                      <w:szCs w:val="21"/>
                    </w:rPr>
                    <w:t>0.09205</w:t>
                  </w:r>
                </w:p>
              </w:tc>
              <w:tc>
                <w:tcPr>
                  <w:tcW w:w="778" w:type="pct"/>
                  <w:gridSpan w:val="2"/>
                  <w:shd w:val="clear" w:color="auto" w:fill="auto"/>
                  <w:vAlign w:val="center"/>
                </w:tcPr>
                <w:p w14:paraId="12592973">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w:t>
                  </w:r>
                </w:p>
              </w:tc>
              <w:tc>
                <w:tcPr>
                  <w:tcW w:w="674" w:type="pct"/>
                  <w:gridSpan w:val="3"/>
                  <w:shd w:val="clear" w:color="auto" w:fill="auto"/>
                  <w:vAlign w:val="center"/>
                </w:tcPr>
                <w:p w14:paraId="6E42598C">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0</w:t>
                  </w:r>
                </w:p>
              </w:tc>
              <w:tc>
                <w:tcPr>
                  <w:tcW w:w="931" w:type="pct"/>
                  <w:gridSpan w:val="2"/>
                  <w:shd w:val="clear" w:color="auto" w:fill="auto"/>
                  <w:vAlign w:val="center"/>
                </w:tcPr>
                <w:p w14:paraId="0CE753B1">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sz w:val="21"/>
                      <w:szCs w:val="21"/>
                      <w:lang w:val="en-US" w:eastAsia="zh-CN"/>
                    </w:rPr>
                    <w:t>/</w:t>
                  </w:r>
                </w:p>
              </w:tc>
              <w:tc>
                <w:tcPr>
                  <w:tcW w:w="814" w:type="pct"/>
                  <w:gridSpan w:val="2"/>
                  <w:shd w:val="clear" w:color="auto" w:fill="auto"/>
                  <w:vAlign w:val="center"/>
                </w:tcPr>
                <w:p w14:paraId="1F6F372E">
                  <w:pPr>
                    <w:jc w:val="center"/>
                    <w:rPr>
                      <w:rFonts w:hint="default" w:cs="Times New Roman"/>
                      <w:bCs/>
                      <w:color w:val="auto"/>
                      <w:sz w:val="21"/>
                      <w:szCs w:val="21"/>
                      <w:lang w:val="en-US" w:eastAsia="zh-CN"/>
                    </w:rPr>
                  </w:pPr>
                  <w:r>
                    <w:rPr>
                      <w:color w:val="auto"/>
                      <w:szCs w:val="21"/>
                    </w:rPr>
                    <w:t>0.09205</w:t>
                  </w:r>
                </w:p>
              </w:tc>
            </w:tr>
            <w:tr w14:paraId="28C828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57" w:hRule="atLeast"/>
                <w:jc w:val="center"/>
              </w:trPr>
              <w:tc>
                <w:tcPr>
                  <w:tcW w:w="206" w:type="pct"/>
                  <w:vMerge w:val="continue"/>
                  <w:shd w:val="clear" w:color="auto" w:fill="auto"/>
                  <w:vAlign w:val="center"/>
                </w:tcPr>
                <w:p w14:paraId="14F7C8B8">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407" w:type="pct"/>
                  <w:gridSpan w:val="2"/>
                  <w:vMerge w:val="restart"/>
                  <w:shd w:val="clear" w:color="auto" w:fill="auto"/>
                  <w:vAlign w:val="center"/>
                </w:tcPr>
                <w:p w14:paraId="3D3133E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lang w:eastAsia="zh-CN" w:bidi="ar"/>
                    </w:rPr>
                  </w:pPr>
                  <w:r>
                    <w:rPr>
                      <w:rFonts w:hint="default" w:ascii="Times New Roman" w:hAnsi="Times New Roman" w:eastAsia="宋体" w:cs="Times New Roman"/>
                      <w:b w:val="0"/>
                      <w:bCs w:val="0"/>
                      <w:color w:val="auto"/>
                      <w:kern w:val="0"/>
                      <w:sz w:val="21"/>
                      <w:szCs w:val="21"/>
                      <w:lang w:eastAsia="zh-CN" w:bidi="ar"/>
                    </w:rPr>
                    <w:t>无组织</w:t>
                  </w:r>
                </w:p>
              </w:tc>
              <w:tc>
                <w:tcPr>
                  <w:tcW w:w="456" w:type="pct"/>
                  <w:shd w:val="clear" w:color="auto" w:fill="auto"/>
                  <w:vAlign w:val="center"/>
                </w:tcPr>
                <w:p w14:paraId="72645B6D">
                  <w:pPr>
                    <w:jc w:val="center"/>
                    <w:rPr>
                      <w:rFonts w:hint="default" w:ascii="Times New Roman" w:hAnsi="Times New Roman" w:eastAsia="宋体" w:cs="Times New Roman"/>
                      <w:color w:val="auto"/>
                      <w:sz w:val="21"/>
                      <w:szCs w:val="21"/>
                      <w:lang w:val="en-US" w:eastAsia="zh-CN"/>
                    </w:rPr>
                  </w:pPr>
                  <w:r>
                    <w:rPr>
                      <w:color w:val="auto"/>
                      <w:szCs w:val="21"/>
                    </w:rPr>
                    <w:t>氨</w:t>
                  </w:r>
                </w:p>
              </w:tc>
              <w:tc>
                <w:tcPr>
                  <w:tcW w:w="731" w:type="pct"/>
                  <w:gridSpan w:val="2"/>
                  <w:tcBorders>
                    <w:bottom w:val="single" w:color="000000" w:sz="4" w:space="0"/>
                  </w:tcBorders>
                  <w:shd w:val="clear" w:color="auto" w:fill="auto"/>
                  <w:vAlign w:val="center"/>
                </w:tcPr>
                <w:p w14:paraId="456DAA14">
                  <w:pPr>
                    <w:jc w:val="center"/>
                    <w:rPr>
                      <w:rFonts w:hint="eastAsia" w:cs="Times New Roman"/>
                      <w:bCs/>
                      <w:color w:val="auto"/>
                      <w:sz w:val="21"/>
                      <w:szCs w:val="21"/>
                      <w:lang w:val="en-US" w:eastAsia="zh-CN"/>
                    </w:rPr>
                  </w:pPr>
                  <w:r>
                    <w:rPr>
                      <w:color w:val="auto"/>
                      <w:szCs w:val="21"/>
                    </w:rPr>
                    <w:t>0.26</w:t>
                  </w:r>
                </w:p>
              </w:tc>
              <w:tc>
                <w:tcPr>
                  <w:tcW w:w="778" w:type="pct"/>
                  <w:gridSpan w:val="2"/>
                  <w:tcBorders>
                    <w:bottom w:val="single" w:color="000000" w:sz="4" w:space="0"/>
                  </w:tcBorders>
                  <w:shd w:val="clear" w:color="auto" w:fill="auto"/>
                  <w:vAlign w:val="center"/>
                </w:tcPr>
                <w:p w14:paraId="706E42C2">
                  <w:pPr>
                    <w:jc w:val="center"/>
                    <w:rPr>
                      <w:rFonts w:hint="default"/>
                      <w:color w:val="auto"/>
                      <w:sz w:val="21"/>
                      <w:szCs w:val="21"/>
                      <w:lang w:val="en-US" w:eastAsia="zh-CN"/>
                    </w:rPr>
                  </w:pPr>
                  <w:r>
                    <w:rPr>
                      <w:rFonts w:hint="eastAsia"/>
                      <w:color w:val="auto"/>
                      <w:sz w:val="21"/>
                      <w:szCs w:val="21"/>
                      <w:lang w:val="en-US" w:eastAsia="zh-CN"/>
                    </w:rPr>
                    <w:t>/</w:t>
                  </w:r>
                </w:p>
              </w:tc>
              <w:tc>
                <w:tcPr>
                  <w:tcW w:w="674" w:type="pct"/>
                  <w:gridSpan w:val="3"/>
                  <w:tcBorders>
                    <w:bottom w:val="single" w:color="000000" w:sz="4" w:space="0"/>
                  </w:tcBorders>
                  <w:shd w:val="clear" w:color="auto" w:fill="auto"/>
                  <w:vAlign w:val="center"/>
                </w:tcPr>
                <w:p w14:paraId="04D3B210">
                  <w:pPr>
                    <w:keepNext w:val="0"/>
                    <w:keepLines w:val="0"/>
                    <w:pageBreakBefore w:val="0"/>
                    <w:widowControl/>
                    <w:kinsoku/>
                    <w:wordWrap/>
                    <w:overflowPunct/>
                    <w:topLinePunct w:val="0"/>
                    <w:autoSpaceDE/>
                    <w:autoSpaceDN/>
                    <w:bidi w:val="0"/>
                    <w:adjustRightInd w:val="0"/>
                    <w:snapToGrid w:val="0"/>
                    <w:jc w:val="center"/>
                    <w:textAlignment w:val="auto"/>
                    <w:rPr>
                      <w:rFonts w:hint="eastAsia" w:cs="Times New Roman"/>
                      <w:bCs/>
                      <w:color w:val="auto"/>
                      <w:sz w:val="21"/>
                      <w:szCs w:val="21"/>
                      <w:lang w:val="en-US" w:eastAsia="zh-CN"/>
                    </w:rPr>
                  </w:pPr>
                  <w:r>
                    <w:rPr>
                      <w:rFonts w:hint="eastAsia" w:cs="Times New Roman"/>
                      <w:bCs/>
                      <w:color w:val="auto"/>
                      <w:sz w:val="21"/>
                      <w:szCs w:val="21"/>
                      <w:lang w:val="en-US" w:eastAsia="zh-CN"/>
                    </w:rPr>
                    <w:t>0</w:t>
                  </w:r>
                </w:p>
              </w:tc>
              <w:tc>
                <w:tcPr>
                  <w:tcW w:w="931" w:type="pct"/>
                  <w:gridSpan w:val="2"/>
                  <w:tcBorders>
                    <w:bottom w:val="single" w:color="000000" w:sz="4" w:space="0"/>
                  </w:tcBorders>
                  <w:shd w:val="clear" w:color="auto" w:fill="auto"/>
                  <w:vAlign w:val="center"/>
                </w:tcPr>
                <w:p w14:paraId="1CC63A4B">
                  <w:pPr>
                    <w:jc w:val="center"/>
                    <w:rPr>
                      <w:rFonts w:hint="eastAsia"/>
                      <w:color w:val="auto"/>
                      <w:sz w:val="21"/>
                      <w:szCs w:val="21"/>
                      <w:lang w:val="en-US" w:eastAsia="zh-CN"/>
                    </w:rPr>
                  </w:pPr>
                  <w:r>
                    <w:rPr>
                      <w:rFonts w:hint="eastAsia"/>
                      <w:color w:val="auto"/>
                      <w:sz w:val="21"/>
                      <w:szCs w:val="21"/>
                      <w:lang w:val="en-US" w:eastAsia="zh-CN"/>
                    </w:rPr>
                    <w:t>/</w:t>
                  </w:r>
                </w:p>
              </w:tc>
              <w:tc>
                <w:tcPr>
                  <w:tcW w:w="814" w:type="pct"/>
                  <w:gridSpan w:val="2"/>
                  <w:tcBorders>
                    <w:bottom w:val="single" w:color="000000" w:sz="4" w:space="0"/>
                  </w:tcBorders>
                  <w:shd w:val="clear" w:color="auto" w:fill="auto"/>
                  <w:vAlign w:val="center"/>
                </w:tcPr>
                <w:p w14:paraId="594ECF8E">
                  <w:pPr>
                    <w:jc w:val="center"/>
                    <w:rPr>
                      <w:rFonts w:hint="eastAsia"/>
                      <w:color w:val="auto"/>
                      <w:sz w:val="21"/>
                      <w:szCs w:val="21"/>
                      <w:lang w:val="en-US" w:eastAsia="zh-CN"/>
                    </w:rPr>
                  </w:pPr>
                  <w:r>
                    <w:rPr>
                      <w:color w:val="auto"/>
                      <w:szCs w:val="21"/>
                    </w:rPr>
                    <w:t>0.26</w:t>
                  </w:r>
                </w:p>
              </w:tc>
            </w:tr>
            <w:tr w14:paraId="10C410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4" w:hRule="atLeast"/>
                <w:jc w:val="center"/>
              </w:trPr>
              <w:tc>
                <w:tcPr>
                  <w:tcW w:w="206" w:type="pct"/>
                  <w:vMerge w:val="continue"/>
                  <w:shd w:val="clear" w:color="auto" w:fill="auto"/>
                  <w:vAlign w:val="center"/>
                </w:tcPr>
                <w:p w14:paraId="0E7BCBCB">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407" w:type="pct"/>
                  <w:gridSpan w:val="2"/>
                  <w:vMerge w:val="continue"/>
                  <w:shd w:val="clear" w:color="auto" w:fill="auto"/>
                  <w:vAlign w:val="center"/>
                </w:tcPr>
                <w:p w14:paraId="7817554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lang w:eastAsia="zh-CN" w:bidi="ar"/>
                    </w:rPr>
                  </w:pPr>
                </w:p>
              </w:tc>
              <w:tc>
                <w:tcPr>
                  <w:tcW w:w="456" w:type="pct"/>
                  <w:shd w:val="clear" w:color="auto" w:fill="auto"/>
                  <w:vAlign w:val="center"/>
                </w:tcPr>
                <w:p w14:paraId="0D888B05">
                  <w:pPr>
                    <w:jc w:val="center"/>
                    <w:rPr>
                      <w:rFonts w:hint="default" w:ascii="Times New Roman" w:hAnsi="Times New Roman" w:eastAsia="宋体" w:cs="Times New Roman"/>
                      <w:color w:val="auto"/>
                      <w:sz w:val="21"/>
                      <w:szCs w:val="21"/>
                      <w:lang w:val="en-US" w:eastAsia="zh-CN"/>
                    </w:rPr>
                  </w:pPr>
                  <w:r>
                    <w:rPr>
                      <w:color w:val="auto"/>
                      <w:szCs w:val="21"/>
                    </w:rPr>
                    <w:t>硫化氢</w:t>
                  </w:r>
                </w:p>
              </w:tc>
              <w:tc>
                <w:tcPr>
                  <w:tcW w:w="731" w:type="pct"/>
                  <w:gridSpan w:val="2"/>
                  <w:tcBorders>
                    <w:bottom w:val="single" w:color="000000" w:sz="4" w:space="0"/>
                  </w:tcBorders>
                  <w:shd w:val="clear" w:color="auto" w:fill="auto"/>
                  <w:vAlign w:val="center"/>
                </w:tcPr>
                <w:p w14:paraId="7B2635C6">
                  <w:pPr>
                    <w:jc w:val="center"/>
                    <w:rPr>
                      <w:rFonts w:hint="default" w:ascii="Times New Roman" w:hAnsi="Times New Roman" w:eastAsia="宋体" w:cs="Times New Roman"/>
                      <w:bCs/>
                      <w:color w:val="auto"/>
                      <w:sz w:val="21"/>
                      <w:szCs w:val="21"/>
                      <w:lang w:val="en-US" w:eastAsia="zh-CN"/>
                    </w:rPr>
                  </w:pPr>
                  <w:r>
                    <w:rPr>
                      <w:color w:val="auto"/>
                      <w:szCs w:val="21"/>
                    </w:rPr>
                    <w:t>0.01</w:t>
                  </w:r>
                </w:p>
              </w:tc>
              <w:tc>
                <w:tcPr>
                  <w:tcW w:w="778" w:type="pct"/>
                  <w:gridSpan w:val="2"/>
                  <w:tcBorders>
                    <w:bottom w:val="single" w:color="000000" w:sz="4" w:space="0"/>
                  </w:tcBorders>
                  <w:shd w:val="clear" w:color="auto" w:fill="auto"/>
                  <w:vAlign w:val="center"/>
                </w:tcPr>
                <w:p w14:paraId="6C897386">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674" w:type="pct"/>
                  <w:gridSpan w:val="3"/>
                  <w:tcBorders>
                    <w:bottom w:val="single" w:color="000000" w:sz="4" w:space="0"/>
                  </w:tcBorders>
                  <w:shd w:val="clear" w:color="auto" w:fill="auto"/>
                  <w:vAlign w:val="center"/>
                </w:tcPr>
                <w:p w14:paraId="37FDF21A">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0</w:t>
                  </w:r>
                </w:p>
              </w:tc>
              <w:tc>
                <w:tcPr>
                  <w:tcW w:w="931" w:type="pct"/>
                  <w:gridSpan w:val="2"/>
                  <w:tcBorders>
                    <w:bottom w:val="single" w:color="000000" w:sz="4" w:space="0"/>
                  </w:tcBorders>
                  <w:shd w:val="clear" w:color="auto" w:fill="auto"/>
                  <w:vAlign w:val="center"/>
                </w:tcPr>
                <w:p w14:paraId="4DC48C9E">
                  <w:pPr>
                    <w:jc w:val="center"/>
                    <w:rPr>
                      <w:rFonts w:hint="default" w:ascii="Times New Roman" w:hAnsi="Times New Roman" w:eastAsia="宋体" w:cs="Times New Roman"/>
                      <w:bCs/>
                      <w:color w:val="auto"/>
                      <w:sz w:val="21"/>
                      <w:szCs w:val="21"/>
                      <w:lang w:val="en-US" w:eastAsia="zh-CN"/>
                    </w:rPr>
                  </w:pPr>
                  <w:r>
                    <w:rPr>
                      <w:rFonts w:hint="eastAsia" w:cs="Times New Roman"/>
                      <w:color w:val="auto"/>
                      <w:kern w:val="2"/>
                      <w:sz w:val="21"/>
                      <w:szCs w:val="21"/>
                      <w:lang w:val="en-US" w:eastAsia="zh-CN" w:bidi="ar-SA"/>
                    </w:rPr>
                    <w:t>/</w:t>
                  </w:r>
                </w:p>
              </w:tc>
              <w:tc>
                <w:tcPr>
                  <w:tcW w:w="814" w:type="pct"/>
                  <w:gridSpan w:val="2"/>
                  <w:tcBorders>
                    <w:bottom w:val="single" w:color="000000" w:sz="4" w:space="0"/>
                  </w:tcBorders>
                  <w:shd w:val="clear" w:color="auto" w:fill="auto"/>
                  <w:vAlign w:val="center"/>
                </w:tcPr>
                <w:p w14:paraId="54F39E70">
                  <w:pPr>
                    <w:jc w:val="center"/>
                    <w:rPr>
                      <w:rFonts w:hint="default" w:cs="Times New Roman"/>
                      <w:bCs/>
                      <w:color w:val="auto"/>
                      <w:sz w:val="21"/>
                      <w:szCs w:val="21"/>
                      <w:lang w:val="en-US" w:eastAsia="zh-CN"/>
                    </w:rPr>
                  </w:pPr>
                  <w:r>
                    <w:rPr>
                      <w:color w:val="auto"/>
                      <w:szCs w:val="21"/>
                    </w:rPr>
                    <w:t>0.01</w:t>
                  </w:r>
                </w:p>
              </w:tc>
            </w:tr>
            <w:tr w14:paraId="1E542C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57" w:hRule="atLeast"/>
                <w:jc w:val="center"/>
              </w:trPr>
              <w:tc>
                <w:tcPr>
                  <w:tcW w:w="206" w:type="pct"/>
                  <w:vMerge w:val="continue"/>
                  <w:shd w:val="clear" w:color="auto" w:fill="auto"/>
                  <w:vAlign w:val="center"/>
                </w:tcPr>
                <w:p w14:paraId="28C5B083">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407" w:type="pct"/>
                  <w:gridSpan w:val="2"/>
                  <w:vMerge w:val="continue"/>
                  <w:shd w:val="clear" w:color="auto" w:fill="auto"/>
                  <w:vAlign w:val="center"/>
                </w:tcPr>
                <w:p w14:paraId="574EF1D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lang w:bidi="ar"/>
                    </w:rPr>
                  </w:pPr>
                </w:p>
              </w:tc>
              <w:tc>
                <w:tcPr>
                  <w:tcW w:w="456" w:type="pct"/>
                  <w:shd w:val="clear" w:color="auto" w:fill="auto"/>
                  <w:vAlign w:val="center"/>
                </w:tcPr>
                <w:p w14:paraId="70CAC588">
                  <w:pPr>
                    <w:jc w:val="center"/>
                    <w:rPr>
                      <w:rFonts w:hint="default" w:ascii="Times New Roman" w:hAnsi="Times New Roman" w:eastAsia="宋体" w:cs="Times New Roman"/>
                      <w:color w:val="auto"/>
                      <w:sz w:val="21"/>
                      <w:szCs w:val="21"/>
                      <w:lang w:val="en-US" w:eastAsia="zh-CN"/>
                    </w:rPr>
                  </w:pPr>
                  <w:r>
                    <w:rPr>
                      <w:rFonts w:hint="eastAsia"/>
                      <w:color w:val="auto"/>
                      <w:szCs w:val="21"/>
                    </w:rPr>
                    <w:t>非甲烷总烃</w:t>
                  </w:r>
                </w:p>
              </w:tc>
              <w:tc>
                <w:tcPr>
                  <w:tcW w:w="731" w:type="pct"/>
                  <w:gridSpan w:val="2"/>
                  <w:tcBorders>
                    <w:bottom w:val="single" w:color="000000" w:sz="4" w:space="0"/>
                  </w:tcBorders>
                  <w:shd w:val="clear" w:color="auto" w:fill="auto"/>
                  <w:vAlign w:val="center"/>
                </w:tcPr>
                <w:p w14:paraId="5C3C3F91">
                  <w:pPr>
                    <w:jc w:val="center"/>
                    <w:rPr>
                      <w:rFonts w:hint="default" w:ascii="Times New Roman" w:hAnsi="Times New Roman" w:eastAsia="宋体" w:cs="Times New Roman"/>
                      <w:bCs/>
                      <w:color w:val="auto"/>
                      <w:sz w:val="21"/>
                      <w:szCs w:val="21"/>
                      <w:lang w:val="en-US" w:eastAsia="zh-CN"/>
                    </w:rPr>
                  </w:pPr>
                  <w:r>
                    <w:rPr>
                      <w:rFonts w:hint="eastAsia"/>
                      <w:color w:val="auto"/>
                      <w:szCs w:val="21"/>
                    </w:rPr>
                    <w:t>1</w:t>
                  </w:r>
                  <w:r>
                    <w:rPr>
                      <w:color w:val="auto"/>
                      <w:szCs w:val="21"/>
                    </w:rPr>
                    <w:t>.8</w:t>
                  </w:r>
                </w:p>
              </w:tc>
              <w:tc>
                <w:tcPr>
                  <w:tcW w:w="778" w:type="pct"/>
                  <w:gridSpan w:val="2"/>
                  <w:tcBorders>
                    <w:bottom w:val="single" w:color="000000" w:sz="4" w:space="0"/>
                  </w:tcBorders>
                  <w:shd w:val="clear" w:color="auto" w:fill="auto"/>
                  <w:vAlign w:val="center"/>
                </w:tcPr>
                <w:p w14:paraId="46BB21C4">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1.2</w:t>
                  </w:r>
                </w:p>
              </w:tc>
              <w:tc>
                <w:tcPr>
                  <w:tcW w:w="674" w:type="pct"/>
                  <w:gridSpan w:val="3"/>
                  <w:tcBorders>
                    <w:bottom w:val="single" w:color="000000" w:sz="4" w:space="0"/>
                  </w:tcBorders>
                  <w:shd w:val="clear" w:color="auto" w:fill="auto"/>
                  <w:vAlign w:val="center"/>
                </w:tcPr>
                <w:p w14:paraId="058EDDD8">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0</w:t>
                  </w:r>
                </w:p>
              </w:tc>
              <w:tc>
                <w:tcPr>
                  <w:tcW w:w="931" w:type="pct"/>
                  <w:gridSpan w:val="2"/>
                  <w:tcBorders>
                    <w:bottom w:val="single" w:color="000000" w:sz="4" w:space="0"/>
                  </w:tcBorders>
                  <w:shd w:val="clear" w:color="auto" w:fill="auto"/>
                  <w:vAlign w:val="center"/>
                </w:tcPr>
                <w:p w14:paraId="3FBE13C3">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+1.2</w:t>
                  </w:r>
                </w:p>
              </w:tc>
              <w:tc>
                <w:tcPr>
                  <w:tcW w:w="814" w:type="pct"/>
                  <w:gridSpan w:val="2"/>
                  <w:tcBorders>
                    <w:bottom w:val="single" w:color="000000" w:sz="4" w:space="0"/>
                  </w:tcBorders>
                  <w:shd w:val="clear" w:color="auto" w:fill="auto"/>
                  <w:vAlign w:val="center"/>
                </w:tcPr>
                <w:p w14:paraId="323EFC4A">
                  <w:pPr>
                    <w:keepNext w:val="0"/>
                    <w:keepLines w:val="0"/>
                    <w:pageBreakBefore w:val="0"/>
                    <w:widowControl/>
                    <w:kinsoku/>
                    <w:wordWrap/>
                    <w:overflowPunct/>
                    <w:topLinePunct w:val="0"/>
                    <w:autoSpaceDE/>
                    <w:autoSpaceDN/>
                    <w:bidi w:val="0"/>
                    <w:adjustRightInd w:val="0"/>
                    <w:snapToGrid w:val="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3.0</w:t>
                  </w:r>
                </w:p>
              </w:tc>
            </w:tr>
            <w:tr w14:paraId="0A4DF6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57" w:hRule="atLeast"/>
                <w:jc w:val="center"/>
              </w:trPr>
              <w:tc>
                <w:tcPr>
                  <w:tcW w:w="206" w:type="pct"/>
                  <w:vMerge w:val="restart"/>
                  <w:shd w:val="clear" w:color="auto" w:fill="auto"/>
                  <w:vAlign w:val="center"/>
                </w:tcPr>
                <w:p w14:paraId="46D78410">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w:t>
                  </w:r>
                </w:p>
              </w:tc>
              <w:tc>
                <w:tcPr>
                  <w:tcW w:w="219" w:type="pct"/>
                  <w:vMerge w:val="restart"/>
                  <w:shd w:val="clear" w:color="auto" w:fill="auto"/>
                  <w:vAlign w:val="center"/>
                </w:tcPr>
                <w:p w14:paraId="6F93176C">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lang w:eastAsia="zh-CN"/>
                    </w:rPr>
                    <w:t>综合</w:t>
                  </w:r>
                  <w:r>
                    <w:rPr>
                      <w:rFonts w:hint="default" w:ascii="Times New Roman" w:hAnsi="Times New Roman" w:eastAsia="宋体" w:cs="Times New Roman"/>
                      <w:color w:val="auto"/>
                      <w:sz w:val="21"/>
                      <w:szCs w:val="21"/>
                    </w:rPr>
                    <w:t>污水</w:t>
                  </w:r>
                </w:p>
              </w:tc>
              <w:tc>
                <w:tcPr>
                  <w:tcW w:w="644" w:type="pct"/>
                  <w:gridSpan w:val="2"/>
                  <w:shd w:val="clear" w:color="auto" w:fill="auto"/>
                  <w:vAlign w:val="center"/>
                </w:tcPr>
                <w:p w14:paraId="32CEAC93">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废水量（m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/a）</w:t>
                  </w:r>
                </w:p>
              </w:tc>
              <w:tc>
                <w:tcPr>
                  <w:tcW w:w="731" w:type="pct"/>
                  <w:gridSpan w:val="2"/>
                  <w:shd w:val="clear" w:color="auto" w:fill="auto"/>
                  <w:vAlign w:val="center"/>
                </w:tcPr>
                <w:p w14:paraId="3D6BC0CA">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z w:val="21"/>
                      <w:szCs w:val="21"/>
                      <w:lang w:val="en-US" w:eastAsia="zh-CN"/>
                    </w:rPr>
                  </w:pPr>
                  <w:r>
                    <w:rPr>
                      <w:color w:val="auto"/>
                      <w:sz w:val="21"/>
                      <w:szCs w:val="21"/>
                    </w:rPr>
                    <w:t>429074</w:t>
                  </w:r>
                </w:p>
              </w:tc>
              <w:tc>
                <w:tcPr>
                  <w:tcW w:w="778" w:type="pct"/>
                  <w:gridSpan w:val="2"/>
                  <w:shd w:val="clear" w:color="auto" w:fill="auto"/>
                  <w:vAlign w:val="center"/>
                </w:tcPr>
                <w:p w14:paraId="3CB5AC19">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148530</w:t>
                  </w:r>
                </w:p>
              </w:tc>
              <w:tc>
                <w:tcPr>
                  <w:tcW w:w="674" w:type="pct"/>
                  <w:gridSpan w:val="3"/>
                  <w:shd w:val="clear" w:color="auto" w:fill="auto"/>
                  <w:vAlign w:val="center"/>
                </w:tcPr>
                <w:p w14:paraId="1612220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bCs/>
                      <w:color w:val="auto"/>
                      <w:sz w:val="21"/>
                      <w:szCs w:val="21"/>
                      <w:lang w:val="en-US" w:eastAsia="zh-CN"/>
                    </w:rPr>
                    <w:t>283249</w:t>
                  </w:r>
                </w:p>
              </w:tc>
              <w:tc>
                <w:tcPr>
                  <w:tcW w:w="931" w:type="pct"/>
                  <w:gridSpan w:val="2"/>
                  <w:shd w:val="clear" w:color="auto" w:fill="auto"/>
                  <w:vAlign w:val="center"/>
                </w:tcPr>
                <w:p w14:paraId="1B94314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-134719</w:t>
                  </w:r>
                </w:p>
              </w:tc>
              <w:tc>
                <w:tcPr>
                  <w:tcW w:w="814" w:type="pct"/>
                  <w:gridSpan w:val="2"/>
                  <w:shd w:val="clear" w:color="auto" w:fill="auto"/>
                  <w:vAlign w:val="center"/>
                </w:tcPr>
                <w:p w14:paraId="5520D41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294355</w:t>
                  </w:r>
                </w:p>
              </w:tc>
            </w:tr>
            <w:tr w14:paraId="2533B2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92" w:hRule="atLeast"/>
                <w:jc w:val="center"/>
              </w:trPr>
              <w:tc>
                <w:tcPr>
                  <w:tcW w:w="206" w:type="pct"/>
                  <w:vMerge w:val="continue"/>
                  <w:shd w:val="clear" w:color="auto" w:fill="auto"/>
                  <w:vAlign w:val="center"/>
                </w:tcPr>
                <w:p w14:paraId="0BF38BFA">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219" w:type="pct"/>
                  <w:vMerge w:val="continue"/>
                  <w:shd w:val="clear" w:color="auto" w:fill="auto"/>
                  <w:vAlign w:val="center"/>
                </w:tcPr>
                <w:p w14:paraId="501477D3">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644" w:type="pct"/>
                  <w:gridSpan w:val="2"/>
                  <w:shd w:val="clear" w:color="auto" w:fill="auto"/>
                  <w:vAlign w:val="center"/>
                </w:tcPr>
                <w:p w14:paraId="57A8C4AC">
                  <w:pPr>
                    <w:jc w:val="center"/>
                    <w:rPr>
                      <w:rFonts w:hint="default" w:ascii="Times New Roman" w:hAnsi="Times New Roman" w:eastAsia="宋体" w:cs="Times New Roman"/>
                      <w:color w:val="auto"/>
                      <w:sz w:val="21"/>
                      <w:szCs w:val="21"/>
                    </w:rPr>
                  </w:pPr>
                  <w:r>
                    <w:rPr>
                      <w:color w:val="auto"/>
                      <w:sz w:val="21"/>
                      <w:szCs w:val="21"/>
                    </w:rPr>
                    <w:t>COD</w:t>
                  </w:r>
                </w:p>
              </w:tc>
              <w:tc>
                <w:tcPr>
                  <w:tcW w:w="386" w:type="pct"/>
                  <w:shd w:val="clear" w:color="auto" w:fill="auto"/>
                  <w:vAlign w:val="center"/>
                </w:tcPr>
                <w:p w14:paraId="688977B4">
                  <w:pPr>
                    <w:widowControl/>
                    <w:jc w:val="center"/>
                    <w:rPr>
                      <w:rFonts w:hint="default" w:ascii="Times New Roman" w:hAnsi="Times New Roman" w:eastAsia="宋体" w:cs="Times New Roman"/>
                      <w:bCs/>
                      <w:color w:val="auto"/>
                      <w:sz w:val="21"/>
                      <w:szCs w:val="21"/>
                      <w:lang w:val="en-US" w:eastAsia="zh-CN"/>
                    </w:rPr>
                  </w:pPr>
                  <w:r>
                    <w:rPr>
                      <w:rFonts w:hint="eastAsia"/>
                      <w:color w:val="auto"/>
                      <w:sz w:val="21"/>
                      <w:szCs w:val="21"/>
                    </w:rPr>
                    <w:t>57.40</w:t>
                  </w:r>
                </w:p>
              </w:tc>
              <w:tc>
                <w:tcPr>
                  <w:tcW w:w="345" w:type="pct"/>
                  <w:shd w:val="clear" w:color="auto" w:fill="auto"/>
                  <w:vAlign w:val="center"/>
                </w:tcPr>
                <w:p w14:paraId="0CA411AD">
                  <w:pPr>
                    <w:jc w:val="center"/>
                    <w:rPr>
                      <w:rFonts w:hint="default"/>
                      <w:color w:val="auto"/>
                      <w:sz w:val="21"/>
                      <w:szCs w:val="21"/>
                      <w:lang w:val="en-US" w:eastAsia="zh-CN"/>
                    </w:rPr>
                  </w:pPr>
                  <w:r>
                    <w:rPr>
                      <w:rFonts w:hint="eastAsia"/>
                      <w:color w:val="auto"/>
                      <w:sz w:val="21"/>
                      <w:szCs w:val="21"/>
                    </w:rPr>
                    <w:t>21.45</w:t>
                  </w:r>
                </w:p>
              </w:tc>
              <w:tc>
                <w:tcPr>
                  <w:tcW w:w="386" w:type="pct"/>
                  <w:shd w:val="clear" w:color="auto" w:fill="auto"/>
                  <w:vAlign w:val="center"/>
                </w:tcPr>
                <w:p w14:paraId="577F0719">
                  <w:pPr>
                    <w:keepNext w:val="0"/>
                    <w:keepLines w:val="0"/>
                    <w:widowControl/>
                    <w:suppressLineNumbers w:val="0"/>
                    <w:jc w:val="center"/>
                    <w:textAlignment w:val="center"/>
                    <w:rPr>
                      <w:rFonts w:hint="default" w:ascii="Times New Roman" w:hAnsi="Times New Roman" w:eastAsia="等线" w:cs="Times New Roman"/>
                      <w:color w:val="auto"/>
                      <w:kern w:val="2"/>
                      <w:sz w:val="21"/>
                      <w:szCs w:val="21"/>
                      <w:lang w:val="en-US" w:eastAsia="zh-CN" w:bidi="ar-SA"/>
                    </w:rPr>
                  </w:pPr>
                  <w:r>
                    <w:rPr>
                      <w:rFonts w:hint="eastAsia" w:cs="Times New Roman"/>
                      <w:i w:val="0"/>
                      <w:iCs w:val="0"/>
                      <w:color w:val="auto"/>
                      <w:kern w:val="0"/>
                      <w:sz w:val="21"/>
                      <w:szCs w:val="21"/>
                      <w:u w:val="none"/>
                      <w:lang w:val="en-US" w:eastAsia="zh-CN" w:bidi="ar"/>
                    </w:rPr>
                    <w:t>8.74</w:t>
                  </w:r>
                </w:p>
              </w:tc>
              <w:tc>
                <w:tcPr>
                  <w:tcW w:w="391" w:type="pct"/>
                  <w:shd w:val="clear" w:color="auto" w:fill="auto"/>
                  <w:vAlign w:val="center"/>
                </w:tcPr>
                <w:p w14:paraId="5C4D00F1">
                  <w:pPr>
                    <w:keepNext w:val="0"/>
                    <w:keepLines w:val="0"/>
                    <w:widowControl/>
                    <w:suppressLineNumbers w:val="0"/>
                    <w:jc w:val="center"/>
                    <w:textAlignment w:val="center"/>
                    <w:rPr>
                      <w:rFonts w:hint="default" w:ascii="Times New Roman" w:hAnsi="Times New Roman" w:eastAsia="等线"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7.43</w:t>
                  </w:r>
                </w:p>
              </w:tc>
              <w:tc>
                <w:tcPr>
                  <w:tcW w:w="358" w:type="pct"/>
                  <w:gridSpan w:val="2"/>
                  <w:shd w:val="clear" w:color="auto" w:fill="auto"/>
                  <w:vAlign w:val="center"/>
                </w:tcPr>
                <w:p w14:paraId="67319EC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26.09</w:t>
                  </w:r>
                </w:p>
              </w:tc>
              <w:tc>
                <w:tcPr>
                  <w:tcW w:w="316" w:type="pct"/>
                  <w:shd w:val="clear" w:color="auto" w:fill="auto"/>
                  <w:vAlign w:val="center"/>
                </w:tcPr>
                <w:p w14:paraId="4AC4EBF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14.16</w:t>
                  </w:r>
                </w:p>
              </w:tc>
              <w:tc>
                <w:tcPr>
                  <w:tcW w:w="441" w:type="pct"/>
                  <w:shd w:val="clear" w:color="auto" w:fill="auto"/>
                  <w:vAlign w:val="center"/>
                </w:tcPr>
                <w:p w14:paraId="6761C0B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-17.35</w:t>
                  </w:r>
                </w:p>
              </w:tc>
              <w:tc>
                <w:tcPr>
                  <w:tcW w:w="490" w:type="pct"/>
                  <w:shd w:val="clear" w:color="auto" w:fill="auto"/>
                  <w:vAlign w:val="center"/>
                </w:tcPr>
                <w:p w14:paraId="17FFBC5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-6.73</w:t>
                  </w:r>
                </w:p>
              </w:tc>
              <w:tc>
                <w:tcPr>
                  <w:tcW w:w="355" w:type="pct"/>
                  <w:shd w:val="clear" w:color="auto" w:fill="auto"/>
                  <w:vAlign w:val="center"/>
                </w:tcPr>
                <w:p w14:paraId="6E32408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40.05</w:t>
                  </w:r>
                </w:p>
              </w:tc>
              <w:tc>
                <w:tcPr>
                  <w:tcW w:w="459" w:type="pct"/>
                  <w:shd w:val="clear" w:color="auto" w:fill="auto"/>
                  <w:vAlign w:val="center"/>
                </w:tcPr>
                <w:p w14:paraId="6DB33C7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14.72</w:t>
                  </w:r>
                </w:p>
              </w:tc>
            </w:tr>
            <w:tr w14:paraId="7E5867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42" w:hRule="atLeast"/>
                <w:jc w:val="center"/>
              </w:trPr>
              <w:tc>
                <w:tcPr>
                  <w:tcW w:w="206" w:type="pct"/>
                  <w:vMerge w:val="continue"/>
                  <w:shd w:val="clear" w:color="auto" w:fill="auto"/>
                  <w:vAlign w:val="center"/>
                </w:tcPr>
                <w:p w14:paraId="51B618F7">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219" w:type="pct"/>
                  <w:vMerge w:val="continue"/>
                  <w:shd w:val="clear" w:color="auto" w:fill="auto"/>
                  <w:vAlign w:val="center"/>
                </w:tcPr>
                <w:p w14:paraId="27B496BF">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644" w:type="pct"/>
                  <w:gridSpan w:val="2"/>
                  <w:shd w:val="clear" w:color="auto" w:fill="auto"/>
                  <w:vAlign w:val="center"/>
                </w:tcPr>
                <w:p w14:paraId="23B2FCEB">
                  <w:pPr>
                    <w:jc w:val="center"/>
                    <w:rPr>
                      <w:rFonts w:hint="default" w:ascii="Times New Roman" w:hAnsi="Times New Roman" w:eastAsia="宋体" w:cs="Times New Roman"/>
                      <w:color w:val="auto"/>
                      <w:sz w:val="21"/>
                      <w:szCs w:val="21"/>
                    </w:rPr>
                  </w:pPr>
                  <w:r>
                    <w:rPr>
                      <w:rFonts w:hint="eastAsia"/>
                      <w:color w:val="auto"/>
                      <w:sz w:val="21"/>
                      <w:szCs w:val="21"/>
                    </w:rPr>
                    <w:t>B</w:t>
                  </w:r>
                  <w:r>
                    <w:rPr>
                      <w:color w:val="auto"/>
                      <w:sz w:val="21"/>
                      <w:szCs w:val="21"/>
                    </w:rPr>
                    <w:t>OD</w:t>
                  </w:r>
                  <w:r>
                    <w:rPr>
                      <w:color w:val="auto"/>
                      <w:sz w:val="21"/>
                      <w:szCs w:val="21"/>
                      <w:vertAlign w:val="subscript"/>
                    </w:rPr>
                    <w:t>5</w:t>
                  </w:r>
                </w:p>
              </w:tc>
              <w:tc>
                <w:tcPr>
                  <w:tcW w:w="386" w:type="pct"/>
                  <w:shd w:val="clear" w:color="auto" w:fill="auto"/>
                  <w:vAlign w:val="center"/>
                </w:tcPr>
                <w:p w14:paraId="5CB8187B">
                  <w:pPr>
                    <w:widowControl/>
                    <w:jc w:val="center"/>
                    <w:rPr>
                      <w:rFonts w:hint="default" w:ascii="Times New Roman" w:hAnsi="Times New Roman" w:eastAsia="宋体" w:cs="Times New Roman"/>
                      <w:bCs/>
                      <w:color w:val="auto"/>
                      <w:sz w:val="21"/>
                      <w:szCs w:val="21"/>
                      <w:lang w:val="en-US" w:eastAsia="zh-CN"/>
                    </w:rPr>
                  </w:pPr>
                  <w:r>
                    <w:rPr>
                      <w:rFonts w:hint="eastAsia"/>
                      <w:color w:val="auto"/>
                      <w:sz w:val="21"/>
                      <w:szCs w:val="21"/>
                    </w:rPr>
                    <w:t>36.49</w:t>
                  </w:r>
                </w:p>
              </w:tc>
              <w:tc>
                <w:tcPr>
                  <w:tcW w:w="345" w:type="pct"/>
                  <w:shd w:val="clear" w:color="auto" w:fill="auto"/>
                  <w:vAlign w:val="center"/>
                </w:tcPr>
                <w:p w14:paraId="11BF0C7A">
                  <w:pPr>
                    <w:jc w:val="center"/>
                    <w:rPr>
                      <w:rFonts w:hint="default"/>
                      <w:color w:val="auto"/>
                      <w:sz w:val="21"/>
                      <w:szCs w:val="21"/>
                      <w:lang w:val="en-US" w:eastAsia="zh-CN"/>
                    </w:rPr>
                  </w:pPr>
                  <w:r>
                    <w:rPr>
                      <w:rFonts w:hint="eastAsia"/>
                      <w:color w:val="auto"/>
                      <w:sz w:val="21"/>
                      <w:szCs w:val="21"/>
                    </w:rPr>
                    <w:t>4.29</w:t>
                  </w:r>
                </w:p>
              </w:tc>
              <w:tc>
                <w:tcPr>
                  <w:tcW w:w="386" w:type="pct"/>
                  <w:shd w:val="clear" w:color="auto" w:fill="auto"/>
                  <w:vAlign w:val="center"/>
                </w:tcPr>
                <w:p w14:paraId="1218A7DD">
                  <w:pPr>
                    <w:keepNext w:val="0"/>
                    <w:keepLines w:val="0"/>
                    <w:widowControl/>
                    <w:suppressLineNumbers w:val="0"/>
                    <w:jc w:val="center"/>
                    <w:textAlignment w:val="center"/>
                    <w:rPr>
                      <w:rFonts w:hint="default" w:ascii="Times New Roman" w:hAnsi="Times New Roman" w:eastAsia="等线" w:cs="Times New Roman"/>
                      <w:color w:val="auto"/>
                      <w:kern w:val="2"/>
                      <w:sz w:val="21"/>
                      <w:szCs w:val="21"/>
                      <w:lang w:val="en-US" w:eastAsia="zh-CN" w:bidi="ar-SA"/>
                    </w:rPr>
                  </w:pPr>
                  <w:r>
                    <w:rPr>
                      <w:rFonts w:hint="eastAsia" w:cs="Times New Roman"/>
                      <w:i w:val="0"/>
                      <w:iCs w:val="0"/>
                      <w:color w:val="auto"/>
                      <w:kern w:val="0"/>
                      <w:sz w:val="21"/>
                      <w:szCs w:val="21"/>
                      <w:u w:val="none"/>
                      <w:lang w:val="en-US" w:eastAsia="zh-CN" w:bidi="ar"/>
                    </w:rPr>
                    <w:t>13.06</w:t>
                  </w:r>
                </w:p>
              </w:tc>
              <w:tc>
                <w:tcPr>
                  <w:tcW w:w="391" w:type="pct"/>
                  <w:shd w:val="clear" w:color="auto" w:fill="auto"/>
                  <w:vAlign w:val="center"/>
                </w:tcPr>
                <w:p w14:paraId="26C9199B">
                  <w:pPr>
                    <w:keepNext w:val="0"/>
                    <w:keepLines w:val="0"/>
                    <w:widowControl/>
                    <w:suppressLineNumbers w:val="0"/>
                    <w:jc w:val="center"/>
                    <w:textAlignment w:val="center"/>
                    <w:rPr>
                      <w:rFonts w:hint="default" w:ascii="Times New Roman" w:hAnsi="Times New Roman" w:eastAsia="等线"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1.49</w:t>
                  </w:r>
                </w:p>
              </w:tc>
              <w:tc>
                <w:tcPr>
                  <w:tcW w:w="358" w:type="pct"/>
                  <w:gridSpan w:val="2"/>
                  <w:shd w:val="clear" w:color="auto" w:fill="auto"/>
                  <w:vAlign w:val="center"/>
                </w:tcPr>
                <w:p w14:paraId="632FE9D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24.09</w:t>
                  </w:r>
                </w:p>
              </w:tc>
              <w:tc>
                <w:tcPr>
                  <w:tcW w:w="316" w:type="pct"/>
                  <w:shd w:val="clear" w:color="auto" w:fill="auto"/>
                  <w:vAlign w:val="center"/>
                </w:tcPr>
                <w:p w14:paraId="21AFD63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2.83</w:t>
                  </w:r>
                </w:p>
              </w:tc>
              <w:tc>
                <w:tcPr>
                  <w:tcW w:w="441" w:type="pct"/>
                  <w:shd w:val="clear" w:color="auto" w:fill="auto"/>
                  <w:vAlign w:val="center"/>
                </w:tcPr>
                <w:p w14:paraId="5E4112A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-11.03</w:t>
                  </w:r>
                </w:p>
              </w:tc>
              <w:tc>
                <w:tcPr>
                  <w:tcW w:w="490" w:type="pct"/>
                  <w:shd w:val="clear" w:color="auto" w:fill="auto"/>
                  <w:vAlign w:val="center"/>
                </w:tcPr>
                <w:p w14:paraId="1DB223E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-1.34</w:t>
                  </w:r>
                </w:p>
              </w:tc>
              <w:tc>
                <w:tcPr>
                  <w:tcW w:w="355" w:type="pct"/>
                  <w:shd w:val="clear" w:color="auto" w:fill="auto"/>
                  <w:vAlign w:val="center"/>
                </w:tcPr>
                <w:p w14:paraId="54D3D7A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25.46</w:t>
                  </w:r>
                </w:p>
              </w:tc>
              <w:tc>
                <w:tcPr>
                  <w:tcW w:w="459" w:type="pct"/>
                  <w:shd w:val="clear" w:color="auto" w:fill="auto"/>
                  <w:vAlign w:val="center"/>
                </w:tcPr>
                <w:p w14:paraId="51FDD00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2.95</w:t>
                  </w:r>
                </w:p>
              </w:tc>
            </w:tr>
            <w:tr w14:paraId="2270A9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206" w:type="pct"/>
                  <w:vMerge w:val="continue"/>
                  <w:shd w:val="clear" w:color="auto" w:fill="auto"/>
                  <w:vAlign w:val="center"/>
                </w:tcPr>
                <w:p w14:paraId="235827A2">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219" w:type="pct"/>
                  <w:vMerge w:val="continue"/>
                  <w:shd w:val="clear" w:color="auto" w:fill="auto"/>
                  <w:vAlign w:val="center"/>
                </w:tcPr>
                <w:p w14:paraId="4B5915FC">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644" w:type="pct"/>
                  <w:gridSpan w:val="2"/>
                  <w:shd w:val="clear" w:color="auto" w:fill="auto"/>
                  <w:vAlign w:val="center"/>
                </w:tcPr>
                <w:p w14:paraId="212BE2CB">
                  <w:pPr>
                    <w:jc w:val="center"/>
                    <w:rPr>
                      <w:rFonts w:hint="default" w:ascii="Times New Roman" w:hAnsi="Times New Roman" w:eastAsia="宋体" w:cs="Times New Roman"/>
                      <w:color w:val="auto"/>
                      <w:sz w:val="21"/>
                      <w:szCs w:val="21"/>
                    </w:rPr>
                  </w:pPr>
                  <w:r>
                    <w:rPr>
                      <w:color w:val="auto"/>
                      <w:sz w:val="21"/>
                      <w:szCs w:val="21"/>
                    </w:rPr>
                    <w:t>SS</w:t>
                  </w:r>
                </w:p>
              </w:tc>
              <w:tc>
                <w:tcPr>
                  <w:tcW w:w="386" w:type="pct"/>
                  <w:shd w:val="clear" w:color="auto" w:fill="auto"/>
                  <w:vAlign w:val="center"/>
                </w:tcPr>
                <w:p w14:paraId="6E3D0FBC">
                  <w:pPr>
                    <w:widowControl/>
                    <w:jc w:val="center"/>
                    <w:rPr>
                      <w:rFonts w:hint="default" w:ascii="Times New Roman" w:hAnsi="Times New Roman" w:eastAsia="宋体" w:cs="Times New Roman"/>
                      <w:bCs/>
                      <w:color w:val="auto"/>
                      <w:sz w:val="21"/>
                      <w:szCs w:val="21"/>
                      <w:lang w:val="en-US" w:eastAsia="zh-CN"/>
                    </w:rPr>
                  </w:pPr>
                  <w:r>
                    <w:rPr>
                      <w:rFonts w:hint="eastAsia"/>
                      <w:color w:val="auto"/>
                      <w:sz w:val="21"/>
                      <w:szCs w:val="21"/>
                    </w:rPr>
                    <w:t>17.11</w:t>
                  </w:r>
                </w:p>
              </w:tc>
              <w:tc>
                <w:tcPr>
                  <w:tcW w:w="345" w:type="pct"/>
                  <w:shd w:val="clear" w:color="auto" w:fill="auto"/>
                  <w:vAlign w:val="center"/>
                </w:tcPr>
                <w:p w14:paraId="7AC4FA24">
                  <w:pPr>
                    <w:jc w:val="center"/>
                    <w:rPr>
                      <w:rFonts w:hint="default"/>
                      <w:color w:val="auto"/>
                      <w:sz w:val="21"/>
                      <w:szCs w:val="21"/>
                      <w:lang w:val="en-US" w:eastAsia="zh-CN"/>
                    </w:rPr>
                  </w:pPr>
                  <w:r>
                    <w:rPr>
                      <w:rFonts w:hint="eastAsia"/>
                      <w:color w:val="auto"/>
                      <w:sz w:val="21"/>
                      <w:szCs w:val="21"/>
                    </w:rPr>
                    <w:t>4.29</w:t>
                  </w:r>
                </w:p>
              </w:tc>
              <w:tc>
                <w:tcPr>
                  <w:tcW w:w="386" w:type="pct"/>
                  <w:shd w:val="clear" w:color="auto" w:fill="auto"/>
                  <w:vAlign w:val="center"/>
                </w:tcPr>
                <w:p w14:paraId="1D3D1A0F">
                  <w:pPr>
                    <w:keepNext w:val="0"/>
                    <w:keepLines w:val="0"/>
                    <w:widowControl/>
                    <w:suppressLineNumbers w:val="0"/>
                    <w:jc w:val="center"/>
                    <w:textAlignment w:val="center"/>
                    <w:rPr>
                      <w:rFonts w:hint="default" w:ascii="Times New Roman" w:hAnsi="Times New Roman" w:eastAsia="等线" w:cs="Times New Roman"/>
                      <w:color w:val="auto"/>
                      <w:kern w:val="2"/>
                      <w:sz w:val="21"/>
                      <w:szCs w:val="21"/>
                      <w:lang w:val="en-US" w:eastAsia="zh-CN" w:bidi="ar-SA"/>
                    </w:rPr>
                  </w:pPr>
                  <w:r>
                    <w:rPr>
                      <w:rFonts w:hint="eastAsia" w:cs="Times New Roman"/>
                      <w:i w:val="0"/>
                      <w:iCs w:val="0"/>
                      <w:color w:val="auto"/>
                      <w:kern w:val="0"/>
                      <w:sz w:val="21"/>
                      <w:szCs w:val="21"/>
                      <w:u w:val="none"/>
                      <w:lang w:val="en-US" w:eastAsia="zh-CN" w:bidi="ar"/>
                    </w:rPr>
                    <w:t>6.06</w:t>
                  </w:r>
                </w:p>
              </w:tc>
              <w:tc>
                <w:tcPr>
                  <w:tcW w:w="391" w:type="pct"/>
                  <w:shd w:val="clear" w:color="auto" w:fill="auto"/>
                  <w:vAlign w:val="center"/>
                </w:tcPr>
                <w:p w14:paraId="77B4B7F3">
                  <w:pPr>
                    <w:keepNext w:val="0"/>
                    <w:keepLines w:val="0"/>
                    <w:widowControl/>
                    <w:suppressLineNumbers w:val="0"/>
                    <w:jc w:val="center"/>
                    <w:textAlignment w:val="center"/>
                    <w:rPr>
                      <w:rFonts w:hint="default" w:ascii="Times New Roman" w:hAnsi="Times New Roman" w:eastAsia="等线"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1.49</w:t>
                  </w:r>
                </w:p>
              </w:tc>
              <w:tc>
                <w:tcPr>
                  <w:tcW w:w="358" w:type="pct"/>
                  <w:gridSpan w:val="2"/>
                  <w:shd w:val="clear" w:color="auto" w:fill="auto"/>
                  <w:vAlign w:val="center"/>
                </w:tcPr>
                <w:p w14:paraId="1FB7F47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11.29</w:t>
                  </w:r>
                </w:p>
              </w:tc>
              <w:tc>
                <w:tcPr>
                  <w:tcW w:w="316" w:type="pct"/>
                  <w:shd w:val="clear" w:color="auto" w:fill="auto"/>
                  <w:vAlign w:val="center"/>
                </w:tcPr>
                <w:p w14:paraId="391EBAA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2.83</w:t>
                  </w:r>
                </w:p>
              </w:tc>
              <w:tc>
                <w:tcPr>
                  <w:tcW w:w="441" w:type="pct"/>
                  <w:shd w:val="clear" w:color="auto" w:fill="auto"/>
                  <w:vAlign w:val="center"/>
                </w:tcPr>
                <w:p w14:paraId="673CD6B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-5.23</w:t>
                  </w:r>
                </w:p>
              </w:tc>
              <w:tc>
                <w:tcPr>
                  <w:tcW w:w="490" w:type="pct"/>
                  <w:shd w:val="clear" w:color="auto" w:fill="auto"/>
                  <w:vAlign w:val="center"/>
                </w:tcPr>
                <w:p w14:paraId="00DB58B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-1.34</w:t>
                  </w:r>
                </w:p>
              </w:tc>
              <w:tc>
                <w:tcPr>
                  <w:tcW w:w="355" w:type="pct"/>
                  <w:shd w:val="clear" w:color="auto" w:fill="auto"/>
                  <w:vAlign w:val="center"/>
                </w:tcPr>
                <w:p w14:paraId="5E2B2BB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11.88</w:t>
                  </w:r>
                </w:p>
              </w:tc>
              <w:tc>
                <w:tcPr>
                  <w:tcW w:w="459" w:type="pct"/>
                  <w:shd w:val="clear" w:color="auto" w:fill="auto"/>
                  <w:vAlign w:val="center"/>
                </w:tcPr>
                <w:p w14:paraId="401C76A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2.95</w:t>
                  </w:r>
                </w:p>
              </w:tc>
            </w:tr>
            <w:tr w14:paraId="1A591C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57" w:hRule="atLeast"/>
                <w:jc w:val="center"/>
              </w:trPr>
              <w:tc>
                <w:tcPr>
                  <w:tcW w:w="206" w:type="pct"/>
                  <w:vMerge w:val="continue"/>
                  <w:shd w:val="clear" w:color="auto" w:fill="auto"/>
                  <w:vAlign w:val="center"/>
                </w:tcPr>
                <w:p w14:paraId="70AC234F">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219" w:type="pct"/>
                  <w:vMerge w:val="continue"/>
                  <w:shd w:val="clear" w:color="auto" w:fill="auto"/>
                  <w:vAlign w:val="center"/>
                </w:tcPr>
                <w:p w14:paraId="12043135">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644" w:type="pct"/>
                  <w:gridSpan w:val="2"/>
                  <w:shd w:val="clear" w:color="auto" w:fill="auto"/>
                  <w:vAlign w:val="center"/>
                </w:tcPr>
                <w:p w14:paraId="77CD3EA6">
                  <w:pPr>
                    <w:jc w:val="center"/>
                    <w:rPr>
                      <w:rFonts w:hint="default" w:ascii="Times New Roman" w:hAnsi="Times New Roman" w:eastAsia="宋体" w:cs="Times New Roman"/>
                      <w:color w:val="auto"/>
                      <w:sz w:val="21"/>
                      <w:szCs w:val="21"/>
                    </w:rPr>
                  </w:pPr>
                  <w:r>
                    <w:rPr>
                      <w:color w:val="auto"/>
                      <w:sz w:val="21"/>
                      <w:szCs w:val="21"/>
                    </w:rPr>
                    <w:t>氨氮</w:t>
                  </w:r>
                </w:p>
              </w:tc>
              <w:tc>
                <w:tcPr>
                  <w:tcW w:w="386" w:type="pct"/>
                  <w:shd w:val="clear" w:color="auto" w:fill="auto"/>
                  <w:vAlign w:val="center"/>
                </w:tcPr>
                <w:p w14:paraId="0C034275">
                  <w:pPr>
                    <w:widowControl/>
                    <w:jc w:val="center"/>
                    <w:rPr>
                      <w:rFonts w:hint="default" w:ascii="Times New Roman" w:hAnsi="Times New Roman" w:eastAsia="宋体" w:cs="Times New Roman"/>
                      <w:bCs/>
                      <w:color w:val="auto"/>
                      <w:sz w:val="21"/>
                      <w:szCs w:val="21"/>
                      <w:lang w:val="en-US" w:eastAsia="zh-CN"/>
                    </w:rPr>
                  </w:pPr>
                  <w:r>
                    <w:rPr>
                      <w:rFonts w:hint="eastAsia"/>
                      <w:color w:val="auto"/>
                      <w:sz w:val="21"/>
                      <w:szCs w:val="21"/>
                    </w:rPr>
                    <w:t>1.20</w:t>
                  </w:r>
                </w:p>
              </w:tc>
              <w:tc>
                <w:tcPr>
                  <w:tcW w:w="345" w:type="pct"/>
                  <w:shd w:val="clear" w:color="auto" w:fill="auto"/>
                  <w:vAlign w:val="center"/>
                </w:tcPr>
                <w:p w14:paraId="0246A365">
                  <w:pPr>
                    <w:jc w:val="center"/>
                    <w:rPr>
                      <w:rFonts w:hint="default"/>
                      <w:color w:val="auto"/>
                      <w:sz w:val="21"/>
                      <w:szCs w:val="21"/>
                      <w:lang w:val="en-US" w:eastAsia="zh-CN"/>
                    </w:rPr>
                  </w:pPr>
                  <w:r>
                    <w:rPr>
                      <w:rFonts w:hint="eastAsia"/>
                      <w:color w:val="auto"/>
                      <w:sz w:val="21"/>
                      <w:szCs w:val="21"/>
                    </w:rPr>
                    <w:t>0.86</w:t>
                  </w:r>
                </w:p>
              </w:tc>
              <w:tc>
                <w:tcPr>
                  <w:tcW w:w="386" w:type="pct"/>
                  <w:shd w:val="clear" w:color="auto" w:fill="auto"/>
                  <w:vAlign w:val="center"/>
                </w:tcPr>
                <w:p w14:paraId="2B199735">
                  <w:pPr>
                    <w:keepNext w:val="0"/>
                    <w:keepLines w:val="0"/>
                    <w:widowControl/>
                    <w:suppressLineNumbers w:val="0"/>
                    <w:jc w:val="center"/>
                    <w:textAlignment w:val="center"/>
                    <w:rPr>
                      <w:rFonts w:hint="default" w:ascii="Times New Roman" w:hAnsi="Times New Roman" w:eastAsia="等线" w:cs="Times New Roman"/>
                      <w:color w:val="auto"/>
                      <w:kern w:val="2"/>
                      <w:sz w:val="21"/>
                      <w:szCs w:val="21"/>
                      <w:lang w:val="en-US" w:eastAsia="zh-CN" w:bidi="ar-SA"/>
                    </w:rPr>
                  </w:pPr>
                  <w:r>
                    <w:rPr>
                      <w:rFonts w:hint="eastAsia" w:cs="Times New Roman"/>
                      <w:i w:val="0"/>
                      <w:iCs w:val="0"/>
                      <w:color w:val="auto"/>
                      <w:kern w:val="0"/>
                      <w:sz w:val="21"/>
                      <w:szCs w:val="21"/>
                      <w:u w:val="none"/>
                      <w:lang w:val="en-US" w:eastAsia="zh-CN" w:bidi="ar"/>
                    </w:rPr>
                    <w:t>0.42</w:t>
                  </w:r>
                </w:p>
              </w:tc>
              <w:tc>
                <w:tcPr>
                  <w:tcW w:w="391" w:type="pct"/>
                  <w:shd w:val="clear" w:color="auto" w:fill="auto"/>
                  <w:vAlign w:val="center"/>
                </w:tcPr>
                <w:p w14:paraId="08CE58AB">
                  <w:pPr>
                    <w:keepNext w:val="0"/>
                    <w:keepLines w:val="0"/>
                    <w:widowControl/>
                    <w:suppressLineNumbers w:val="0"/>
                    <w:jc w:val="center"/>
                    <w:textAlignment w:val="center"/>
                    <w:rPr>
                      <w:rFonts w:hint="default" w:ascii="Times New Roman" w:hAnsi="Times New Roman" w:eastAsia="等线" w:cs="Times New Roman"/>
                      <w:color w:val="auto"/>
                      <w:kern w:val="2"/>
                      <w:sz w:val="21"/>
                      <w:szCs w:val="21"/>
                      <w:lang w:val="en-US" w:eastAsia="zh-CN" w:bidi="ar-SA"/>
                    </w:rPr>
                  </w:pPr>
                  <w:r>
                    <w:rPr>
                      <w:rFonts w:hint="eastAsia" w:cs="Times New Roman"/>
                      <w:i w:val="0"/>
                      <w:iCs w:val="0"/>
                      <w:color w:val="auto"/>
                      <w:kern w:val="0"/>
                      <w:sz w:val="21"/>
                      <w:szCs w:val="21"/>
                      <w:u w:val="none"/>
                      <w:lang w:val="en-US" w:eastAsia="zh-CN" w:bidi="ar"/>
                    </w:rPr>
                    <w:t>0.29</w:t>
                  </w:r>
                </w:p>
              </w:tc>
              <w:tc>
                <w:tcPr>
                  <w:tcW w:w="358" w:type="pct"/>
                  <w:gridSpan w:val="2"/>
                  <w:shd w:val="clear" w:color="auto" w:fill="auto"/>
                  <w:vAlign w:val="center"/>
                </w:tcPr>
                <w:p w14:paraId="35800B4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0.79</w:t>
                  </w:r>
                </w:p>
              </w:tc>
              <w:tc>
                <w:tcPr>
                  <w:tcW w:w="316" w:type="pct"/>
                  <w:shd w:val="clear" w:color="auto" w:fill="auto"/>
                  <w:vAlign w:val="center"/>
                </w:tcPr>
                <w:p w14:paraId="017DBEB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0.57</w:t>
                  </w:r>
                </w:p>
              </w:tc>
              <w:tc>
                <w:tcPr>
                  <w:tcW w:w="441" w:type="pct"/>
                  <w:shd w:val="clear" w:color="auto" w:fill="auto"/>
                  <w:vAlign w:val="center"/>
                </w:tcPr>
                <w:p w14:paraId="510F124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-0.37</w:t>
                  </w:r>
                </w:p>
              </w:tc>
              <w:tc>
                <w:tcPr>
                  <w:tcW w:w="490" w:type="pct"/>
                  <w:shd w:val="clear" w:color="auto" w:fill="auto"/>
                  <w:vAlign w:val="center"/>
                </w:tcPr>
                <w:p w14:paraId="459FD43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-0.28</w:t>
                  </w:r>
                </w:p>
              </w:tc>
              <w:tc>
                <w:tcPr>
                  <w:tcW w:w="355" w:type="pct"/>
                  <w:shd w:val="clear" w:color="auto" w:fill="auto"/>
                  <w:vAlign w:val="center"/>
                </w:tcPr>
                <w:p w14:paraId="1100DCD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0.83</w:t>
                  </w:r>
                </w:p>
              </w:tc>
              <w:tc>
                <w:tcPr>
                  <w:tcW w:w="459" w:type="pct"/>
                  <w:shd w:val="clear" w:color="auto" w:fill="auto"/>
                  <w:vAlign w:val="center"/>
                </w:tcPr>
                <w:p w14:paraId="68EC64E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0.58</w:t>
                  </w:r>
                </w:p>
              </w:tc>
            </w:tr>
            <w:tr w14:paraId="4E617F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57" w:hRule="atLeast"/>
                <w:jc w:val="center"/>
              </w:trPr>
              <w:tc>
                <w:tcPr>
                  <w:tcW w:w="206" w:type="pct"/>
                  <w:vMerge w:val="continue"/>
                  <w:shd w:val="clear" w:color="auto" w:fill="auto"/>
                  <w:vAlign w:val="center"/>
                </w:tcPr>
                <w:p w14:paraId="6B8951FD">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219" w:type="pct"/>
                  <w:vMerge w:val="continue"/>
                  <w:shd w:val="clear" w:color="auto" w:fill="auto"/>
                  <w:vAlign w:val="center"/>
                </w:tcPr>
                <w:p w14:paraId="7DF01DB8">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644" w:type="pct"/>
                  <w:gridSpan w:val="2"/>
                  <w:shd w:val="clear" w:color="auto" w:fill="auto"/>
                  <w:vAlign w:val="center"/>
                </w:tcPr>
                <w:p w14:paraId="74C72617">
                  <w:pPr>
                    <w:jc w:val="center"/>
                    <w:rPr>
                      <w:rFonts w:hint="eastAsia" w:ascii="Times New Roman" w:hAnsi="Times New Roman" w:eastAsia="宋体" w:cs="Times New Roman"/>
                      <w:color w:val="auto"/>
                      <w:sz w:val="21"/>
                      <w:szCs w:val="21"/>
                      <w:lang w:eastAsia="zh-CN"/>
                    </w:rPr>
                  </w:pPr>
                  <w:r>
                    <w:rPr>
                      <w:color w:val="auto"/>
                      <w:sz w:val="21"/>
                      <w:szCs w:val="21"/>
                    </w:rPr>
                    <w:t>总氮</w:t>
                  </w:r>
                </w:p>
              </w:tc>
              <w:tc>
                <w:tcPr>
                  <w:tcW w:w="386" w:type="pct"/>
                  <w:shd w:val="clear" w:color="auto" w:fill="auto"/>
                  <w:vAlign w:val="center"/>
                </w:tcPr>
                <w:p w14:paraId="050DB840">
                  <w:pPr>
                    <w:widowControl/>
                    <w:jc w:val="center"/>
                    <w:rPr>
                      <w:rFonts w:hint="default" w:ascii="Times New Roman" w:hAnsi="Times New Roman" w:eastAsia="宋体" w:cs="Times New Roman"/>
                      <w:bCs/>
                      <w:color w:val="auto"/>
                      <w:sz w:val="21"/>
                      <w:szCs w:val="21"/>
                      <w:lang w:val="en-US" w:eastAsia="zh-CN"/>
                    </w:rPr>
                  </w:pPr>
                  <w:r>
                    <w:rPr>
                      <w:rFonts w:hint="eastAsia"/>
                      <w:color w:val="auto"/>
                      <w:sz w:val="21"/>
                      <w:szCs w:val="21"/>
                    </w:rPr>
                    <w:t>2.27</w:t>
                  </w:r>
                </w:p>
              </w:tc>
              <w:tc>
                <w:tcPr>
                  <w:tcW w:w="345" w:type="pct"/>
                  <w:shd w:val="clear" w:color="auto" w:fill="auto"/>
                  <w:vAlign w:val="center"/>
                </w:tcPr>
                <w:p w14:paraId="54C3F78C">
                  <w:pPr>
                    <w:jc w:val="center"/>
                    <w:rPr>
                      <w:rFonts w:hint="default"/>
                      <w:color w:val="auto"/>
                      <w:sz w:val="21"/>
                      <w:szCs w:val="21"/>
                      <w:lang w:val="en-US" w:eastAsia="zh-CN"/>
                    </w:rPr>
                  </w:pPr>
                  <w:r>
                    <w:rPr>
                      <w:rFonts w:hint="eastAsia"/>
                      <w:color w:val="auto"/>
                      <w:sz w:val="21"/>
                      <w:szCs w:val="21"/>
                    </w:rPr>
                    <w:t>1.29</w:t>
                  </w:r>
                </w:p>
              </w:tc>
              <w:tc>
                <w:tcPr>
                  <w:tcW w:w="386" w:type="pct"/>
                  <w:shd w:val="clear" w:color="auto" w:fill="auto"/>
                  <w:vAlign w:val="center"/>
                </w:tcPr>
                <w:p w14:paraId="4E9BE92A">
                  <w:pPr>
                    <w:keepNext w:val="0"/>
                    <w:keepLines w:val="0"/>
                    <w:widowControl/>
                    <w:suppressLineNumbers w:val="0"/>
                    <w:jc w:val="center"/>
                    <w:textAlignment w:val="center"/>
                    <w:rPr>
                      <w:rFonts w:hint="default" w:ascii="Times New Roman" w:hAnsi="Times New Roman" w:eastAsia="等线" w:cs="Times New Roman"/>
                      <w:color w:val="auto"/>
                      <w:kern w:val="2"/>
                      <w:sz w:val="21"/>
                      <w:szCs w:val="21"/>
                      <w:lang w:val="en-US" w:eastAsia="zh-CN" w:bidi="ar-SA"/>
                    </w:rPr>
                  </w:pPr>
                  <w:r>
                    <w:rPr>
                      <w:rFonts w:hint="eastAsia" w:cs="Times New Roman"/>
                      <w:i w:val="0"/>
                      <w:iCs w:val="0"/>
                      <w:color w:val="auto"/>
                      <w:kern w:val="0"/>
                      <w:sz w:val="21"/>
                      <w:szCs w:val="21"/>
                      <w:u w:val="none"/>
                      <w:lang w:val="en-US" w:eastAsia="zh-CN" w:bidi="ar"/>
                    </w:rPr>
                    <w:t>0.81</w:t>
                  </w:r>
                </w:p>
              </w:tc>
              <w:tc>
                <w:tcPr>
                  <w:tcW w:w="391" w:type="pct"/>
                  <w:shd w:val="clear" w:color="auto" w:fill="auto"/>
                  <w:vAlign w:val="center"/>
                </w:tcPr>
                <w:p w14:paraId="2784F6FC">
                  <w:pPr>
                    <w:keepNext w:val="0"/>
                    <w:keepLines w:val="0"/>
                    <w:widowControl/>
                    <w:suppressLineNumbers w:val="0"/>
                    <w:jc w:val="center"/>
                    <w:textAlignment w:val="center"/>
                    <w:rPr>
                      <w:rFonts w:hint="default" w:ascii="Times New Roman" w:hAnsi="Times New Roman" w:eastAsia="等线" w:cs="Times New Roman"/>
                      <w:color w:val="auto"/>
                      <w:kern w:val="2"/>
                      <w:sz w:val="21"/>
                      <w:szCs w:val="21"/>
                      <w:lang w:val="en-US" w:eastAsia="zh-CN" w:bidi="ar-SA"/>
                    </w:rPr>
                  </w:pPr>
                  <w:r>
                    <w:rPr>
                      <w:rFonts w:hint="eastAsia" w:cs="Times New Roman"/>
                      <w:i w:val="0"/>
                      <w:iCs w:val="0"/>
                      <w:color w:val="auto"/>
                      <w:kern w:val="0"/>
                      <w:sz w:val="21"/>
                      <w:szCs w:val="21"/>
                      <w:u w:val="none"/>
                      <w:lang w:val="en-US" w:eastAsia="zh-CN" w:bidi="ar"/>
                    </w:rPr>
                    <w:t>0.45</w:t>
                  </w:r>
                </w:p>
              </w:tc>
              <w:tc>
                <w:tcPr>
                  <w:tcW w:w="358" w:type="pct"/>
                  <w:gridSpan w:val="2"/>
                  <w:shd w:val="clear" w:color="auto" w:fill="auto"/>
                  <w:vAlign w:val="center"/>
                </w:tcPr>
                <w:p w14:paraId="2D1D695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1.50</w:t>
                  </w:r>
                </w:p>
              </w:tc>
              <w:tc>
                <w:tcPr>
                  <w:tcW w:w="316" w:type="pct"/>
                  <w:shd w:val="clear" w:color="auto" w:fill="auto"/>
                  <w:vAlign w:val="center"/>
                </w:tcPr>
                <w:p w14:paraId="6A94214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0.85</w:t>
                  </w:r>
                </w:p>
              </w:tc>
              <w:tc>
                <w:tcPr>
                  <w:tcW w:w="441" w:type="pct"/>
                  <w:shd w:val="clear" w:color="auto" w:fill="auto"/>
                  <w:vAlign w:val="center"/>
                </w:tcPr>
                <w:p w14:paraId="3171C177">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-0.69</w:t>
                  </w:r>
                </w:p>
              </w:tc>
              <w:tc>
                <w:tcPr>
                  <w:tcW w:w="490" w:type="pct"/>
                  <w:shd w:val="clear" w:color="auto" w:fill="auto"/>
                  <w:vAlign w:val="center"/>
                </w:tcPr>
                <w:p w14:paraId="099798D6">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-0.4</w:t>
                  </w:r>
                </w:p>
              </w:tc>
              <w:tc>
                <w:tcPr>
                  <w:tcW w:w="355" w:type="pct"/>
                  <w:shd w:val="clear" w:color="auto" w:fill="auto"/>
                  <w:vAlign w:val="center"/>
                </w:tcPr>
                <w:p w14:paraId="4F1F087A">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1.58</w:t>
                  </w:r>
                </w:p>
              </w:tc>
              <w:tc>
                <w:tcPr>
                  <w:tcW w:w="459" w:type="pct"/>
                  <w:shd w:val="clear" w:color="auto" w:fill="auto"/>
                  <w:vAlign w:val="center"/>
                </w:tcPr>
                <w:p w14:paraId="0E3227ED">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0.89</w:t>
                  </w:r>
                </w:p>
              </w:tc>
            </w:tr>
            <w:tr w14:paraId="5C1010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57" w:hRule="atLeast"/>
                <w:jc w:val="center"/>
              </w:trPr>
              <w:tc>
                <w:tcPr>
                  <w:tcW w:w="206" w:type="pct"/>
                  <w:vMerge w:val="continue"/>
                  <w:shd w:val="clear" w:color="auto" w:fill="auto"/>
                  <w:vAlign w:val="center"/>
                </w:tcPr>
                <w:p w14:paraId="5E612CA0">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219" w:type="pct"/>
                  <w:vMerge w:val="continue"/>
                  <w:shd w:val="clear" w:color="auto" w:fill="auto"/>
                  <w:vAlign w:val="center"/>
                </w:tcPr>
                <w:p w14:paraId="31106D27">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644" w:type="pct"/>
                  <w:gridSpan w:val="2"/>
                  <w:shd w:val="clear" w:color="auto" w:fill="auto"/>
                  <w:vAlign w:val="center"/>
                </w:tcPr>
                <w:p w14:paraId="1D9EB360">
                  <w:pPr>
                    <w:jc w:val="center"/>
                    <w:rPr>
                      <w:rFonts w:hint="eastAsia" w:ascii="Times New Roman" w:hAnsi="Times New Roman" w:eastAsia="宋体" w:cs="Times New Roman"/>
                      <w:color w:val="auto"/>
                      <w:sz w:val="21"/>
                      <w:szCs w:val="21"/>
                      <w:lang w:eastAsia="zh-CN"/>
                    </w:rPr>
                  </w:pPr>
                  <w:r>
                    <w:rPr>
                      <w:color w:val="auto"/>
                      <w:sz w:val="21"/>
                      <w:szCs w:val="21"/>
                    </w:rPr>
                    <w:t>总磷</w:t>
                  </w:r>
                </w:p>
              </w:tc>
              <w:tc>
                <w:tcPr>
                  <w:tcW w:w="386" w:type="pct"/>
                  <w:shd w:val="clear" w:color="auto" w:fill="auto"/>
                  <w:vAlign w:val="center"/>
                </w:tcPr>
                <w:p w14:paraId="418776AD">
                  <w:pPr>
                    <w:widowControl/>
                    <w:jc w:val="center"/>
                    <w:rPr>
                      <w:rFonts w:hint="default" w:ascii="Times New Roman" w:hAnsi="Times New Roman" w:eastAsia="宋体" w:cs="Times New Roman"/>
                      <w:bCs/>
                      <w:color w:val="auto"/>
                      <w:sz w:val="21"/>
                      <w:szCs w:val="21"/>
                      <w:lang w:val="en-US" w:eastAsia="zh-CN"/>
                    </w:rPr>
                  </w:pPr>
                  <w:r>
                    <w:rPr>
                      <w:rFonts w:hint="eastAsia"/>
                      <w:color w:val="auto"/>
                      <w:sz w:val="21"/>
                      <w:szCs w:val="21"/>
                    </w:rPr>
                    <w:t>0.21</w:t>
                  </w:r>
                </w:p>
              </w:tc>
              <w:tc>
                <w:tcPr>
                  <w:tcW w:w="345" w:type="pct"/>
                  <w:shd w:val="clear" w:color="auto" w:fill="auto"/>
                  <w:vAlign w:val="center"/>
                </w:tcPr>
                <w:p w14:paraId="5D5E262F">
                  <w:pPr>
                    <w:jc w:val="center"/>
                    <w:rPr>
                      <w:rFonts w:hint="default"/>
                      <w:color w:val="auto"/>
                      <w:sz w:val="21"/>
                      <w:szCs w:val="21"/>
                      <w:lang w:val="en-US" w:eastAsia="zh-CN"/>
                    </w:rPr>
                  </w:pPr>
                  <w:r>
                    <w:rPr>
                      <w:rFonts w:hint="eastAsia"/>
                      <w:color w:val="auto"/>
                      <w:sz w:val="21"/>
                      <w:szCs w:val="21"/>
                    </w:rPr>
                    <w:t>0.09</w:t>
                  </w:r>
                </w:p>
              </w:tc>
              <w:tc>
                <w:tcPr>
                  <w:tcW w:w="386" w:type="pct"/>
                  <w:shd w:val="clear" w:color="auto" w:fill="auto"/>
                  <w:vAlign w:val="center"/>
                </w:tcPr>
                <w:p w14:paraId="4343C51F">
                  <w:pPr>
                    <w:keepNext w:val="0"/>
                    <w:keepLines w:val="0"/>
                    <w:widowControl/>
                    <w:suppressLineNumbers w:val="0"/>
                    <w:jc w:val="center"/>
                    <w:textAlignment w:val="center"/>
                    <w:rPr>
                      <w:rFonts w:hint="default" w:ascii="Times New Roman" w:hAnsi="Times New Roman" w:eastAsia="等线" w:cs="Times New Roman"/>
                      <w:color w:val="auto"/>
                      <w:kern w:val="2"/>
                      <w:sz w:val="21"/>
                      <w:szCs w:val="21"/>
                      <w:lang w:val="en-US" w:eastAsia="zh-CN" w:bidi="ar-SA"/>
                    </w:rPr>
                  </w:pPr>
                  <w:r>
                    <w:rPr>
                      <w:rFonts w:hint="eastAsia" w:cs="Times New Roman"/>
                      <w:i w:val="0"/>
                      <w:iCs w:val="0"/>
                      <w:color w:val="auto"/>
                      <w:kern w:val="0"/>
                      <w:sz w:val="21"/>
                      <w:szCs w:val="21"/>
                      <w:u w:val="none"/>
                      <w:lang w:val="en-US" w:eastAsia="zh-CN" w:bidi="ar"/>
                    </w:rPr>
                    <w:t>0.08</w:t>
                  </w:r>
                </w:p>
              </w:tc>
              <w:tc>
                <w:tcPr>
                  <w:tcW w:w="391" w:type="pct"/>
                  <w:shd w:val="clear" w:color="auto" w:fill="auto"/>
                  <w:vAlign w:val="center"/>
                </w:tcPr>
                <w:p w14:paraId="5E17DBB7">
                  <w:pPr>
                    <w:keepNext w:val="0"/>
                    <w:keepLines w:val="0"/>
                    <w:widowControl/>
                    <w:suppressLineNumbers w:val="0"/>
                    <w:jc w:val="center"/>
                    <w:textAlignment w:val="center"/>
                    <w:rPr>
                      <w:rFonts w:hint="default" w:ascii="Times New Roman" w:hAnsi="Times New Roman" w:eastAsia="等线" w:cs="Times New Roman"/>
                      <w:color w:val="auto"/>
                      <w:kern w:val="2"/>
                      <w:sz w:val="21"/>
                      <w:szCs w:val="21"/>
                      <w:lang w:val="en-US" w:eastAsia="zh-CN" w:bidi="ar-SA"/>
                    </w:rPr>
                  </w:pPr>
                  <w:r>
                    <w:rPr>
                      <w:rFonts w:hint="eastAsia" w:cs="Times New Roman"/>
                      <w:i w:val="0"/>
                      <w:iCs w:val="0"/>
                      <w:color w:val="auto"/>
                      <w:kern w:val="0"/>
                      <w:sz w:val="21"/>
                      <w:szCs w:val="21"/>
                      <w:u w:val="none"/>
                      <w:lang w:val="en-US" w:eastAsia="zh-CN" w:bidi="ar"/>
                    </w:rPr>
                    <w:t>0.04</w:t>
                  </w:r>
                </w:p>
              </w:tc>
              <w:tc>
                <w:tcPr>
                  <w:tcW w:w="358" w:type="pct"/>
                  <w:gridSpan w:val="2"/>
                  <w:shd w:val="clear" w:color="auto" w:fill="auto"/>
                  <w:vAlign w:val="center"/>
                </w:tcPr>
                <w:p w14:paraId="36F4C7E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0.14</w:t>
                  </w:r>
                </w:p>
              </w:tc>
              <w:tc>
                <w:tcPr>
                  <w:tcW w:w="316" w:type="pct"/>
                  <w:shd w:val="clear" w:color="auto" w:fill="auto"/>
                  <w:vAlign w:val="center"/>
                </w:tcPr>
                <w:p w14:paraId="354EB67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0.06</w:t>
                  </w:r>
                </w:p>
              </w:tc>
              <w:tc>
                <w:tcPr>
                  <w:tcW w:w="441" w:type="pct"/>
                  <w:shd w:val="clear" w:color="auto" w:fill="auto"/>
                  <w:vAlign w:val="center"/>
                </w:tcPr>
                <w:p w14:paraId="0D514907">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-0.06</w:t>
                  </w:r>
                </w:p>
              </w:tc>
              <w:tc>
                <w:tcPr>
                  <w:tcW w:w="490" w:type="pct"/>
                  <w:shd w:val="clear" w:color="auto" w:fill="auto"/>
                  <w:vAlign w:val="center"/>
                </w:tcPr>
                <w:p w14:paraId="038BA143">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-0.02</w:t>
                  </w:r>
                </w:p>
              </w:tc>
              <w:tc>
                <w:tcPr>
                  <w:tcW w:w="355" w:type="pct"/>
                  <w:shd w:val="clear" w:color="auto" w:fill="auto"/>
                  <w:vAlign w:val="center"/>
                </w:tcPr>
                <w:p w14:paraId="2AA3F910">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0.15</w:t>
                  </w:r>
                </w:p>
              </w:tc>
              <w:tc>
                <w:tcPr>
                  <w:tcW w:w="459" w:type="pct"/>
                  <w:shd w:val="clear" w:color="auto" w:fill="auto"/>
                  <w:vAlign w:val="center"/>
                </w:tcPr>
                <w:p w14:paraId="2D822A0D">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0.07</w:t>
                  </w:r>
                </w:p>
              </w:tc>
            </w:tr>
            <w:tr w14:paraId="253EB4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57" w:hRule="atLeast"/>
                <w:jc w:val="center"/>
              </w:trPr>
              <w:tc>
                <w:tcPr>
                  <w:tcW w:w="206" w:type="pct"/>
                  <w:vMerge w:val="continue"/>
                  <w:shd w:val="clear" w:color="auto" w:fill="auto"/>
                  <w:vAlign w:val="center"/>
                </w:tcPr>
                <w:p w14:paraId="627D9C0F">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219" w:type="pct"/>
                  <w:vMerge w:val="continue"/>
                  <w:shd w:val="clear" w:color="auto" w:fill="auto"/>
                  <w:vAlign w:val="center"/>
                </w:tcPr>
                <w:p w14:paraId="20878808">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644" w:type="pct"/>
                  <w:gridSpan w:val="2"/>
                  <w:shd w:val="clear" w:color="auto" w:fill="auto"/>
                  <w:vAlign w:val="center"/>
                </w:tcPr>
                <w:p w14:paraId="161D850B">
                  <w:pPr>
                    <w:jc w:val="center"/>
                    <w:rPr>
                      <w:rFonts w:hint="eastAsia" w:cs="Times New Roman"/>
                      <w:color w:val="auto"/>
                      <w:sz w:val="21"/>
                      <w:szCs w:val="21"/>
                      <w:lang w:eastAsia="zh-CN"/>
                    </w:rPr>
                  </w:pPr>
                  <w:r>
                    <w:rPr>
                      <w:color w:val="auto"/>
                      <w:sz w:val="21"/>
                      <w:szCs w:val="21"/>
                    </w:rPr>
                    <w:t>动植物油</w:t>
                  </w:r>
                </w:p>
              </w:tc>
              <w:tc>
                <w:tcPr>
                  <w:tcW w:w="386" w:type="pct"/>
                  <w:shd w:val="clear" w:color="auto" w:fill="auto"/>
                  <w:vAlign w:val="center"/>
                </w:tcPr>
                <w:p w14:paraId="3005F784">
                  <w:pPr>
                    <w:widowControl/>
                    <w:jc w:val="center"/>
                    <w:rPr>
                      <w:rFonts w:hint="default" w:ascii="Times New Roman" w:hAnsi="Times New Roman" w:eastAsia="宋体" w:cs="Times New Roman"/>
                      <w:bCs/>
                      <w:color w:val="auto"/>
                      <w:sz w:val="21"/>
                      <w:szCs w:val="21"/>
                      <w:lang w:val="en-US" w:eastAsia="zh-CN"/>
                    </w:rPr>
                  </w:pPr>
                  <w:r>
                    <w:rPr>
                      <w:rFonts w:hint="eastAsia"/>
                      <w:color w:val="auto"/>
                      <w:sz w:val="21"/>
                      <w:szCs w:val="21"/>
                    </w:rPr>
                    <w:t>0.09</w:t>
                  </w:r>
                </w:p>
              </w:tc>
              <w:tc>
                <w:tcPr>
                  <w:tcW w:w="345" w:type="pct"/>
                  <w:shd w:val="clear" w:color="auto" w:fill="auto"/>
                  <w:vAlign w:val="center"/>
                </w:tcPr>
                <w:p w14:paraId="40F5E730">
                  <w:pPr>
                    <w:jc w:val="center"/>
                    <w:rPr>
                      <w:rFonts w:hint="default"/>
                      <w:color w:val="auto"/>
                      <w:sz w:val="21"/>
                      <w:szCs w:val="21"/>
                      <w:lang w:val="en-US" w:eastAsia="zh-CN"/>
                    </w:rPr>
                  </w:pPr>
                  <w:r>
                    <w:rPr>
                      <w:rFonts w:hint="eastAsia"/>
                      <w:color w:val="auto"/>
                      <w:sz w:val="21"/>
                      <w:szCs w:val="21"/>
                    </w:rPr>
                    <w:t>0.09</w:t>
                  </w:r>
                </w:p>
              </w:tc>
              <w:tc>
                <w:tcPr>
                  <w:tcW w:w="386" w:type="pct"/>
                  <w:shd w:val="clear" w:color="auto" w:fill="auto"/>
                  <w:vAlign w:val="center"/>
                </w:tcPr>
                <w:p w14:paraId="236870C2">
                  <w:pPr>
                    <w:keepNext w:val="0"/>
                    <w:keepLines w:val="0"/>
                    <w:widowControl/>
                    <w:suppressLineNumbers w:val="0"/>
                    <w:jc w:val="center"/>
                    <w:textAlignment w:val="center"/>
                    <w:rPr>
                      <w:rFonts w:hint="default" w:ascii="Times New Roman" w:hAnsi="Times New Roman" w:eastAsia="等线" w:cs="Times New Roman"/>
                      <w:color w:val="auto"/>
                      <w:kern w:val="2"/>
                      <w:sz w:val="21"/>
                      <w:szCs w:val="21"/>
                      <w:lang w:val="en-US" w:eastAsia="zh-CN" w:bidi="ar-SA"/>
                    </w:rPr>
                  </w:pPr>
                  <w:r>
                    <w:rPr>
                      <w:rFonts w:hint="eastAsia" w:cs="Times New Roman"/>
                      <w:i w:val="0"/>
                      <w:iCs w:val="0"/>
                      <w:color w:val="auto"/>
                      <w:kern w:val="0"/>
                      <w:sz w:val="21"/>
                      <w:szCs w:val="21"/>
                      <w:u w:val="none"/>
                      <w:lang w:val="en-US" w:eastAsia="zh-CN" w:bidi="ar"/>
                    </w:rPr>
                    <w:t>0.04</w:t>
                  </w:r>
                </w:p>
              </w:tc>
              <w:tc>
                <w:tcPr>
                  <w:tcW w:w="391" w:type="pct"/>
                  <w:shd w:val="clear" w:color="auto" w:fill="auto"/>
                  <w:vAlign w:val="center"/>
                </w:tcPr>
                <w:p w14:paraId="53C977D5">
                  <w:pPr>
                    <w:keepNext w:val="0"/>
                    <w:keepLines w:val="0"/>
                    <w:widowControl/>
                    <w:suppressLineNumbers w:val="0"/>
                    <w:jc w:val="center"/>
                    <w:textAlignment w:val="center"/>
                    <w:rPr>
                      <w:rFonts w:hint="default" w:ascii="Times New Roman" w:hAnsi="Times New Roman" w:eastAsia="等线"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03</w:t>
                  </w:r>
                </w:p>
              </w:tc>
              <w:tc>
                <w:tcPr>
                  <w:tcW w:w="358" w:type="pct"/>
                  <w:gridSpan w:val="2"/>
                  <w:shd w:val="clear" w:color="auto" w:fill="auto"/>
                  <w:vAlign w:val="center"/>
                </w:tcPr>
                <w:p w14:paraId="32C7725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0.06</w:t>
                  </w:r>
                </w:p>
              </w:tc>
              <w:tc>
                <w:tcPr>
                  <w:tcW w:w="316" w:type="pct"/>
                  <w:shd w:val="clear" w:color="auto" w:fill="auto"/>
                  <w:vAlign w:val="center"/>
                </w:tcPr>
                <w:p w14:paraId="2EDACA1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0.06</w:t>
                  </w:r>
                </w:p>
              </w:tc>
              <w:tc>
                <w:tcPr>
                  <w:tcW w:w="441" w:type="pct"/>
                  <w:shd w:val="clear" w:color="auto" w:fill="auto"/>
                  <w:vAlign w:val="center"/>
                </w:tcPr>
                <w:p w14:paraId="6EBAC368">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-0.02</w:t>
                  </w:r>
                </w:p>
              </w:tc>
              <w:tc>
                <w:tcPr>
                  <w:tcW w:w="490" w:type="pct"/>
                  <w:shd w:val="clear" w:color="auto" w:fill="auto"/>
                  <w:vAlign w:val="center"/>
                </w:tcPr>
                <w:p w14:paraId="52F7EF35">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-0.03</w:t>
                  </w:r>
                </w:p>
              </w:tc>
              <w:tc>
                <w:tcPr>
                  <w:tcW w:w="355" w:type="pct"/>
                  <w:shd w:val="clear" w:color="auto" w:fill="auto"/>
                  <w:vAlign w:val="center"/>
                </w:tcPr>
                <w:p w14:paraId="5AE58D4D">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0.07</w:t>
                  </w:r>
                </w:p>
              </w:tc>
              <w:tc>
                <w:tcPr>
                  <w:tcW w:w="459" w:type="pct"/>
                  <w:shd w:val="clear" w:color="auto" w:fill="auto"/>
                  <w:vAlign w:val="center"/>
                </w:tcPr>
                <w:p w14:paraId="1216BBCC">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0.06</w:t>
                  </w:r>
                </w:p>
              </w:tc>
            </w:tr>
            <w:tr w14:paraId="36A81A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57" w:hRule="atLeast"/>
                <w:jc w:val="center"/>
              </w:trPr>
              <w:tc>
                <w:tcPr>
                  <w:tcW w:w="206" w:type="pct"/>
                  <w:vMerge w:val="continue"/>
                  <w:shd w:val="clear" w:color="auto" w:fill="auto"/>
                  <w:vAlign w:val="center"/>
                </w:tcPr>
                <w:p w14:paraId="1DD5B74A">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219" w:type="pct"/>
                  <w:vMerge w:val="continue"/>
                  <w:shd w:val="clear" w:color="auto" w:fill="auto"/>
                  <w:vAlign w:val="center"/>
                </w:tcPr>
                <w:p w14:paraId="7FD4352C">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644" w:type="pct"/>
                  <w:gridSpan w:val="2"/>
                  <w:shd w:val="clear" w:color="auto" w:fill="auto"/>
                  <w:vAlign w:val="center"/>
                </w:tcPr>
                <w:p w14:paraId="45F2E075">
                  <w:pPr>
                    <w:jc w:val="center"/>
                    <w:rPr>
                      <w:rFonts w:hint="eastAsia" w:cs="Times New Roman"/>
                      <w:color w:val="auto"/>
                      <w:sz w:val="21"/>
                      <w:szCs w:val="21"/>
                      <w:lang w:eastAsia="zh-CN"/>
                    </w:rPr>
                  </w:pPr>
                  <w:r>
                    <w:rPr>
                      <w:color w:val="auto"/>
                      <w:sz w:val="21"/>
                      <w:szCs w:val="21"/>
                    </w:rPr>
                    <w:t>LAS</w:t>
                  </w:r>
                </w:p>
              </w:tc>
              <w:tc>
                <w:tcPr>
                  <w:tcW w:w="386" w:type="pct"/>
                  <w:shd w:val="clear" w:color="auto" w:fill="auto"/>
                  <w:vAlign w:val="center"/>
                </w:tcPr>
                <w:p w14:paraId="6500C4C8">
                  <w:pPr>
                    <w:widowControl/>
                    <w:jc w:val="center"/>
                    <w:rPr>
                      <w:rFonts w:hint="default" w:ascii="Times New Roman" w:hAnsi="Times New Roman" w:eastAsia="宋体" w:cs="Times New Roman"/>
                      <w:bCs/>
                      <w:color w:val="auto"/>
                      <w:kern w:val="2"/>
                      <w:sz w:val="21"/>
                      <w:szCs w:val="21"/>
                      <w:lang w:val="en-US" w:eastAsia="zh-CN" w:bidi="ar-SA"/>
                    </w:rPr>
                  </w:pPr>
                  <w:r>
                    <w:rPr>
                      <w:rFonts w:hint="eastAsia"/>
                      <w:color w:val="auto"/>
                      <w:sz w:val="21"/>
                      <w:szCs w:val="21"/>
                    </w:rPr>
                    <w:t>0.22</w:t>
                  </w:r>
                </w:p>
              </w:tc>
              <w:tc>
                <w:tcPr>
                  <w:tcW w:w="345" w:type="pct"/>
                  <w:shd w:val="clear" w:color="auto" w:fill="auto"/>
                  <w:vAlign w:val="center"/>
                </w:tcPr>
                <w:p w14:paraId="6BAEAE9A">
                  <w:pPr>
                    <w:jc w:val="center"/>
                    <w:rPr>
                      <w:rFonts w:hint="default"/>
                      <w:color w:val="auto"/>
                      <w:sz w:val="21"/>
                      <w:szCs w:val="21"/>
                      <w:lang w:val="en-US" w:eastAsia="zh-CN"/>
                    </w:rPr>
                  </w:pPr>
                  <w:r>
                    <w:rPr>
                      <w:rFonts w:hint="eastAsia"/>
                      <w:color w:val="auto"/>
                      <w:sz w:val="21"/>
                      <w:szCs w:val="21"/>
                    </w:rPr>
                    <w:t>0.21</w:t>
                  </w:r>
                </w:p>
              </w:tc>
              <w:tc>
                <w:tcPr>
                  <w:tcW w:w="386" w:type="pct"/>
                  <w:shd w:val="clear" w:color="auto" w:fill="auto"/>
                  <w:vAlign w:val="center"/>
                </w:tcPr>
                <w:p w14:paraId="74BBED4A">
                  <w:pPr>
                    <w:keepNext w:val="0"/>
                    <w:keepLines w:val="0"/>
                    <w:widowControl/>
                    <w:suppressLineNumbers w:val="0"/>
                    <w:jc w:val="center"/>
                    <w:textAlignment w:val="center"/>
                    <w:rPr>
                      <w:rFonts w:hint="eastAsia" w:ascii="Times New Roman" w:hAnsi="Times New Roman" w:eastAsia="等线"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08</w:t>
                  </w:r>
                </w:p>
              </w:tc>
              <w:tc>
                <w:tcPr>
                  <w:tcW w:w="391" w:type="pct"/>
                  <w:shd w:val="clear" w:color="auto" w:fill="auto"/>
                  <w:vAlign w:val="center"/>
                </w:tcPr>
                <w:p w14:paraId="7C8003EC">
                  <w:pPr>
                    <w:keepNext w:val="0"/>
                    <w:keepLines w:val="0"/>
                    <w:widowControl/>
                    <w:suppressLineNumbers w:val="0"/>
                    <w:jc w:val="center"/>
                    <w:textAlignment w:val="center"/>
                    <w:rPr>
                      <w:rFonts w:hint="eastAsia" w:ascii="Times New Roman" w:hAnsi="Times New Roman" w:eastAsia="等线"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0.07</w:t>
                  </w:r>
                </w:p>
              </w:tc>
              <w:tc>
                <w:tcPr>
                  <w:tcW w:w="358" w:type="pct"/>
                  <w:gridSpan w:val="2"/>
                  <w:shd w:val="clear" w:color="auto" w:fill="auto"/>
                  <w:vAlign w:val="center"/>
                </w:tcPr>
                <w:p w14:paraId="7A7D08D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0.15</w:t>
                  </w:r>
                </w:p>
              </w:tc>
              <w:tc>
                <w:tcPr>
                  <w:tcW w:w="316" w:type="pct"/>
                  <w:shd w:val="clear" w:color="auto" w:fill="auto"/>
                  <w:vAlign w:val="center"/>
                </w:tcPr>
                <w:p w14:paraId="474DA06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0.14</w:t>
                  </w:r>
                </w:p>
              </w:tc>
              <w:tc>
                <w:tcPr>
                  <w:tcW w:w="441" w:type="pct"/>
                  <w:shd w:val="clear" w:color="auto" w:fill="auto"/>
                  <w:vAlign w:val="center"/>
                </w:tcPr>
                <w:p w14:paraId="0187F346">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-0.07</w:t>
                  </w:r>
                </w:p>
              </w:tc>
              <w:tc>
                <w:tcPr>
                  <w:tcW w:w="490" w:type="pct"/>
                  <w:shd w:val="clear" w:color="auto" w:fill="auto"/>
                  <w:vAlign w:val="center"/>
                </w:tcPr>
                <w:p w14:paraId="2DD73336">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-0.07</w:t>
                  </w:r>
                </w:p>
              </w:tc>
              <w:tc>
                <w:tcPr>
                  <w:tcW w:w="355" w:type="pct"/>
                  <w:shd w:val="clear" w:color="auto" w:fill="auto"/>
                  <w:vAlign w:val="center"/>
                </w:tcPr>
                <w:p w14:paraId="52FAB444">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0.15</w:t>
                  </w:r>
                </w:p>
              </w:tc>
              <w:tc>
                <w:tcPr>
                  <w:tcW w:w="459" w:type="pct"/>
                  <w:shd w:val="clear" w:color="auto" w:fill="auto"/>
                  <w:vAlign w:val="center"/>
                </w:tcPr>
                <w:p w14:paraId="3FF29DBB">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0.14</w:t>
                  </w:r>
                </w:p>
              </w:tc>
            </w:tr>
            <w:tr w14:paraId="1A3501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57" w:hRule="atLeast"/>
                <w:jc w:val="center"/>
              </w:trPr>
              <w:tc>
                <w:tcPr>
                  <w:tcW w:w="206" w:type="pct"/>
                  <w:vMerge w:val="continue"/>
                  <w:shd w:val="clear" w:color="auto" w:fill="auto"/>
                  <w:vAlign w:val="center"/>
                </w:tcPr>
                <w:p w14:paraId="2021A022">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219" w:type="pct"/>
                  <w:vMerge w:val="continue"/>
                  <w:shd w:val="clear" w:color="auto" w:fill="auto"/>
                  <w:vAlign w:val="center"/>
                </w:tcPr>
                <w:p w14:paraId="11937276">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644" w:type="pct"/>
                  <w:gridSpan w:val="2"/>
                  <w:shd w:val="clear" w:color="auto" w:fill="auto"/>
                  <w:vAlign w:val="center"/>
                </w:tcPr>
                <w:p w14:paraId="4D5C5C1B">
                  <w:pPr>
                    <w:jc w:val="center"/>
                    <w:rPr>
                      <w:rFonts w:hint="eastAsia" w:eastAsia="宋体"/>
                      <w:color w:val="auto"/>
                      <w:sz w:val="21"/>
                      <w:szCs w:val="21"/>
                      <w:lang w:eastAsia="zh-CN"/>
                    </w:rPr>
                  </w:pPr>
                  <w:r>
                    <w:rPr>
                      <w:rFonts w:hint="eastAsia"/>
                      <w:color w:val="auto"/>
                      <w:sz w:val="21"/>
                      <w:szCs w:val="21"/>
                      <w:lang w:eastAsia="zh-CN"/>
                    </w:rPr>
                    <w:t>全盐量</w:t>
                  </w:r>
                  <w:r>
                    <w:rPr>
                      <w:rFonts w:hint="default" w:ascii="Times New Roman" w:hAnsi="Times New Roman" w:cs="Times New Roman"/>
                      <w:color w:val="auto"/>
                      <w:sz w:val="21"/>
                      <w:szCs w:val="21"/>
                      <w:lang w:eastAsia="zh-CN"/>
                    </w:rPr>
                    <w:t>*</w:t>
                  </w:r>
                </w:p>
              </w:tc>
              <w:tc>
                <w:tcPr>
                  <w:tcW w:w="386" w:type="pct"/>
                  <w:shd w:val="clear" w:color="auto" w:fill="auto"/>
                  <w:vAlign w:val="center"/>
                </w:tcPr>
                <w:p w14:paraId="18D7DC63">
                  <w:pPr>
                    <w:widowControl/>
                    <w:jc w:val="center"/>
                    <w:rPr>
                      <w:rFonts w:hint="eastAsia" w:eastAsia="宋体"/>
                      <w:color w:val="auto"/>
                      <w:sz w:val="21"/>
                      <w:szCs w:val="21"/>
                      <w:lang w:val="en-US" w:eastAsia="zh-CN"/>
                    </w:rPr>
                  </w:pPr>
                  <w:r>
                    <w:rPr>
                      <w:rFonts w:hint="eastAsia"/>
                      <w:color w:val="auto"/>
                      <w:sz w:val="21"/>
                      <w:szCs w:val="21"/>
                      <w:lang w:val="en-US" w:eastAsia="zh-CN"/>
                    </w:rPr>
                    <w:t>/</w:t>
                  </w:r>
                </w:p>
              </w:tc>
              <w:tc>
                <w:tcPr>
                  <w:tcW w:w="345" w:type="pct"/>
                  <w:shd w:val="clear" w:color="auto" w:fill="auto"/>
                  <w:vAlign w:val="center"/>
                </w:tcPr>
                <w:p w14:paraId="0ED52B15">
                  <w:pPr>
                    <w:jc w:val="center"/>
                    <w:rPr>
                      <w:rFonts w:hint="eastAsia"/>
                      <w:color w:val="auto"/>
                      <w:sz w:val="21"/>
                      <w:szCs w:val="21"/>
                      <w:lang w:val="en-US" w:eastAsia="zh-CN"/>
                    </w:rPr>
                  </w:pPr>
                  <w:r>
                    <w:rPr>
                      <w:rFonts w:hint="eastAsia"/>
                      <w:color w:val="auto"/>
                      <w:sz w:val="21"/>
                      <w:szCs w:val="21"/>
                      <w:lang w:val="en-US" w:eastAsia="zh-CN"/>
                    </w:rPr>
                    <w:t>/</w:t>
                  </w:r>
                </w:p>
              </w:tc>
              <w:tc>
                <w:tcPr>
                  <w:tcW w:w="386" w:type="pct"/>
                  <w:shd w:val="clear" w:color="auto" w:fill="auto"/>
                  <w:vAlign w:val="center"/>
                </w:tcPr>
                <w:p w14:paraId="11FB406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i w:val="0"/>
                      <w:iCs w:val="0"/>
                      <w:color w:val="auto"/>
                      <w:kern w:val="0"/>
                      <w:sz w:val="21"/>
                      <w:szCs w:val="21"/>
                      <w:u w:val="none"/>
                      <w:lang w:val="en-US" w:eastAsia="zh-CN" w:bidi="ar"/>
                    </w:rPr>
                    <w:t>5.94</w:t>
                  </w:r>
                </w:p>
              </w:tc>
              <w:tc>
                <w:tcPr>
                  <w:tcW w:w="391" w:type="pct"/>
                  <w:shd w:val="clear" w:color="auto" w:fill="auto"/>
                  <w:vAlign w:val="center"/>
                </w:tcPr>
                <w:p w14:paraId="2A689895">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5.94</w:t>
                  </w:r>
                </w:p>
              </w:tc>
              <w:tc>
                <w:tcPr>
                  <w:tcW w:w="358" w:type="pct"/>
                  <w:gridSpan w:val="2"/>
                  <w:shd w:val="clear" w:color="auto" w:fill="auto"/>
                  <w:vAlign w:val="center"/>
                </w:tcPr>
                <w:p w14:paraId="5C8EBFF9">
                  <w:pPr>
                    <w:jc w:val="center"/>
                    <w:rPr>
                      <w:rFonts w:hint="default"/>
                      <w:color w:val="auto"/>
                      <w:sz w:val="21"/>
                      <w:szCs w:val="21"/>
                      <w:lang w:val="en-US" w:eastAsia="zh-CN"/>
                    </w:rPr>
                  </w:pPr>
                  <w:r>
                    <w:rPr>
                      <w:rFonts w:hint="eastAsia"/>
                      <w:color w:val="auto"/>
                      <w:sz w:val="21"/>
                      <w:szCs w:val="21"/>
                      <w:lang w:val="en-US" w:eastAsia="zh-CN"/>
                    </w:rPr>
                    <w:t>/</w:t>
                  </w:r>
                </w:p>
              </w:tc>
              <w:tc>
                <w:tcPr>
                  <w:tcW w:w="316" w:type="pct"/>
                  <w:shd w:val="clear" w:color="auto" w:fill="auto"/>
                  <w:vAlign w:val="center"/>
                </w:tcPr>
                <w:p w14:paraId="4970FD2C">
                  <w:pPr>
                    <w:jc w:val="center"/>
                    <w:rPr>
                      <w:rFonts w:hint="default"/>
                      <w:color w:val="auto"/>
                      <w:sz w:val="21"/>
                      <w:szCs w:val="21"/>
                      <w:lang w:val="en-US" w:eastAsia="zh-CN"/>
                    </w:rPr>
                  </w:pPr>
                  <w:r>
                    <w:rPr>
                      <w:rFonts w:hint="eastAsia"/>
                      <w:color w:val="auto"/>
                      <w:sz w:val="21"/>
                      <w:szCs w:val="21"/>
                      <w:lang w:val="en-US" w:eastAsia="zh-CN"/>
                    </w:rPr>
                    <w:t>/</w:t>
                  </w:r>
                </w:p>
              </w:tc>
              <w:tc>
                <w:tcPr>
                  <w:tcW w:w="441" w:type="pct"/>
                  <w:shd w:val="clear" w:color="auto" w:fill="auto"/>
                  <w:vAlign w:val="center"/>
                </w:tcPr>
                <w:p w14:paraId="27CF3FA8">
                  <w:pPr>
                    <w:keepNext w:val="0"/>
                    <w:keepLines w:val="0"/>
                    <w:widowControl/>
                    <w:suppressLineNumbers w:val="0"/>
                    <w:jc w:val="center"/>
                    <w:textAlignment w:val="center"/>
                    <w:rPr>
                      <w:rFonts w:hint="default"/>
                      <w:color w:val="auto"/>
                      <w:sz w:val="21"/>
                      <w:szCs w:val="21"/>
                      <w:lang w:val="en-US" w:eastAsia="zh-CN"/>
                    </w:rPr>
                  </w:pPr>
                  <w:r>
                    <w:rPr>
                      <w:rFonts w:hint="eastAsia"/>
                      <w:color w:val="auto"/>
                      <w:sz w:val="21"/>
                      <w:szCs w:val="21"/>
                      <w:lang w:val="en-US" w:eastAsia="zh-CN"/>
                    </w:rPr>
                    <w:t>+5.94</w:t>
                  </w:r>
                </w:p>
              </w:tc>
              <w:tc>
                <w:tcPr>
                  <w:tcW w:w="490" w:type="pct"/>
                  <w:shd w:val="clear" w:color="auto" w:fill="auto"/>
                  <w:vAlign w:val="center"/>
                </w:tcPr>
                <w:p w14:paraId="5DF5148C">
                  <w:pPr>
                    <w:keepNext w:val="0"/>
                    <w:keepLines w:val="0"/>
                    <w:widowControl/>
                    <w:suppressLineNumbers w:val="0"/>
                    <w:jc w:val="center"/>
                    <w:textAlignment w:val="center"/>
                    <w:rPr>
                      <w:rFonts w:hint="default"/>
                      <w:color w:val="auto"/>
                      <w:sz w:val="21"/>
                      <w:szCs w:val="21"/>
                      <w:lang w:val="en-US" w:eastAsia="zh-CN"/>
                    </w:rPr>
                  </w:pPr>
                  <w:r>
                    <w:rPr>
                      <w:rFonts w:hint="eastAsia"/>
                      <w:color w:val="auto"/>
                      <w:sz w:val="21"/>
                      <w:szCs w:val="21"/>
                      <w:lang w:val="en-US" w:eastAsia="zh-CN"/>
                    </w:rPr>
                    <w:t>+5.94</w:t>
                  </w:r>
                </w:p>
              </w:tc>
              <w:tc>
                <w:tcPr>
                  <w:tcW w:w="355" w:type="pct"/>
                  <w:shd w:val="clear" w:color="auto" w:fill="auto"/>
                  <w:vAlign w:val="center"/>
                </w:tcPr>
                <w:p w14:paraId="18FADBD0">
                  <w:pPr>
                    <w:keepNext w:val="0"/>
                    <w:keepLines w:val="0"/>
                    <w:widowControl/>
                    <w:suppressLineNumbers w:val="0"/>
                    <w:jc w:val="center"/>
                    <w:textAlignment w:val="center"/>
                    <w:rPr>
                      <w:rFonts w:hint="default"/>
                      <w:color w:val="auto"/>
                      <w:sz w:val="21"/>
                      <w:szCs w:val="21"/>
                      <w:lang w:val="en-US" w:eastAsia="zh-CN"/>
                    </w:rPr>
                  </w:pPr>
                  <w:r>
                    <w:rPr>
                      <w:rFonts w:hint="eastAsia" w:cs="Times New Roman"/>
                      <w:i w:val="0"/>
                      <w:iCs w:val="0"/>
                      <w:color w:val="auto"/>
                      <w:kern w:val="0"/>
                      <w:sz w:val="21"/>
                      <w:szCs w:val="21"/>
                      <w:u w:val="none"/>
                      <w:lang w:val="en-US" w:eastAsia="zh-CN" w:bidi="ar"/>
                    </w:rPr>
                    <w:t>5.94</w:t>
                  </w:r>
                </w:p>
              </w:tc>
              <w:tc>
                <w:tcPr>
                  <w:tcW w:w="459" w:type="pct"/>
                  <w:shd w:val="clear" w:color="auto" w:fill="auto"/>
                  <w:vAlign w:val="center"/>
                </w:tcPr>
                <w:p w14:paraId="72272514">
                  <w:pPr>
                    <w:keepNext w:val="0"/>
                    <w:keepLines w:val="0"/>
                    <w:widowControl/>
                    <w:suppressLineNumbers w:val="0"/>
                    <w:jc w:val="center"/>
                    <w:textAlignment w:val="center"/>
                    <w:rPr>
                      <w:rFonts w:hint="default"/>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5.94</w:t>
                  </w:r>
                </w:p>
              </w:tc>
            </w:tr>
            <w:tr w14:paraId="2B25F1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206" w:type="pct"/>
                  <w:vMerge w:val="restart"/>
                  <w:shd w:val="clear" w:color="auto" w:fill="auto"/>
                  <w:vAlign w:val="center"/>
                </w:tcPr>
                <w:p w14:paraId="3962DFC2">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固废</w:t>
                  </w:r>
                </w:p>
              </w:tc>
              <w:tc>
                <w:tcPr>
                  <w:tcW w:w="863" w:type="pct"/>
                  <w:gridSpan w:val="3"/>
                  <w:shd w:val="clear" w:color="auto" w:fill="auto"/>
                  <w:vAlign w:val="center"/>
                </w:tcPr>
                <w:p w14:paraId="63D277FA">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危险废物</w:t>
                  </w:r>
                </w:p>
              </w:tc>
              <w:tc>
                <w:tcPr>
                  <w:tcW w:w="731" w:type="pct"/>
                  <w:gridSpan w:val="2"/>
                  <w:shd w:val="clear" w:color="auto" w:fill="auto"/>
                  <w:vAlign w:val="center"/>
                </w:tcPr>
                <w:p w14:paraId="59420251">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0</w:t>
                  </w:r>
                </w:p>
              </w:tc>
              <w:tc>
                <w:tcPr>
                  <w:tcW w:w="778" w:type="pct"/>
                  <w:gridSpan w:val="2"/>
                  <w:shd w:val="clear" w:color="auto" w:fill="auto"/>
                  <w:vAlign w:val="center"/>
                </w:tcPr>
                <w:p w14:paraId="746D44C6">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0</w:t>
                  </w:r>
                </w:p>
              </w:tc>
              <w:tc>
                <w:tcPr>
                  <w:tcW w:w="674" w:type="pct"/>
                  <w:gridSpan w:val="3"/>
                  <w:shd w:val="clear" w:color="auto" w:fill="auto"/>
                  <w:vAlign w:val="center"/>
                </w:tcPr>
                <w:p w14:paraId="78A58DAF">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0</w:t>
                  </w:r>
                </w:p>
              </w:tc>
              <w:tc>
                <w:tcPr>
                  <w:tcW w:w="931" w:type="pct"/>
                  <w:gridSpan w:val="2"/>
                  <w:shd w:val="clear" w:color="auto" w:fill="auto"/>
                  <w:vAlign w:val="center"/>
                </w:tcPr>
                <w:p w14:paraId="747358A9">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0</w:t>
                  </w:r>
                </w:p>
              </w:tc>
              <w:tc>
                <w:tcPr>
                  <w:tcW w:w="814" w:type="pct"/>
                  <w:gridSpan w:val="2"/>
                  <w:shd w:val="clear" w:color="auto" w:fill="auto"/>
                  <w:vAlign w:val="center"/>
                </w:tcPr>
                <w:p w14:paraId="4226CEB8">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0</w:t>
                  </w:r>
                </w:p>
              </w:tc>
            </w:tr>
            <w:tr w14:paraId="1E9C54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57" w:hRule="atLeast"/>
                <w:jc w:val="center"/>
              </w:trPr>
              <w:tc>
                <w:tcPr>
                  <w:tcW w:w="206" w:type="pct"/>
                  <w:vMerge w:val="continue"/>
                  <w:shd w:val="clear" w:color="auto" w:fill="auto"/>
                  <w:vAlign w:val="center"/>
                </w:tcPr>
                <w:p w14:paraId="00631156">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863" w:type="pct"/>
                  <w:gridSpan w:val="3"/>
                  <w:shd w:val="clear" w:color="auto" w:fill="auto"/>
                  <w:vAlign w:val="center"/>
                </w:tcPr>
                <w:p w14:paraId="6E768DAB">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一般工业固废</w:t>
                  </w:r>
                </w:p>
              </w:tc>
              <w:tc>
                <w:tcPr>
                  <w:tcW w:w="731" w:type="pct"/>
                  <w:gridSpan w:val="2"/>
                  <w:shd w:val="clear" w:color="auto" w:fill="auto"/>
                  <w:vAlign w:val="center"/>
                </w:tcPr>
                <w:p w14:paraId="55C1BF17">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0</w:t>
                  </w:r>
                </w:p>
              </w:tc>
              <w:tc>
                <w:tcPr>
                  <w:tcW w:w="778" w:type="pct"/>
                  <w:gridSpan w:val="2"/>
                  <w:shd w:val="clear" w:color="auto" w:fill="auto"/>
                  <w:vAlign w:val="center"/>
                </w:tcPr>
                <w:p w14:paraId="3E257137">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0</w:t>
                  </w:r>
                </w:p>
              </w:tc>
              <w:tc>
                <w:tcPr>
                  <w:tcW w:w="674" w:type="pct"/>
                  <w:gridSpan w:val="3"/>
                  <w:shd w:val="clear" w:color="auto" w:fill="auto"/>
                  <w:vAlign w:val="center"/>
                </w:tcPr>
                <w:p w14:paraId="4D63B89E">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0</w:t>
                  </w:r>
                </w:p>
              </w:tc>
              <w:tc>
                <w:tcPr>
                  <w:tcW w:w="931" w:type="pct"/>
                  <w:gridSpan w:val="2"/>
                  <w:shd w:val="clear" w:color="auto" w:fill="auto"/>
                  <w:vAlign w:val="center"/>
                </w:tcPr>
                <w:p w14:paraId="489712DD">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0</w:t>
                  </w:r>
                </w:p>
              </w:tc>
              <w:tc>
                <w:tcPr>
                  <w:tcW w:w="814" w:type="pct"/>
                  <w:gridSpan w:val="2"/>
                  <w:shd w:val="clear" w:color="auto" w:fill="auto"/>
                  <w:vAlign w:val="center"/>
                </w:tcPr>
                <w:p w14:paraId="590547E0">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0</w:t>
                  </w:r>
                </w:p>
              </w:tc>
            </w:tr>
            <w:tr w14:paraId="671164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53" w:hRule="atLeast"/>
                <w:jc w:val="center"/>
              </w:trPr>
              <w:tc>
                <w:tcPr>
                  <w:tcW w:w="206" w:type="pct"/>
                  <w:vMerge w:val="continue"/>
                  <w:shd w:val="clear" w:color="auto" w:fill="auto"/>
                  <w:vAlign w:val="center"/>
                </w:tcPr>
                <w:p w14:paraId="7B3D56B1">
                  <w:pPr>
                    <w:keepNext w:val="0"/>
                    <w:keepLines w:val="0"/>
                    <w:pageBreakBefore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rPr>
                  </w:pPr>
                </w:p>
              </w:tc>
              <w:tc>
                <w:tcPr>
                  <w:tcW w:w="863" w:type="pct"/>
                  <w:gridSpan w:val="3"/>
                  <w:shd w:val="clear" w:color="auto" w:fill="auto"/>
                  <w:vAlign w:val="center"/>
                </w:tcPr>
                <w:p w14:paraId="3252EBB0">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生活垃圾</w:t>
                  </w:r>
                </w:p>
              </w:tc>
              <w:tc>
                <w:tcPr>
                  <w:tcW w:w="731" w:type="pct"/>
                  <w:gridSpan w:val="2"/>
                  <w:shd w:val="clear" w:color="auto" w:fill="auto"/>
                  <w:vAlign w:val="center"/>
                </w:tcPr>
                <w:p w14:paraId="7419EA0C">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0</w:t>
                  </w:r>
                </w:p>
              </w:tc>
              <w:tc>
                <w:tcPr>
                  <w:tcW w:w="778" w:type="pct"/>
                  <w:gridSpan w:val="2"/>
                  <w:shd w:val="clear" w:color="auto" w:fill="auto"/>
                  <w:vAlign w:val="center"/>
                </w:tcPr>
                <w:p w14:paraId="1F599138">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0</w:t>
                  </w:r>
                </w:p>
              </w:tc>
              <w:tc>
                <w:tcPr>
                  <w:tcW w:w="674" w:type="pct"/>
                  <w:gridSpan w:val="3"/>
                  <w:shd w:val="clear" w:color="auto" w:fill="auto"/>
                  <w:vAlign w:val="center"/>
                </w:tcPr>
                <w:p w14:paraId="49151177">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0</w:t>
                  </w:r>
                </w:p>
              </w:tc>
              <w:tc>
                <w:tcPr>
                  <w:tcW w:w="931" w:type="pct"/>
                  <w:gridSpan w:val="2"/>
                  <w:shd w:val="clear" w:color="auto" w:fill="auto"/>
                  <w:vAlign w:val="center"/>
                </w:tcPr>
                <w:p w14:paraId="497E63CC">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0</w:t>
                  </w:r>
                </w:p>
              </w:tc>
              <w:tc>
                <w:tcPr>
                  <w:tcW w:w="814" w:type="pct"/>
                  <w:gridSpan w:val="2"/>
                  <w:shd w:val="clear" w:color="auto" w:fill="auto"/>
                  <w:vAlign w:val="center"/>
                </w:tcPr>
                <w:p w14:paraId="195342B4">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0</w:t>
                  </w:r>
                </w:p>
              </w:tc>
            </w:tr>
          </w:tbl>
          <w:p w14:paraId="7BE2FCF1">
            <w:pPr>
              <w:widowControl/>
              <w:adjustRightInd w:val="0"/>
              <w:snapToGrid w:val="0"/>
              <w:spacing w:before="120" w:beforeLines="50" w:line="360" w:lineRule="auto"/>
              <w:ind w:firstLine="630" w:firstLineChars="300"/>
              <w:jc w:val="left"/>
              <w:rPr>
                <w:rFonts w:hint="default"/>
                <w:b/>
                <w:color w:val="auto"/>
                <w:kern w:val="0"/>
                <w:sz w:val="24"/>
                <w:lang w:val="en-US"/>
              </w:rPr>
            </w:pPr>
            <w:r>
              <w:rPr>
                <w:rFonts w:hint="default" w:ascii="Times New Roman" w:hAnsi="Times New Roman" w:cs="Times New Roman"/>
                <w:color w:val="auto"/>
                <w:sz w:val="21"/>
                <w:szCs w:val="21"/>
                <w:lang w:eastAsia="zh-CN"/>
              </w:rPr>
              <w:t>*</w:t>
            </w:r>
            <w:r>
              <w:rPr>
                <w:rFonts w:hint="eastAsia" w:cs="Times New Roman"/>
                <w:color w:val="auto"/>
                <w:sz w:val="21"/>
                <w:szCs w:val="21"/>
                <w:lang w:eastAsia="zh-CN"/>
              </w:rPr>
              <w:t>注：全盐量无需申请总量。</w:t>
            </w:r>
          </w:p>
          <w:p w14:paraId="35630AD4">
            <w:pPr>
              <w:widowControl/>
              <w:adjustRightInd w:val="0"/>
              <w:snapToGrid w:val="0"/>
              <w:spacing w:before="120" w:beforeLines="50" w:line="360" w:lineRule="auto"/>
              <w:ind w:firstLine="723" w:firstLineChars="300"/>
              <w:jc w:val="left"/>
              <w:rPr>
                <w:b/>
                <w:color w:val="auto"/>
                <w:kern w:val="0"/>
                <w:sz w:val="24"/>
              </w:rPr>
            </w:pPr>
            <w:r>
              <w:rPr>
                <w:b/>
                <w:color w:val="auto"/>
                <w:kern w:val="0"/>
                <w:sz w:val="24"/>
              </w:rPr>
              <w:t>建设项目总量控制指标：</w:t>
            </w:r>
          </w:p>
          <w:p w14:paraId="69D5CC41">
            <w:pPr>
              <w:adjustRightInd w:val="0"/>
              <w:snapToGrid w:val="0"/>
              <w:spacing w:line="360" w:lineRule="auto"/>
              <w:ind w:firstLine="480" w:firstLineChars="200"/>
              <w:rPr>
                <w:bCs/>
                <w:color w:val="auto"/>
                <w:kern w:val="0"/>
                <w:sz w:val="24"/>
                <w:szCs w:val="20"/>
              </w:rPr>
            </w:pPr>
            <w:r>
              <w:rPr>
                <w:color w:val="auto"/>
                <w:sz w:val="24"/>
              </w:rPr>
              <w:t>（1）废气</w:t>
            </w:r>
          </w:p>
          <w:p w14:paraId="46A8897B">
            <w:pPr>
              <w:pStyle w:val="76"/>
              <w:widowControl/>
              <w:adjustRightInd w:val="0"/>
              <w:snapToGrid w:val="0"/>
              <w:spacing w:line="360" w:lineRule="auto"/>
              <w:ind w:left="480" w:firstLine="0" w:firstLineChars="0"/>
              <w:jc w:val="left"/>
              <w:rPr>
                <w:bCs/>
                <w:color w:val="auto"/>
                <w:kern w:val="0"/>
                <w:sz w:val="24"/>
                <w:szCs w:val="20"/>
              </w:rPr>
            </w:pPr>
            <w:r>
              <w:rPr>
                <w:rFonts w:hint="eastAsia"/>
                <w:bCs/>
                <w:color w:val="auto"/>
                <w:kern w:val="0"/>
                <w:sz w:val="24"/>
                <w:szCs w:val="20"/>
              </w:rPr>
              <w:t>废气（无组织）：</w:t>
            </w:r>
            <w:r>
              <w:rPr>
                <w:rFonts w:hint="eastAsia"/>
                <w:bCs/>
                <w:color w:val="auto"/>
                <w:kern w:val="0"/>
                <w:sz w:val="24"/>
                <w:szCs w:val="20"/>
                <w:lang w:eastAsia="zh-CN"/>
              </w:rPr>
              <w:t>非甲烷总烃</w:t>
            </w:r>
            <w:r>
              <w:rPr>
                <w:rFonts w:hint="eastAsia"/>
                <w:bCs/>
                <w:color w:val="auto"/>
                <w:kern w:val="0"/>
                <w:sz w:val="24"/>
                <w:szCs w:val="20"/>
              </w:rPr>
              <w:t>≤</w:t>
            </w:r>
            <w:r>
              <w:rPr>
                <w:rFonts w:hint="eastAsia"/>
                <w:bCs/>
                <w:color w:val="auto"/>
                <w:kern w:val="0"/>
                <w:sz w:val="24"/>
                <w:szCs w:val="20"/>
                <w:lang w:val="en-US" w:eastAsia="zh-CN"/>
              </w:rPr>
              <w:t>1.2</w:t>
            </w:r>
            <w:r>
              <w:rPr>
                <w:rFonts w:hint="eastAsia"/>
                <w:bCs/>
                <w:color w:val="auto"/>
                <w:kern w:val="0"/>
                <w:sz w:val="24"/>
                <w:szCs w:val="20"/>
              </w:rPr>
              <w:t>t/a；</w:t>
            </w:r>
          </w:p>
          <w:p w14:paraId="54C909EA">
            <w:pPr>
              <w:wordWrap w:val="0"/>
              <w:snapToGrid w:val="0"/>
              <w:spacing w:line="360" w:lineRule="auto"/>
              <w:ind w:firstLine="480" w:firstLineChars="200"/>
              <w:jc w:val="left"/>
              <w:rPr>
                <w:rFonts w:hint="eastAsia"/>
                <w:color w:val="auto"/>
                <w:kern w:val="0"/>
                <w:sz w:val="24"/>
              </w:rPr>
            </w:pPr>
            <w:r>
              <w:rPr>
                <w:rFonts w:hint="eastAsia"/>
                <w:color w:val="auto"/>
                <w:kern w:val="0"/>
                <w:sz w:val="24"/>
              </w:rPr>
              <w:t>项目建成后，全厂</w:t>
            </w:r>
            <w:r>
              <w:rPr>
                <w:rFonts w:hint="eastAsia"/>
                <w:color w:val="auto"/>
                <w:kern w:val="0"/>
                <w:sz w:val="24"/>
                <w:lang w:eastAsia="zh-CN"/>
              </w:rPr>
              <w:t>无组织非甲烷总烃</w:t>
            </w:r>
            <w:r>
              <w:rPr>
                <w:rFonts w:hint="eastAsia"/>
                <w:color w:val="auto"/>
                <w:kern w:val="0"/>
                <w:sz w:val="24"/>
                <w:lang w:val="en-US" w:eastAsia="zh-CN"/>
              </w:rPr>
              <w:t>3.0</w:t>
            </w:r>
            <w:r>
              <w:rPr>
                <w:rFonts w:hint="eastAsia"/>
                <w:color w:val="auto"/>
                <w:kern w:val="0"/>
                <w:sz w:val="24"/>
              </w:rPr>
              <w:t>t/a，</w:t>
            </w:r>
            <w:r>
              <w:rPr>
                <w:rFonts w:hint="eastAsia"/>
                <w:color w:val="auto"/>
                <w:kern w:val="0"/>
                <w:sz w:val="24"/>
                <w:lang w:eastAsia="zh-CN"/>
              </w:rPr>
              <w:t>扩建项目不涉及新增有组织量，无需从</w:t>
            </w:r>
            <w:r>
              <w:rPr>
                <w:rFonts w:hint="eastAsia"/>
                <w:color w:val="auto"/>
                <w:kern w:val="0"/>
                <w:sz w:val="24"/>
              </w:rPr>
              <w:t>淮安市涟水生态环境局从境内企业削减总量中替代平衡。</w:t>
            </w:r>
          </w:p>
          <w:p w14:paraId="03855C98">
            <w:pPr>
              <w:pStyle w:val="76"/>
              <w:widowControl/>
              <w:adjustRightInd w:val="0"/>
              <w:snapToGrid w:val="0"/>
              <w:spacing w:line="360" w:lineRule="auto"/>
              <w:ind w:left="480" w:firstLine="0" w:firstLineChars="0"/>
              <w:jc w:val="left"/>
              <w:rPr>
                <w:bCs/>
                <w:color w:val="auto"/>
                <w:kern w:val="0"/>
                <w:sz w:val="24"/>
                <w:szCs w:val="20"/>
              </w:rPr>
            </w:pPr>
            <w:r>
              <w:rPr>
                <w:rFonts w:hint="eastAsia"/>
                <w:bCs/>
                <w:color w:val="auto"/>
                <w:kern w:val="0"/>
                <w:sz w:val="24"/>
                <w:szCs w:val="20"/>
              </w:rPr>
              <w:t>（2）废水</w:t>
            </w:r>
          </w:p>
          <w:p w14:paraId="4C55583F">
            <w:pPr>
              <w:wordWrap w:val="0"/>
              <w:snapToGrid w:val="0"/>
              <w:spacing w:line="360" w:lineRule="auto"/>
              <w:ind w:firstLine="480" w:firstLineChars="200"/>
              <w:jc w:val="left"/>
              <w:rPr>
                <w:rFonts w:hint="eastAsia" w:eastAsia="宋体"/>
                <w:color w:val="auto"/>
                <w:kern w:val="0"/>
                <w:sz w:val="24"/>
                <w:lang w:eastAsia="zh-CN"/>
              </w:rPr>
            </w:pPr>
            <w:r>
              <w:rPr>
                <w:rFonts w:hint="eastAsia"/>
                <w:color w:val="auto"/>
                <w:kern w:val="0"/>
                <w:sz w:val="24"/>
              </w:rPr>
              <w:t>本次</w:t>
            </w:r>
            <w:r>
              <w:rPr>
                <w:rFonts w:hint="eastAsia"/>
                <w:color w:val="auto"/>
                <w:kern w:val="0"/>
                <w:sz w:val="24"/>
                <w:lang w:eastAsia="zh-CN"/>
              </w:rPr>
              <w:t>扩建</w:t>
            </w:r>
            <w:r>
              <w:rPr>
                <w:rFonts w:hint="eastAsia"/>
                <w:color w:val="auto"/>
                <w:kern w:val="0"/>
                <w:sz w:val="24"/>
              </w:rPr>
              <w:t>项目</w:t>
            </w:r>
            <w:r>
              <w:rPr>
                <w:rFonts w:hint="eastAsia"/>
                <w:color w:val="auto"/>
                <w:kern w:val="0"/>
                <w:sz w:val="24"/>
                <w:lang w:eastAsia="zh-CN"/>
              </w:rPr>
              <w:t>不涉及新增总量，在厂内平衡，无需从</w:t>
            </w:r>
            <w:r>
              <w:rPr>
                <w:rFonts w:hint="eastAsia"/>
                <w:color w:val="auto"/>
                <w:kern w:val="0"/>
                <w:sz w:val="24"/>
              </w:rPr>
              <w:t>淮安市涟水生态环境局从境内企业削减总量中替代平衡。</w:t>
            </w:r>
          </w:p>
          <w:p w14:paraId="580EA6B9">
            <w:pPr>
              <w:widowControl/>
              <w:tabs>
                <w:tab w:val="left" w:pos="4922"/>
              </w:tabs>
              <w:adjustRightInd w:val="0"/>
              <w:snapToGrid w:val="0"/>
              <w:spacing w:line="360" w:lineRule="auto"/>
              <w:ind w:firstLine="465"/>
              <w:jc w:val="left"/>
              <w:rPr>
                <w:color w:val="auto"/>
                <w:kern w:val="0"/>
                <w:sz w:val="24"/>
              </w:rPr>
            </w:pPr>
            <w:r>
              <w:rPr>
                <w:color w:val="auto"/>
                <w:kern w:val="0"/>
                <w:sz w:val="24"/>
              </w:rPr>
              <w:t>（3）固废</w:t>
            </w:r>
          </w:p>
          <w:p w14:paraId="7E5ABF4E">
            <w:pPr>
              <w:widowControl/>
              <w:adjustRightInd w:val="0"/>
              <w:snapToGrid w:val="0"/>
              <w:spacing w:line="360" w:lineRule="auto"/>
              <w:ind w:firstLine="480" w:firstLineChars="200"/>
              <w:jc w:val="left"/>
              <w:rPr>
                <w:color w:val="auto"/>
                <w:kern w:val="0"/>
                <w:sz w:val="24"/>
                <w:szCs w:val="22"/>
              </w:rPr>
            </w:pPr>
            <w:r>
              <w:rPr>
                <w:color w:val="auto"/>
                <w:kern w:val="0"/>
                <w:sz w:val="24"/>
                <w:szCs w:val="20"/>
              </w:rPr>
              <w:t>建设项目</w:t>
            </w:r>
            <w:r>
              <w:rPr>
                <w:color w:val="auto"/>
                <w:kern w:val="0"/>
                <w:sz w:val="24"/>
                <w:szCs w:val="22"/>
              </w:rPr>
              <w:t>固废零排放。</w:t>
            </w:r>
          </w:p>
          <w:p w14:paraId="1AB7802C">
            <w:pPr>
              <w:widowControl/>
              <w:adjustRightInd w:val="0"/>
              <w:snapToGrid w:val="0"/>
              <w:spacing w:line="360" w:lineRule="auto"/>
              <w:ind w:firstLine="480" w:firstLineChars="200"/>
              <w:jc w:val="left"/>
              <w:rPr>
                <w:color w:val="auto"/>
                <w:kern w:val="0"/>
                <w:sz w:val="24"/>
                <w:szCs w:val="22"/>
              </w:rPr>
            </w:pPr>
          </w:p>
          <w:p w14:paraId="5E02FD08">
            <w:pPr>
              <w:adjustRightInd w:val="0"/>
              <w:snapToGrid w:val="0"/>
              <w:ind w:firstLine="360" w:firstLineChars="200"/>
              <w:jc w:val="left"/>
              <w:rPr>
                <w:rFonts w:hAnsi="宋体"/>
                <w:color w:val="auto"/>
                <w:sz w:val="18"/>
                <w:szCs w:val="18"/>
              </w:rPr>
            </w:pPr>
          </w:p>
        </w:tc>
      </w:tr>
    </w:tbl>
    <w:p w14:paraId="23412677">
      <w:pPr>
        <w:adjustRightInd w:val="0"/>
        <w:snapToGrid w:val="0"/>
        <w:rPr>
          <w:b/>
          <w:bCs/>
          <w:color w:val="auto"/>
          <w:kern w:val="0"/>
          <w:szCs w:val="21"/>
        </w:rPr>
        <w:sectPr>
          <w:pgSz w:w="16840" w:h="11907" w:orient="landscape"/>
          <w:pgMar w:top="1531" w:right="1701" w:bottom="1531" w:left="2127" w:header="851" w:footer="851" w:gutter="0"/>
          <w:pgBorders>
            <w:top w:val="none" w:sz="0" w:space="0"/>
            <w:left w:val="none" w:sz="0" w:space="0"/>
            <w:bottom w:val="none" w:sz="0" w:space="0"/>
            <w:right w:val="none" w:sz="0" w:space="0"/>
          </w:pgBorders>
          <w:cols w:space="720" w:num="1"/>
          <w:docGrid w:linePitch="312" w:charSpace="0"/>
        </w:sectPr>
      </w:pPr>
    </w:p>
    <w:p w14:paraId="315132AE">
      <w:pPr>
        <w:widowControl/>
        <w:jc w:val="center"/>
        <w:outlineLvl w:val="0"/>
        <w:rPr>
          <w:rFonts w:hAnsi="宋体"/>
          <w:b/>
          <w:snapToGrid w:val="0"/>
          <w:color w:val="auto"/>
          <w:sz w:val="30"/>
          <w:szCs w:val="30"/>
        </w:rPr>
      </w:pPr>
      <w:bookmarkStart w:id="33" w:name="_Toc31692"/>
      <w:r>
        <w:rPr>
          <w:rFonts w:hint="eastAsia" w:hAnsi="宋体"/>
          <w:b/>
          <w:snapToGrid w:val="0"/>
          <w:color w:val="auto"/>
          <w:sz w:val="30"/>
          <w:szCs w:val="30"/>
          <w:lang w:eastAsia="zh-CN"/>
        </w:rPr>
        <w:t>四、</w:t>
      </w:r>
      <w:r>
        <w:rPr>
          <w:rFonts w:hAnsi="宋体"/>
          <w:b/>
          <w:snapToGrid w:val="0"/>
          <w:color w:val="auto"/>
          <w:sz w:val="30"/>
          <w:szCs w:val="30"/>
        </w:rPr>
        <w:t>主要环境影响和保护措施</w:t>
      </w:r>
      <w:bookmarkEnd w:id="33"/>
    </w:p>
    <w:tbl>
      <w:tblPr>
        <w:tblStyle w:val="32"/>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08"/>
        <w:gridCol w:w="8473"/>
      </w:tblGrid>
      <w:tr w14:paraId="0B6FC2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17" w:hRule="atLeast"/>
          <w:jc w:val="center"/>
        </w:trPr>
        <w:tc>
          <w:tcPr>
            <w:tcW w:w="508" w:type="dxa"/>
            <w:tcMar>
              <w:left w:w="28" w:type="dxa"/>
              <w:right w:w="28" w:type="dxa"/>
            </w:tcMar>
            <w:vAlign w:val="center"/>
          </w:tcPr>
          <w:p w14:paraId="7A05EEBE">
            <w:pPr>
              <w:pStyle w:val="29"/>
              <w:spacing w:before="0" w:beforeAutospacing="0" w:after="0" w:afterAutospacing="0"/>
              <w:jc w:val="center"/>
              <w:outlineLvl w:val="0"/>
              <w:rPr>
                <w:rFonts w:ascii="Times New Roman" w:hAnsi="Times New Roman"/>
                <w:b/>
                <w:color w:val="auto"/>
                <w:kern w:val="2"/>
                <w:sz w:val="21"/>
                <w:szCs w:val="21"/>
              </w:rPr>
            </w:pPr>
            <w:bookmarkStart w:id="34" w:name="_Toc13240"/>
            <w:r>
              <w:rPr>
                <w:rFonts w:ascii="Times New Roman"/>
                <w:b/>
                <w:color w:val="auto"/>
                <w:kern w:val="2"/>
                <w:sz w:val="21"/>
                <w:szCs w:val="21"/>
              </w:rPr>
              <w:t>施工</w:t>
            </w:r>
            <w:bookmarkEnd w:id="34"/>
          </w:p>
          <w:p w14:paraId="3E91DF7A">
            <w:pPr>
              <w:pStyle w:val="29"/>
              <w:adjustRightInd w:val="0"/>
              <w:snapToGrid w:val="0"/>
              <w:spacing w:before="0" w:beforeAutospacing="0" w:after="0" w:afterAutospacing="0"/>
              <w:jc w:val="center"/>
              <w:rPr>
                <w:rFonts w:ascii="Times New Roman" w:hAnsi="Times New Roman"/>
                <w:b/>
                <w:color w:val="auto"/>
                <w:kern w:val="2"/>
                <w:sz w:val="21"/>
                <w:szCs w:val="21"/>
              </w:rPr>
            </w:pPr>
            <w:r>
              <w:rPr>
                <w:rFonts w:ascii="Times New Roman"/>
                <w:b/>
                <w:color w:val="auto"/>
                <w:kern w:val="2"/>
                <w:sz w:val="21"/>
                <w:szCs w:val="21"/>
              </w:rPr>
              <w:t>期环</w:t>
            </w:r>
          </w:p>
          <w:p w14:paraId="5E086080">
            <w:pPr>
              <w:pStyle w:val="29"/>
              <w:adjustRightInd w:val="0"/>
              <w:snapToGrid w:val="0"/>
              <w:spacing w:before="0" w:beforeAutospacing="0" w:after="0" w:afterAutospacing="0"/>
              <w:jc w:val="center"/>
              <w:rPr>
                <w:rFonts w:ascii="Times New Roman" w:hAnsi="Times New Roman"/>
                <w:b/>
                <w:color w:val="auto"/>
                <w:kern w:val="2"/>
                <w:sz w:val="21"/>
                <w:szCs w:val="21"/>
              </w:rPr>
            </w:pPr>
            <w:r>
              <w:rPr>
                <w:rFonts w:ascii="Times New Roman"/>
                <w:b/>
                <w:color w:val="auto"/>
                <w:kern w:val="2"/>
                <w:sz w:val="21"/>
                <w:szCs w:val="21"/>
              </w:rPr>
              <w:t>境保</w:t>
            </w:r>
          </w:p>
          <w:p w14:paraId="6FD5965C">
            <w:pPr>
              <w:pStyle w:val="29"/>
              <w:adjustRightInd w:val="0"/>
              <w:snapToGrid w:val="0"/>
              <w:spacing w:before="0" w:beforeAutospacing="0" w:after="0" w:afterAutospacing="0"/>
              <w:jc w:val="center"/>
              <w:rPr>
                <w:rFonts w:ascii="Times New Roman" w:hAnsi="Times New Roman"/>
                <w:b/>
                <w:color w:val="auto"/>
                <w:kern w:val="2"/>
                <w:sz w:val="21"/>
                <w:szCs w:val="21"/>
              </w:rPr>
            </w:pPr>
            <w:r>
              <w:rPr>
                <w:rFonts w:ascii="Times New Roman"/>
                <w:b/>
                <w:color w:val="auto"/>
                <w:kern w:val="2"/>
                <w:sz w:val="21"/>
                <w:szCs w:val="21"/>
              </w:rPr>
              <w:t>护措</w:t>
            </w:r>
          </w:p>
          <w:p w14:paraId="368D998E">
            <w:pPr>
              <w:pStyle w:val="29"/>
              <w:adjustRightInd w:val="0"/>
              <w:snapToGrid w:val="0"/>
              <w:spacing w:before="0" w:beforeAutospacing="0" w:after="0" w:afterAutospacing="0"/>
              <w:jc w:val="center"/>
              <w:rPr>
                <w:rFonts w:ascii="Times New Roman" w:hAnsi="Times New Roman"/>
                <w:b/>
                <w:bCs/>
                <w:color w:val="auto"/>
                <w:kern w:val="2"/>
                <w:sz w:val="21"/>
                <w:szCs w:val="21"/>
              </w:rPr>
            </w:pPr>
            <w:r>
              <w:rPr>
                <w:rFonts w:ascii="Times New Roman"/>
                <w:b/>
                <w:color w:val="auto"/>
                <w:kern w:val="2"/>
                <w:sz w:val="21"/>
                <w:szCs w:val="21"/>
              </w:rPr>
              <w:t>施</w:t>
            </w:r>
          </w:p>
        </w:tc>
        <w:tc>
          <w:tcPr>
            <w:tcW w:w="8473" w:type="dxa"/>
            <w:vAlign w:val="center"/>
          </w:tcPr>
          <w:p w14:paraId="6A42B42E">
            <w:pPr>
              <w:adjustRightInd w:val="0"/>
              <w:snapToGrid w:val="0"/>
              <w:spacing w:line="360" w:lineRule="auto"/>
              <w:rPr>
                <w:b/>
                <w:color w:val="auto"/>
                <w:sz w:val="24"/>
              </w:rPr>
            </w:pPr>
            <w:r>
              <w:rPr>
                <w:b/>
                <w:color w:val="auto"/>
                <w:sz w:val="24"/>
              </w:rPr>
              <w:t>（一）废气污染防治措施分析</w:t>
            </w:r>
          </w:p>
          <w:p w14:paraId="6BACDB9F">
            <w:pPr>
              <w:adjustRightInd w:val="0"/>
              <w:snapToGrid w:val="0"/>
              <w:spacing w:line="360" w:lineRule="auto"/>
              <w:ind w:firstLine="480" w:firstLineChars="200"/>
              <w:rPr>
                <w:color w:val="auto"/>
                <w:sz w:val="24"/>
              </w:rPr>
            </w:pPr>
            <w:r>
              <w:rPr>
                <w:color w:val="auto"/>
                <w:sz w:val="24"/>
              </w:rPr>
              <w:t>1、施工扬尘</w:t>
            </w:r>
          </w:p>
          <w:p w14:paraId="2C8192D8">
            <w:pPr>
              <w:adjustRightInd w:val="0"/>
              <w:snapToGrid w:val="0"/>
              <w:spacing w:line="360" w:lineRule="auto"/>
              <w:ind w:firstLine="480" w:firstLineChars="200"/>
              <w:rPr>
                <w:color w:val="auto"/>
                <w:sz w:val="24"/>
              </w:rPr>
            </w:pPr>
            <w:r>
              <w:rPr>
                <w:rFonts w:hint="eastAsia" w:ascii="宋体" w:hAnsi="宋体" w:cs="宋体"/>
                <w:color w:val="auto"/>
                <w:sz w:val="24"/>
              </w:rPr>
              <w:t>①</w:t>
            </w:r>
            <w:r>
              <w:rPr>
                <w:color w:val="auto"/>
                <w:sz w:val="24"/>
              </w:rPr>
              <w:t>对施工现场实行合理化管理，使砂石料统一堆放，水泥应在专门库房堆放，并尽量减少搬运环节，搬运时做到轻举轻放，防止包装袋破裂；</w:t>
            </w:r>
          </w:p>
          <w:p w14:paraId="0A6E506D">
            <w:pPr>
              <w:adjustRightInd w:val="0"/>
              <w:snapToGrid w:val="0"/>
              <w:spacing w:line="360" w:lineRule="auto"/>
              <w:ind w:firstLine="480" w:firstLineChars="200"/>
              <w:rPr>
                <w:color w:val="auto"/>
                <w:sz w:val="24"/>
              </w:rPr>
            </w:pPr>
            <w:r>
              <w:rPr>
                <w:rFonts w:hint="eastAsia" w:ascii="宋体" w:hAnsi="宋体" w:cs="宋体"/>
                <w:color w:val="auto"/>
                <w:sz w:val="24"/>
              </w:rPr>
              <w:t>②</w:t>
            </w:r>
            <w:r>
              <w:rPr>
                <w:color w:val="auto"/>
                <w:sz w:val="24"/>
              </w:rPr>
              <w:t>开挖时，对作业面和土堆适当喷水，使其保持一定湿度，以减少扬尘量，而且开挖的泥土和建筑垃圾要及时运走，以防长期堆放表面干燥而起尘或被雨水冲刷；</w:t>
            </w:r>
          </w:p>
          <w:p w14:paraId="07A4F2C6">
            <w:pPr>
              <w:adjustRightInd w:val="0"/>
              <w:snapToGrid w:val="0"/>
              <w:spacing w:line="360" w:lineRule="auto"/>
              <w:ind w:firstLine="480" w:firstLineChars="200"/>
              <w:rPr>
                <w:color w:val="auto"/>
                <w:sz w:val="24"/>
              </w:rPr>
            </w:pPr>
            <w:r>
              <w:rPr>
                <w:rFonts w:hint="eastAsia" w:ascii="宋体" w:hAnsi="宋体" w:cs="宋体"/>
                <w:color w:val="auto"/>
                <w:sz w:val="24"/>
              </w:rPr>
              <w:t>③</w:t>
            </w:r>
            <w:r>
              <w:rPr>
                <w:color w:val="auto"/>
                <w:sz w:val="24"/>
              </w:rPr>
              <w:t>运输车辆应完好，不应装载过满，并尽量采取遮盖、密闭措施，减少沿途抛洒，并及时清扫散落在路面上的泥土和建筑材料，冲洗轮胎，定时洒水压尘，以减少运输过程中的扬尘；</w:t>
            </w:r>
          </w:p>
          <w:p w14:paraId="3F275344">
            <w:pPr>
              <w:adjustRightInd w:val="0"/>
              <w:snapToGrid w:val="0"/>
              <w:spacing w:line="360" w:lineRule="auto"/>
              <w:ind w:firstLine="480" w:firstLineChars="200"/>
              <w:rPr>
                <w:color w:val="auto"/>
                <w:sz w:val="24"/>
              </w:rPr>
            </w:pPr>
            <w:r>
              <w:rPr>
                <w:rFonts w:hint="eastAsia" w:ascii="宋体" w:hAnsi="宋体" w:cs="宋体"/>
                <w:color w:val="auto"/>
                <w:sz w:val="24"/>
              </w:rPr>
              <w:t>④</w:t>
            </w:r>
            <w:r>
              <w:rPr>
                <w:color w:val="auto"/>
                <w:sz w:val="24"/>
              </w:rPr>
              <w:t>应首选使用商品混凝土，因需要必须进行现场</w:t>
            </w:r>
            <w:r>
              <w:rPr>
                <w:rFonts w:hint="eastAsia"/>
                <w:color w:val="auto"/>
                <w:sz w:val="24"/>
                <w:lang w:eastAsia="zh-CN"/>
              </w:rPr>
              <w:t>预拌砂浆</w:t>
            </w:r>
            <w:r>
              <w:rPr>
                <w:color w:val="auto"/>
                <w:sz w:val="24"/>
              </w:rPr>
              <w:t>、混凝土时，应尽量做到不洒、不漏、不剩、不倒；混凝土搅拌应设置在棚内，搅拌时要有喷雾降尘措施；</w:t>
            </w:r>
          </w:p>
          <w:p w14:paraId="73B5ABE1">
            <w:pPr>
              <w:adjustRightInd w:val="0"/>
              <w:snapToGrid w:val="0"/>
              <w:spacing w:line="360" w:lineRule="auto"/>
              <w:ind w:firstLine="480" w:firstLineChars="200"/>
              <w:rPr>
                <w:color w:val="auto"/>
                <w:sz w:val="24"/>
              </w:rPr>
            </w:pPr>
            <w:r>
              <w:rPr>
                <w:rFonts w:hint="eastAsia" w:ascii="宋体" w:hAnsi="宋体" w:cs="宋体"/>
                <w:color w:val="auto"/>
                <w:sz w:val="24"/>
              </w:rPr>
              <w:t>⑤</w:t>
            </w:r>
            <w:r>
              <w:rPr>
                <w:color w:val="auto"/>
                <w:sz w:val="24"/>
              </w:rPr>
              <w:t>施工现场要设围栏或部分围栏，缩小施工扬尘扩散范围；</w:t>
            </w:r>
          </w:p>
          <w:p w14:paraId="055D63BE">
            <w:pPr>
              <w:adjustRightInd w:val="0"/>
              <w:snapToGrid w:val="0"/>
              <w:spacing w:line="360" w:lineRule="auto"/>
              <w:ind w:firstLine="480" w:firstLineChars="200"/>
              <w:rPr>
                <w:color w:val="auto"/>
                <w:sz w:val="24"/>
              </w:rPr>
            </w:pPr>
            <w:r>
              <w:rPr>
                <w:rFonts w:hint="eastAsia" w:ascii="宋体" w:hAnsi="宋体" w:cs="宋体"/>
                <w:color w:val="auto"/>
                <w:sz w:val="24"/>
              </w:rPr>
              <w:t>⑥</w:t>
            </w:r>
            <w:r>
              <w:rPr>
                <w:color w:val="auto"/>
                <w:sz w:val="24"/>
              </w:rPr>
              <w:t>当风速过大时，应停止施工作业，并对堆存的砂粉等建筑材料采取遮盖措施。</w:t>
            </w:r>
          </w:p>
          <w:p w14:paraId="5EAD6593">
            <w:pPr>
              <w:adjustRightInd w:val="0"/>
              <w:snapToGrid w:val="0"/>
              <w:spacing w:line="360" w:lineRule="auto"/>
              <w:ind w:firstLine="480" w:firstLineChars="200"/>
              <w:rPr>
                <w:color w:val="auto"/>
                <w:sz w:val="24"/>
              </w:rPr>
            </w:pPr>
            <w:r>
              <w:rPr>
                <w:color w:val="auto"/>
                <w:sz w:val="24"/>
              </w:rPr>
              <w:t>本项目所在地区风速相对较小，只有在大风及干燥天气施工，施工现场</w:t>
            </w:r>
            <w:r>
              <w:rPr>
                <w:rFonts w:hint="eastAsia"/>
                <w:color w:val="auto"/>
                <w:sz w:val="24"/>
                <w:lang w:eastAsia="zh-CN"/>
              </w:rPr>
              <w:t>及</w:t>
            </w:r>
            <w:r>
              <w:rPr>
                <w:color w:val="auto"/>
                <w:sz w:val="24"/>
              </w:rPr>
              <w:t>下风向将有较多粉尘存在。通过洒水抑尘、封闭施工、保持施工场地路面清洁等措施，预计施工产生的粉尘对周围环境影响不大。</w:t>
            </w:r>
          </w:p>
          <w:p w14:paraId="49CD4BEB">
            <w:pPr>
              <w:adjustRightInd w:val="0"/>
              <w:snapToGrid w:val="0"/>
              <w:spacing w:line="360" w:lineRule="auto"/>
              <w:ind w:firstLine="480" w:firstLineChars="200"/>
              <w:rPr>
                <w:color w:val="auto"/>
                <w:sz w:val="24"/>
              </w:rPr>
            </w:pPr>
            <w:r>
              <w:rPr>
                <w:color w:val="auto"/>
                <w:sz w:val="24"/>
              </w:rPr>
              <w:t>2、房屋装修的油漆废气</w:t>
            </w:r>
          </w:p>
          <w:p w14:paraId="75568908">
            <w:pPr>
              <w:adjustRightInd w:val="0"/>
              <w:snapToGrid w:val="0"/>
              <w:spacing w:line="360" w:lineRule="auto"/>
              <w:ind w:firstLine="480" w:firstLineChars="200"/>
              <w:rPr>
                <w:color w:val="auto"/>
                <w:sz w:val="24"/>
              </w:rPr>
            </w:pPr>
            <w:r>
              <w:rPr>
                <w:color w:val="auto"/>
                <w:sz w:val="24"/>
              </w:rPr>
              <w:t>装修阶段对环境产生污染的材料主要是人造板、饰面人造板以及漆料、涂料等有机溶剂。其主要污染因子为挥发性有机物，但排放量、排放时间和部位都不能十分明确，尤其是各住宅装修阶段随机性大，时间跨度很长，按本项目规模通常可达2~4年。</w:t>
            </w:r>
          </w:p>
          <w:p w14:paraId="1E5DD20B">
            <w:pPr>
              <w:adjustRightInd w:val="0"/>
              <w:snapToGrid w:val="0"/>
              <w:spacing w:line="360" w:lineRule="auto"/>
              <w:ind w:firstLine="480" w:firstLineChars="200"/>
              <w:rPr>
                <w:color w:val="auto"/>
                <w:sz w:val="24"/>
              </w:rPr>
            </w:pPr>
            <w:r>
              <w:rPr>
                <w:color w:val="auto"/>
                <w:sz w:val="24"/>
              </w:rPr>
              <w:t>装修阶段的有机废气排放周期短，且作业点分散。因此，在装修</w:t>
            </w:r>
            <w:r>
              <w:rPr>
                <w:rFonts w:hint="eastAsia"/>
                <w:color w:val="auto"/>
                <w:sz w:val="24"/>
                <w:lang w:eastAsia="zh-CN"/>
              </w:rPr>
              <w:t>涂料</w:t>
            </w:r>
            <w:r>
              <w:rPr>
                <w:color w:val="auto"/>
                <w:sz w:val="24"/>
              </w:rPr>
              <w:t>期间，应加强室内的通风换气。建设单位装修采用环保漆料、水性涂料和环保材料，减少有机废气产生量，并加强通风，有利于产生的有害物质扩散。</w:t>
            </w:r>
          </w:p>
          <w:p w14:paraId="6BCB2759">
            <w:pPr>
              <w:adjustRightInd w:val="0"/>
              <w:snapToGrid w:val="0"/>
              <w:spacing w:line="360" w:lineRule="auto"/>
              <w:ind w:firstLine="480" w:firstLineChars="200"/>
              <w:rPr>
                <w:color w:val="auto"/>
                <w:sz w:val="24"/>
              </w:rPr>
            </w:pPr>
            <w:r>
              <w:rPr>
                <w:color w:val="auto"/>
                <w:sz w:val="24"/>
              </w:rPr>
              <w:t>3、汽车尾气</w:t>
            </w:r>
          </w:p>
          <w:p w14:paraId="3C6A968B">
            <w:pPr>
              <w:adjustRightInd w:val="0"/>
              <w:snapToGrid w:val="0"/>
              <w:spacing w:line="360" w:lineRule="auto"/>
              <w:ind w:firstLine="480" w:firstLineChars="200"/>
              <w:rPr>
                <w:color w:val="auto"/>
                <w:sz w:val="24"/>
              </w:rPr>
            </w:pPr>
            <w:r>
              <w:rPr>
                <w:color w:val="auto"/>
                <w:sz w:val="24"/>
              </w:rPr>
              <w:t>施工期产生的交通废气通过采用可行的控制措施，可减轻污染程度，缩小其影响范围。</w:t>
            </w:r>
          </w:p>
          <w:p w14:paraId="14FBFE06">
            <w:pPr>
              <w:adjustRightInd w:val="0"/>
              <w:snapToGrid w:val="0"/>
              <w:spacing w:line="360" w:lineRule="auto"/>
              <w:ind w:firstLine="480" w:firstLineChars="200"/>
              <w:rPr>
                <w:color w:val="auto"/>
                <w:sz w:val="24"/>
              </w:rPr>
            </w:pPr>
            <w:r>
              <w:rPr>
                <w:rFonts w:hint="eastAsia" w:ascii="宋体" w:hAnsi="宋体" w:cs="宋体"/>
                <w:color w:val="auto"/>
                <w:sz w:val="24"/>
              </w:rPr>
              <w:t>①</w:t>
            </w:r>
            <w:r>
              <w:rPr>
                <w:color w:val="auto"/>
                <w:sz w:val="24"/>
              </w:rPr>
              <w:t>燃油机车和施工机械尽可能使用柴油，若使用汽油，必须使用无铅汽油。</w:t>
            </w:r>
          </w:p>
          <w:p w14:paraId="74CDA5A0">
            <w:pPr>
              <w:adjustRightInd w:val="0"/>
              <w:snapToGrid w:val="0"/>
              <w:spacing w:line="360" w:lineRule="auto"/>
              <w:ind w:firstLine="480" w:firstLineChars="200"/>
              <w:rPr>
                <w:color w:val="auto"/>
                <w:sz w:val="24"/>
              </w:rPr>
            </w:pPr>
            <w:r>
              <w:rPr>
                <w:rFonts w:hint="eastAsia" w:ascii="宋体" w:hAnsi="宋体" w:cs="宋体"/>
                <w:color w:val="auto"/>
                <w:sz w:val="24"/>
              </w:rPr>
              <w:t>②</w:t>
            </w:r>
            <w:r>
              <w:rPr>
                <w:color w:val="auto"/>
                <w:sz w:val="24"/>
              </w:rPr>
              <w:t>建议对排烟量大的施工机械安装消烟装置，以减轻对大气环境的污染。</w:t>
            </w:r>
          </w:p>
          <w:p w14:paraId="6317AC89">
            <w:pPr>
              <w:adjustRightInd w:val="0"/>
              <w:snapToGrid w:val="0"/>
              <w:spacing w:line="360" w:lineRule="auto"/>
              <w:ind w:firstLine="480" w:firstLineChars="200"/>
              <w:rPr>
                <w:color w:val="auto"/>
                <w:sz w:val="24"/>
              </w:rPr>
            </w:pPr>
            <w:r>
              <w:rPr>
                <w:color w:val="auto"/>
                <w:sz w:val="24"/>
              </w:rPr>
              <w:t>综上所述，通过加强施工管理，采取以上一系列措施，可大幅度降低施工造成的大气污染影响，施工期废气污染防治措施具有可行性。</w:t>
            </w:r>
          </w:p>
          <w:p w14:paraId="6249CB2B">
            <w:pPr>
              <w:adjustRightInd w:val="0"/>
              <w:snapToGrid w:val="0"/>
              <w:spacing w:line="360" w:lineRule="auto"/>
              <w:rPr>
                <w:b/>
                <w:color w:val="auto"/>
                <w:sz w:val="24"/>
              </w:rPr>
            </w:pPr>
            <w:r>
              <w:rPr>
                <w:b/>
                <w:color w:val="auto"/>
                <w:sz w:val="24"/>
              </w:rPr>
              <w:t>（二）废水污染防治措施分析</w:t>
            </w:r>
          </w:p>
          <w:p w14:paraId="5C41DD5B">
            <w:pPr>
              <w:adjustRightInd w:val="0"/>
              <w:snapToGrid w:val="0"/>
              <w:spacing w:line="360" w:lineRule="auto"/>
              <w:ind w:firstLine="480" w:firstLineChars="200"/>
              <w:rPr>
                <w:color w:val="auto"/>
                <w:sz w:val="24"/>
              </w:rPr>
            </w:pPr>
            <w:r>
              <w:rPr>
                <w:color w:val="auto"/>
                <w:sz w:val="24"/>
              </w:rPr>
              <w:t>1、施工人员生活污水</w:t>
            </w:r>
          </w:p>
          <w:p w14:paraId="14991C14">
            <w:pPr>
              <w:adjustRightInd w:val="0"/>
              <w:snapToGrid w:val="0"/>
              <w:spacing w:line="360" w:lineRule="auto"/>
              <w:ind w:firstLine="480" w:firstLineChars="200"/>
              <w:rPr>
                <w:color w:val="auto"/>
                <w:sz w:val="24"/>
              </w:rPr>
            </w:pPr>
            <w:r>
              <w:rPr>
                <w:color w:val="auto"/>
                <w:sz w:val="24"/>
              </w:rPr>
              <w:t>建议在施工人员驻地设简易化粪池对生活污水进行预处理，处理后的生活污水排入涟水经济开发区西区污水处理厂集中处置，污水处理厂处理达到《城镇污水处理厂污染物排放标准》(GB18918-2002)一级A标准，尾水排入公兴河。</w:t>
            </w:r>
          </w:p>
          <w:p w14:paraId="1ECDEFBB">
            <w:pPr>
              <w:adjustRightInd w:val="0"/>
              <w:snapToGrid w:val="0"/>
              <w:spacing w:line="360" w:lineRule="auto"/>
              <w:ind w:firstLine="480" w:firstLineChars="200"/>
              <w:rPr>
                <w:color w:val="auto"/>
                <w:sz w:val="24"/>
              </w:rPr>
            </w:pPr>
            <w:r>
              <w:rPr>
                <w:color w:val="auto"/>
                <w:sz w:val="24"/>
              </w:rPr>
              <w:t>2、施工机械冲洗废水</w:t>
            </w:r>
          </w:p>
          <w:p w14:paraId="4298A33A">
            <w:pPr>
              <w:adjustRightInd w:val="0"/>
              <w:snapToGrid w:val="0"/>
              <w:spacing w:line="360" w:lineRule="auto"/>
              <w:ind w:firstLine="480" w:firstLineChars="200"/>
              <w:rPr>
                <w:color w:val="auto"/>
              </w:rPr>
            </w:pPr>
            <w:r>
              <w:rPr>
                <w:color w:val="auto"/>
                <w:sz w:val="24"/>
              </w:rPr>
              <w:t>本项目施工时修建临时沉淀池，对泥浆废水进行沉淀澄清处理后回用，用于地面冲洗、构件与建筑材料的保湿、材料的拌制和施工场地抑尘洒水，不排放。</w:t>
            </w:r>
          </w:p>
          <w:p w14:paraId="73373094">
            <w:pPr>
              <w:adjustRightInd w:val="0"/>
              <w:snapToGrid w:val="0"/>
              <w:spacing w:line="360" w:lineRule="auto"/>
              <w:rPr>
                <w:color w:val="auto"/>
                <w:sz w:val="24"/>
              </w:rPr>
            </w:pPr>
            <w:r>
              <w:rPr>
                <w:b/>
                <w:color w:val="auto"/>
                <w:sz w:val="24"/>
              </w:rPr>
              <w:t>（三）噪声污染防治措施分析</w:t>
            </w:r>
          </w:p>
          <w:p w14:paraId="287F23F8">
            <w:pPr>
              <w:adjustRightInd w:val="0"/>
              <w:snapToGrid w:val="0"/>
              <w:spacing w:line="360" w:lineRule="auto"/>
              <w:ind w:firstLine="480" w:firstLineChars="200"/>
              <w:rPr>
                <w:color w:val="auto"/>
                <w:sz w:val="24"/>
              </w:rPr>
            </w:pPr>
            <w:r>
              <w:rPr>
                <w:color w:val="auto"/>
                <w:sz w:val="24"/>
              </w:rPr>
              <w:t>施工期噪声主要来自施工机械噪声、施工作业噪声和运输车辆噪声。</w:t>
            </w:r>
          </w:p>
          <w:p w14:paraId="4C0C8939">
            <w:pPr>
              <w:adjustRightInd w:val="0"/>
              <w:snapToGrid w:val="0"/>
              <w:spacing w:line="360" w:lineRule="auto"/>
              <w:ind w:firstLine="480" w:firstLineChars="200"/>
              <w:rPr>
                <w:color w:val="auto"/>
                <w:sz w:val="24"/>
              </w:rPr>
            </w:pPr>
            <w:r>
              <w:rPr>
                <w:color w:val="auto"/>
                <w:sz w:val="24"/>
              </w:rPr>
              <w:t>施工期间进行强噪声施工或在场界施工时，施工期噪声不可避免会对周围部分居民造成一定的影响，对施工厂界围挡后施工噪声对周边敏感点的影响较小。建设方在做好施工期噪声防治工作的同时，需同当地居民做好协调工作，取得谅解。待施工结束，其造成的影响将随之消失。</w:t>
            </w:r>
          </w:p>
          <w:p w14:paraId="5F571E68">
            <w:pPr>
              <w:adjustRightInd w:val="0"/>
              <w:snapToGrid w:val="0"/>
              <w:spacing w:line="360" w:lineRule="auto"/>
              <w:ind w:firstLine="480" w:firstLineChars="200"/>
              <w:rPr>
                <w:color w:val="auto"/>
                <w:sz w:val="24"/>
              </w:rPr>
            </w:pPr>
            <w:r>
              <w:rPr>
                <w:color w:val="auto"/>
                <w:sz w:val="24"/>
              </w:rPr>
              <w:t>1、施工单位应尽量选用先进的低噪声设备，在高噪声设备周围设置屏障以减轻噪声对周围环境的影响，施工机械放置在远离居民点的位置，控制施工场界噪声不超过《建筑施工场界环境噪声排放标准》（GB12523-2011）。</w:t>
            </w:r>
          </w:p>
          <w:p w14:paraId="5357B665">
            <w:pPr>
              <w:adjustRightInd w:val="0"/>
              <w:snapToGrid w:val="0"/>
              <w:spacing w:line="360" w:lineRule="auto"/>
              <w:ind w:firstLine="480" w:firstLineChars="200"/>
              <w:rPr>
                <w:color w:val="auto"/>
                <w:sz w:val="24"/>
              </w:rPr>
            </w:pPr>
            <w:r>
              <w:rPr>
                <w:color w:val="auto"/>
                <w:sz w:val="24"/>
              </w:rPr>
              <w:t>2、施工单位采用先进的施工工艺，合理选用施工机械，加装减振、消声、吸声设备。</w:t>
            </w:r>
          </w:p>
          <w:p w14:paraId="5661F709">
            <w:pPr>
              <w:adjustRightInd w:val="0"/>
              <w:snapToGrid w:val="0"/>
              <w:spacing w:line="360" w:lineRule="auto"/>
              <w:ind w:firstLine="480" w:firstLineChars="200"/>
              <w:rPr>
                <w:color w:val="auto"/>
                <w:sz w:val="24"/>
              </w:rPr>
            </w:pPr>
            <w:r>
              <w:rPr>
                <w:color w:val="auto"/>
                <w:sz w:val="24"/>
              </w:rPr>
              <w:t>3、加强现场管理，精心安排，减少昼间施工噪声影响时间，禁止夜间施工。如需夜间施工，需按国家有关规定到生态环境行政主管部门及时办理夜间施工许可手续，夜间禁止强噪声工种施工作业，并张贴安民告示。</w:t>
            </w:r>
          </w:p>
          <w:p w14:paraId="75EC296E">
            <w:pPr>
              <w:adjustRightInd w:val="0"/>
              <w:snapToGrid w:val="0"/>
              <w:spacing w:line="360" w:lineRule="auto"/>
              <w:ind w:firstLine="480" w:firstLineChars="200"/>
              <w:rPr>
                <w:color w:val="auto"/>
                <w:sz w:val="24"/>
              </w:rPr>
            </w:pPr>
            <w:r>
              <w:rPr>
                <w:color w:val="auto"/>
                <w:sz w:val="24"/>
              </w:rPr>
              <w:t>4、施工中应加强对施工机械的维护保养，避免由于设备性能差而增大机械噪声的现象发生。</w:t>
            </w:r>
          </w:p>
          <w:p w14:paraId="6D2768CE">
            <w:pPr>
              <w:adjustRightInd w:val="0"/>
              <w:snapToGrid w:val="0"/>
              <w:spacing w:line="360" w:lineRule="auto"/>
              <w:ind w:firstLine="480" w:firstLineChars="200"/>
              <w:rPr>
                <w:color w:val="auto"/>
                <w:sz w:val="24"/>
              </w:rPr>
            </w:pPr>
            <w:r>
              <w:rPr>
                <w:color w:val="auto"/>
                <w:sz w:val="24"/>
              </w:rPr>
              <w:t>5、尽量压缩施工区域汽车数量与行车密度，工地汽车应慢速行驶，控制汽车鸣笛。</w:t>
            </w:r>
          </w:p>
          <w:p w14:paraId="19B64005">
            <w:pPr>
              <w:adjustRightInd w:val="0"/>
              <w:snapToGrid w:val="0"/>
              <w:spacing w:line="360" w:lineRule="auto"/>
              <w:ind w:firstLine="480" w:firstLineChars="200"/>
              <w:rPr>
                <w:color w:val="auto"/>
                <w:sz w:val="24"/>
              </w:rPr>
            </w:pPr>
            <w:r>
              <w:rPr>
                <w:color w:val="auto"/>
                <w:sz w:val="24"/>
              </w:rPr>
              <w:t>通过以上噪声污染防治措施，主要噪声源对项目边界噪声影响较小，项目边界外噪声能够达标。</w:t>
            </w:r>
          </w:p>
          <w:p w14:paraId="68721B93">
            <w:pPr>
              <w:adjustRightInd w:val="0"/>
              <w:snapToGrid w:val="0"/>
              <w:spacing w:line="360" w:lineRule="auto"/>
              <w:ind w:firstLine="480" w:firstLineChars="200"/>
              <w:rPr>
                <w:color w:val="auto"/>
                <w:sz w:val="24"/>
              </w:rPr>
            </w:pPr>
            <w:r>
              <w:rPr>
                <w:color w:val="auto"/>
                <w:sz w:val="24"/>
              </w:rPr>
              <w:t>因此，上述噪声污染防治措施是可行的。</w:t>
            </w:r>
          </w:p>
          <w:p w14:paraId="16DC619E">
            <w:pPr>
              <w:snapToGrid w:val="0"/>
              <w:spacing w:line="360" w:lineRule="auto"/>
              <w:rPr>
                <w:b/>
                <w:color w:val="auto"/>
                <w:sz w:val="24"/>
              </w:rPr>
            </w:pPr>
            <w:r>
              <w:rPr>
                <w:b/>
                <w:color w:val="auto"/>
                <w:sz w:val="24"/>
              </w:rPr>
              <w:t>（四）固体污染防治措施分析</w:t>
            </w:r>
          </w:p>
          <w:p w14:paraId="1499D882">
            <w:pPr>
              <w:adjustRightInd w:val="0"/>
              <w:snapToGrid w:val="0"/>
              <w:spacing w:line="360" w:lineRule="auto"/>
              <w:ind w:firstLine="480" w:firstLineChars="200"/>
              <w:rPr>
                <w:color w:val="auto"/>
                <w:sz w:val="24"/>
              </w:rPr>
            </w:pPr>
            <w:r>
              <w:rPr>
                <w:color w:val="auto"/>
                <w:sz w:val="24"/>
              </w:rPr>
              <w:t>施工期的固体废弃物主要有施工产生的施工人员的生活垃圾和建筑垃圾两类。</w:t>
            </w:r>
          </w:p>
          <w:p w14:paraId="27755910">
            <w:pPr>
              <w:adjustRightInd w:val="0"/>
              <w:snapToGrid w:val="0"/>
              <w:spacing w:line="360" w:lineRule="auto"/>
              <w:ind w:firstLine="480" w:firstLineChars="200"/>
              <w:rPr>
                <w:color w:val="auto"/>
                <w:sz w:val="24"/>
              </w:rPr>
            </w:pPr>
            <w:r>
              <w:rPr>
                <w:color w:val="auto"/>
                <w:sz w:val="24"/>
              </w:rPr>
              <w:t>为减少施工期固体废物的影响，应采取以下措施：</w:t>
            </w:r>
          </w:p>
          <w:p w14:paraId="101D720B">
            <w:pPr>
              <w:adjustRightInd w:val="0"/>
              <w:snapToGrid w:val="0"/>
              <w:spacing w:line="360" w:lineRule="auto"/>
              <w:ind w:firstLine="480" w:firstLineChars="200"/>
              <w:rPr>
                <w:color w:val="auto"/>
                <w:sz w:val="24"/>
              </w:rPr>
            </w:pPr>
            <w:r>
              <w:rPr>
                <w:color w:val="auto"/>
                <w:sz w:val="24"/>
              </w:rPr>
              <w:t>1、施工人员生活垃圾的管理：加强对施工期生活垃圾的管理，生活垃圾不得随意丢弃、抛洒，应集中收集后交由环卫清运至垃圾填埋场处理；</w:t>
            </w:r>
          </w:p>
          <w:p w14:paraId="367F8882">
            <w:pPr>
              <w:adjustRightInd w:val="0"/>
              <w:snapToGrid w:val="0"/>
              <w:spacing w:line="360" w:lineRule="auto"/>
              <w:ind w:firstLine="480" w:firstLineChars="200"/>
              <w:rPr>
                <w:color w:val="auto"/>
                <w:sz w:val="24"/>
              </w:rPr>
            </w:pPr>
            <w:r>
              <w:rPr>
                <w:color w:val="auto"/>
                <w:sz w:val="24"/>
              </w:rPr>
              <w:t>2、施工生产建筑垃圾的处理：对钢筋、钢板下脚料可以分类回收，交废品收购站处理，其他建筑垃圾（如混凝土废料、废砖等）集中堆放，及时清运到指定的弃渣堆放场；</w:t>
            </w:r>
          </w:p>
          <w:p w14:paraId="6157E9B7">
            <w:pPr>
              <w:adjustRightInd w:val="0"/>
              <w:snapToGrid w:val="0"/>
              <w:spacing w:line="360" w:lineRule="auto"/>
              <w:ind w:firstLine="480" w:firstLineChars="200"/>
              <w:rPr>
                <w:color w:val="auto"/>
                <w:sz w:val="24"/>
              </w:rPr>
            </w:pPr>
            <w:r>
              <w:rPr>
                <w:color w:val="auto"/>
                <w:sz w:val="24"/>
              </w:rPr>
              <w:t>3、本项目在施工过程中产生的废油漆桶、废油漆、废涂料等属于废物，必须严格执行固体废物管理规定，废油漆桶经集中收集后可由原供应商进行回收再利用，废油漆、废涂料等须由专人、专用容器进行收集，并定期送至有资质的专业部门处置。</w:t>
            </w:r>
          </w:p>
          <w:p w14:paraId="7E33034B">
            <w:pPr>
              <w:adjustRightInd w:val="0"/>
              <w:snapToGrid w:val="0"/>
              <w:spacing w:line="360" w:lineRule="auto"/>
              <w:ind w:firstLine="480" w:firstLineChars="200"/>
              <w:rPr>
                <w:color w:val="auto"/>
                <w:sz w:val="24"/>
              </w:rPr>
            </w:pPr>
            <w:r>
              <w:rPr>
                <w:color w:val="auto"/>
                <w:sz w:val="24"/>
              </w:rPr>
              <w:t>根据各类固体废物的不同特点，分别采取不同的、行之有效的处理措施，项目建设过程中产生的各类固体废物均可得到妥善的、合理可行的处理处置，并将其对周围环境带来的影响降低到最低程度。项目产生的固废可以实现资源的回收利用和废物的妥善处置，方法可行。在严格执行上述处置措施和管理措施的前提下，固体废物不会对环境产生二次污染。</w:t>
            </w:r>
          </w:p>
          <w:p w14:paraId="70828702">
            <w:pPr>
              <w:snapToGrid w:val="0"/>
              <w:spacing w:line="360" w:lineRule="auto"/>
              <w:rPr>
                <w:b/>
                <w:color w:val="auto"/>
                <w:sz w:val="24"/>
              </w:rPr>
            </w:pPr>
            <w:r>
              <w:rPr>
                <w:b/>
                <w:color w:val="auto"/>
                <w:sz w:val="24"/>
              </w:rPr>
              <w:t>（五）风险防范措施可行性分析</w:t>
            </w:r>
          </w:p>
          <w:p w14:paraId="6E41CF4D">
            <w:pPr>
              <w:snapToGrid w:val="0"/>
              <w:spacing w:line="360" w:lineRule="auto"/>
              <w:ind w:firstLine="480" w:firstLineChars="200"/>
              <w:rPr>
                <w:color w:val="auto"/>
                <w:sz w:val="24"/>
              </w:rPr>
            </w:pPr>
            <w:r>
              <w:rPr>
                <w:color w:val="auto"/>
                <w:sz w:val="24"/>
              </w:rPr>
              <w:t>针对本项目可能发生的环境风险事故，提出以下风险防范措施：</w:t>
            </w:r>
          </w:p>
          <w:p w14:paraId="6F69A9B2">
            <w:pPr>
              <w:snapToGrid w:val="0"/>
              <w:spacing w:line="360" w:lineRule="auto"/>
              <w:ind w:firstLine="480" w:firstLineChars="200"/>
              <w:rPr>
                <w:color w:val="auto"/>
                <w:sz w:val="24"/>
              </w:rPr>
            </w:pPr>
            <w:r>
              <w:rPr>
                <w:color w:val="auto"/>
                <w:sz w:val="24"/>
              </w:rPr>
              <w:t>1、施工工程风险防范措施</w:t>
            </w:r>
          </w:p>
          <w:p w14:paraId="6CD89FAC">
            <w:pPr>
              <w:snapToGrid w:val="0"/>
              <w:spacing w:line="360" w:lineRule="auto"/>
              <w:ind w:firstLine="480" w:firstLineChars="200"/>
              <w:rPr>
                <w:color w:val="auto"/>
                <w:sz w:val="24"/>
              </w:rPr>
            </w:pPr>
            <w:r>
              <w:rPr>
                <w:color w:val="auto"/>
                <w:sz w:val="24"/>
              </w:rPr>
              <w:fldChar w:fldCharType="begin"/>
            </w:r>
            <w:r>
              <w:rPr>
                <w:color w:val="auto"/>
                <w:sz w:val="24"/>
              </w:rPr>
              <w:instrText xml:space="preserve"> = 1 \* GB3 </w:instrText>
            </w:r>
            <w:r>
              <w:rPr>
                <w:color w:val="auto"/>
                <w:sz w:val="24"/>
              </w:rPr>
              <w:fldChar w:fldCharType="separate"/>
            </w:r>
            <w:r>
              <w:rPr>
                <w:rFonts w:hint="eastAsia" w:ascii="宋体" w:hAnsi="宋体" w:cs="宋体"/>
                <w:color w:val="auto"/>
                <w:sz w:val="24"/>
              </w:rPr>
              <w:t>①</w:t>
            </w:r>
            <w:r>
              <w:rPr>
                <w:color w:val="auto"/>
                <w:sz w:val="24"/>
              </w:rPr>
              <w:fldChar w:fldCharType="end"/>
            </w:r>
            <w:r>
              <w:rPr>
                <w:color w:val="auto"/>
                <w:sz w:val="24"/>
              </w:rPr>
              <w:t>做好安全防护工作，搬运物料轻装轻卸。</w:t>
            </w:r>
          </w:p>
          <w:p w14:paraId="27C6253D">
            <w:pPr>
              <w:snapToGrid w:val="0"/>
              <w:spacing w:line="360" w:lineRule="auto"/>
              <w:ind w:firstLine="480" w:firstLineChars="200"/>
              <w:rPr>
                <w:color w:val="auto"/>
                <w:sz w:val="24"/>
              </w:rPr>
            </w:pPr>
            <w:r>
              <w:rPr>
                <w:color w:val="auto"/>
                <w:sz w:val="24"/>
              </w:rPr>
              <w:fldChar w:fldCharType="begin"/>
            </w:r>
            <w:r>
              <w:rPr>
                <w:color w:val="auto"/>
                <w:sz w:val="24"/>
              </w:rPr>
              <w:instrText xml:space="preserve"> = 2 \* GB3 </w:instrText>
            </w:r>
            <w:r>
              <w:rPr>
                <w:color w:val="auto"/>
                <w:sz w:val="24"/>
              </w:rPr>
              <w:fldChar w:fldCharType="separate"/>
            </w:r>
            <w:r>
              <w:rPr>
                <w:rFonts w:hint="eastAsia" w:ascii="宋体" w:hAnsi="宋体" w:cs="宋体"/>
                <w:color w:val="auto"/>
                <w:sz w:val="24"/>
              </w:rPr>
              <w:t>②</w:t>
            </w:r>
            <w:r>
              <w:rPr>
                <w:color w:val="auto"/>
                <w:sz w:val="24"/>
              </w:rPr>
              <w:fldChar w:fldCharType="end"/>
            </w:r>
            <w:r>
              <w:rPr>
                <w:color w:val="auto"/>
                <w:sz w:val="24"/>
              </w:rPr>
              <w:t>划定禁火区，在明显地点设有警示标志，输配电线、灯具、火灾事故照明和疏散指示标志均应符合安全要求；严禁未安装灭</w:t>
            </w:r>
            <w:r>
              <w:rPr>
                <w:rFonts w:hint="eastAsia"/>
                <w:color w:val="auto"/>
                <w:sz w:val="24"/>
                <w:lang w:eastAsia="zh-CN"/>
              </w:rPr>
              <w:t>火</w:t>
            </w:r>
            <w:r>
              <w:rPr>
                <w:color w:val="auto"/>
                <w:sz w:val="24"/>
              </w:rPr>
              <w:t>装置的车辆出入生产装置区。</w:t>
            </w:r>
          </w:p>
          <w:p w14:paraId="2AAD0410">
            <w:pPr>
              <w:snapToGrid w:val="0"/>
              <w:spacing w:line="360" w:lineRule="auto"/>
              <w:ind w:firstLine="480" w:firstLineChars="200"/>
              <w:rPr>
                <w:color w:val="auto"/>
                <w:sz w:val="24"/>
              </w:rPr>
            </w:pPr>
            <w:r>
              <w:rPr>
                <w:color w:val="auto"/>
                <w:sz w:val="24"/>
              </w:rPr>
              <w:fldChar w:fldCharType="begin"/>
            </w:r>
            <w:r>
              <w:rPr>
                <w:color w:val="auto"/>
                <w:sz w:val="24"/>
              </w:rPr>
              <w:instrText xml:space="preserve"> = 3 \* GB3 </w:instrText>
            </w:r>
            <w:r>
              <w:rPr>
                <w:color w:val="auto"/>
                <w:sz w:val="24"/>
              </w:rPr>
              <w:fldChar w:fldCharType="separate"/>
            </w:r>
            <w:r>
              <w:rPr>
                <w:rFonts w:hint="eastAsia" w:ascii="宋体" w:hAnsi="宋体" w:cs="宋体"/>
                <w:color w:val="auto"/>
                <w:sz w:val="24"/>
              </w:rPr>
              <w:t>③</w:t>
            </w:r>
            <w:r>
              <w:rPr>
                <w:color w:val="auto"/>
                <w:sz w:val="24"/>
              </w:rPr>
              <w:fldChar w:fldCharType="end"/>
            </w:r>
            <w:r>
              <w:rPr>
                <w:color w:val="auto"/>
                <w:sz w:val="24"/>
              </w:rPr>
              <w:t>合理规划运输路线及时间，加强特殊物品运输车辆的管理，避免运输过程事故的发生。</w:t>
            </w:r>
          </w:p>
          <w:p w14:paraId="374DDC54">
            <w:pPr>
              <w:snapToGrid w:val="0"/>
              <w:spacing w:line="360" w:lineRule="auto"/>
              <w:ind w:firstLine="480" w:firstLineChars="200"/>
              <w:rPr>
                <w:color w:val="auto"/>
                <w:sz w:val="24"/>
              </w:rPr>
            </w:pPr>
            <w:r>
              <w:rPr>
                <w:color w:val="auto"/>
                <w:sz w:val="24"/>
              </w:rPr>
              <w:t>2、火灾、爆炸事故的抢救措施</w:t>
            </w:r>
          </w:p>
          <w:p w14:paraId="61B74BB7">
            <w:pPr>
              <w:snapToGrid w:val="0"/>
              <w:spacing w:line="360" w:lineRule="auto"/>
              <w:ind w:firstLine="480" w:firstLineChars="200"/>
              <w:rPr>
                <w:color w:val="auto"/>
                <w:sz w:val="24"/>
              </w:rPr>
            </w:pPr>
            <w:r>
              <w:rPr>
                <w:color w:val="auto"/>
                <w:sz w:val="24"/>
              </w:rPr>
              <w:t>一旦发生火灾、爆炸事故，利用设置的火灾自动报警系统及电话向消防部门报警，同时采取设置的移动式消防器材及固定式消防设施进行灭火。</w:t>
            </w:r>
          </w:p>
          <w:p w14:paraId="5B574C97">
            <w:pPr>
              <w:snapToGrid w:val="0"/>
              <w:spacing w:line="360" w:lineRule="auto"/>
              <w:ind w:firstLine="480" w:firstLineChars="200"/>
              <w:rPr>
                <w:color w:val="auto"/>
                <w:sz w:val="24"/>
              </w:rPr>
            </w:pPr>
            <w:r>
              <w:rPr>
                <w:color w:val="auto"/>
                <w:sz w:val="24"/>
              </w:rPr>
              <w:t>一般建筑物火灾主要采用水灭火，利用消防栓、消防车、消防水枪并配合其他消防器材进行扑救。</w:t>
            </w:r>
          </w:p>
          <w:p w14:paraId="3690DC05">
            <w:pPr>
              <w:snapToGrid w:val="0"/>
              <w:spacing w:line="360" w:lineRule="auto"/>
              <w:ind w:firstLine="480" w:firstLineChars="200"/>
              <w:rPr>
                <w:color w:val="auto"/>
                <w:sz w:val="24"/>
              </w:rPr>
            </w:pPr>
            <w:r>
              <w:rPr>
                <w:color w:val="auto"/>
                <w:sz w:val="24"/>
              </w:rPr>
              <w:t>通过采取以上方案，项目施工期风险可防控，风险事故防范措施可行。</w:t>
            </w:r>
          </w:p>
          <w:p w14:paraId="14ABB6DC">
            <w:pPr>
              <w:snapToGrid w:val="0"/>
              <w:spacing w:line="360" w:lineRule="auto"/>
              <w:rPr>
                <w:color w:val="auto"/>
                <w:sz w:val="24"/>
              </w:rPr>
            </w:pPr>
            <w:r>
              <w:rPr>
                <w:b/>
                <w:color w:val="auto"/>
                <w:sz w:val="24"/>
              </w:rPr>
              <w:t>（六）装修阶段污染防治措施分析</w:t>
            </w:r>
          </w:p>
          <w:p w14:paraId="299A6A3C">
            <w:pPr>
              <w:adjustRightInd w:val="0"/>
              <w:snapToGrid w:val="0"/>
              <w:spacing w:line="360" w:lineRule="auto"/>
              <w:ind w:firstLine="480" w:firstLineChars="200"/>
              <w:rPr>
                <w:color w:val="auto"/>
                <w:sz w:val="24"/>
              </w:rPr>
            </w:pPr>
            <w:r>
              <w:rPr>
                <w:color w:val="auto"/>
                <w:sz w:val="24"/>
              </w:rPr>
              <w:t>室内装修材料尽量采用具有绿色环保标志的绿色建材，装饰建材主要分为天然材料和人工合成材料，天然材料有石料、木料、竹料、棉料等，人工合成材料包括壁纸、水性涂料、复合地板、粘合剂等，提醒企业注意从环保</w:t>
            </w:r>
            <w:r>
              <w:rPr>
                <w:rFonts w:hint="eastAsia"/>
                <w:color w:val="auto"/>
                <w:sz w:val="24"/>
                <w:lang w:eastAsia="zh-CN"/>
              </w:rPr>
              <w:t>和</w:t>
            </w:r>
            <w:r>
              <w:rPr>
                <w:color w:val="auto"/>
                <w:sz w:val="24"/>
              </w:rPr>
              <w:t>人体健康的角度优选装饰建材。</w:t>
            </w:r>
          </w:p>
          <w:p w14:paraId="71724AC1">
            <w:pPr>
              <w:autoSpaceDE w:val="0"/>
              <w:autoSpaceDN w:val="0"/>
              <w:adjustRightInd w:val="0"/>
              <w:snapToGrid w:val="0"/>
              <w:spacing w:line="360" w:lineRule="auto"/>
              <w:ind w:firstLine="480" w:firstLineChars="200"/>
              <w:rPr>
                <w:color w:val="auto"/>
                <w:sz w:val="24"/>
              </w:rPr>
            </w:pPr>
            <w:r>
              <w:rPr>
                <w:color w:val="auto"/>
                <w:sz w:val="24"/>
              </w:rPr>
              <w:t>对装修过程中的施工噪声要严格管理，装修垃圾应及时清运。</w:t>
            </w:r>
          </w:p>
          <w:p w14:paraId="1E5A97F2">
            <w:pPr>
              <w:autoSpaceDE w:val="0"/>
              <w:autoSpaceDN w:val="0"/>
              <w:adjustRightInd w:val="0"/>
              <w:snapToGrid w:val="0"/>
              <w:spacing w:line="360" w:lineRule="auto"/>
              <w:ind w:firstLine="480" w:firstLineChars="200"/>
              <w:rPr>
                <w:color w:val="auto"/>
                <w:sz w:val="24"/>
              </w:rPr>
            </w:pPr>
          </w:p>
          <w:p w14:paraId="3488777E">
            <w:pPr>
              <w:autoSpaceDE w:val="0"/>
              <w:autoSpaceDN w:val="0"/>
              <w:adjustRightInd w:val="0"/>
              <w:snapToGrid w:val="0"/>
              <w:spacing w:line="360" w:lineRule="auto"/>
              <w:ind w:firstLine="480" w:firstLineChars="200"/>
              <w:rPr>
                <w:color w:val="auto"/>
                <w:sz w:val="24"/>
              </w:rPr>
            </w:pPr>
          </w:p>
          <w:p w14:paraId="6F0C54B8">
            <w:pPr>
              <w:autoSpaceDE w:val="0"/>
              <w:autoSpaceDN w:val="0"/>
              <w:adjustRightInd w:val="0"/>
              <w:snapToGrid w:val="0"/>
              <w:spacing w:line="360" w:lineRule="auto"/>
              <w:ind w:firstLine="480" w:firstLineChars="200"/>
              <w:rPr>
                <w:color w:val="auto"/>
                <w:sz w:val="24"/>
              </w:rPr>
            </w:pPr>
          </w:p>
          <w:p w14:paraId="1EEA6940">
            <w:pPr>
              <w:autoSpaceDE w:val="0"/>
              <w:autoSpaceDN w:val="0"/>
              <w:adjustRightInd w:val="0"/>
              <w:snapToGrid w:val="0"/>
              <w:spacing w:line="360" w:lineRule="auto"/>
              <w:ind w:firstLine="482" w:firstLineChars="200"/>
              <w:rPr>
                <w:b/>
                <w:color w:val="auto"/>
                <w:sz w:val="24"/>
              </w:rPr>
            </w:pPr>
          </w:p>
        </w:tc>
      </w:tr>
    </w:tbl>
    <w:p w14:paraId="5F9117D5">
      <w:pPr>
        <w:numPr>
          <w:ilvl w:val="0"/>
          <w:numId w:val="8"/>
        </w:numPr>
        <w:adjustRightInd w:val="0"/>
        <w:snapToGrid w:val="0"/>
        <w:jc w:val="center"/>
        <w:rPr>
          <w:rFonts w:hAnsi="宋体"/>
          <w:b/>
          <w:bCs/>
          <w:color w:val="auto"/>
          <w:sz w:val="24"/>
        </w:rPr>
      </w:pPr>
      <w:r>
        <w:rPr>
          <w:rFonts w:hAnsi="宋体"/>
          <w:b/>
          <w:bCs/>
          <w:color w:val="auto"/>
          <w:sz w:val="24"/>
        </w:rPr>
        <w:br w:type="page"/>
      </w:r>
    </w:p>
    <w:p w14:paraId="3595FC91">
      <w:pPr>
        <w:adjustRightInd w:val="0"/>
        <w:snapToGrid w:val="0"/>
        <w:jc w:val="center"/>
        <w:rPr>
          <w:rFonts w:hAnsi="宋体"/>
          <w:b/>
          <w:bCs/>
          <w:color w:val="auto"/>
          <w:sz w:val="24"/>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3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52"/>
        <w:gridCol w:w="13222"/>
      </w:tblGrid>
      <w:tr w14:paraId="4476B4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352" w:type="dxa"/>
            <w:tcMar>
              <w:left w:w="28" w:type="dxa"/>
              <w:right w:w="28" w:type="dxa"/>
            </w:tcMar>
            <w:vAlign w:val="center"/>
          </w:tcPr>
          <w:p w14:paraId="76CFADBD">
            <w:pPr>
              <w:adjustRightInd w:val="0"/>
              <w:snapToGrid w:val="0"/>
              <w:jc w:val="center"/>
              <w:rPr>
                <w:b/>
                <w:bCs/>
                <w:color w:val="auto"/>
                <w:sz w:val="24"/>
              </w:rPr>
            </w:pPr>
            <w:r>
              <w:rPr>
                <w:b/>
                <w:bCs/>
                <w:color w:val="auto"/>
                <w:sz w:val="24"/>
              </w:rPr>
              <w:t>运营期环境影响和保护措施</w:t>
            </w:r>
          </w:p>
        </w:tc>
        <w:tc>
          <w:tcPr>
            <w:tcW w:w="13222" w:type="dxa"/>
            <w:vAlign w:val="center"/>
          </w:tcPr>
          <w:p w14:paraId="59BF1E59">
            <w:pPr>
              <w:widowControl/>
              <w:autoSpaceDE w:val="0"/>
              <w:autoSpaceDN w:val="0"/>
              <w:adjustRightInd w:val="0"/>
              <w:snapToGrid w:val="0"/>
              <w:spacing w:line="360" w:lineRule="auto"/>
              <w:ind w:firstLine="482" w:firstLineChars="200"/>
              <w:jc w:val="left"/>
              <w:rPr>
                <w:b/>
                <w:color w:val="auto"/>
                <w:kern w:val="0"/>
                <w:sz w:val="24"/>
              </w:rPr>
            </w:pPr>
            <w:r>
              <w:rPr>
                <w:b/>
                <w:color w:val="auto"/>
                <w:kern w:val="0"/>
                <w:sz w:val="24"/>
              </w:rPr>
              <w:t>1.废气</w:t>
            </w:r>
          </w:p>
          <w:p w14:paraId="7C4D11CD">
            <w:pPr>
              <w:widowControl/>
              <w:autoSpaceDE w:val="0"/>
              <w:autoSpaceDN w:val="0"/>
              <w:adjustRightInd w:val="0"/>
              <w:snapToGrid w:val="0"/>
              <w:spacing w:line="360" w:lineRule="auto"/>
              <w:ind w:firstLine="482" w:firstLineChars="200"/>
              <w:jc w:val="left"/>
              <w:rPr>
                <w:b/>
                <w:color w:val="auto"/>
                <w:kern w:val="0"/>
                <w:sz w:val="24"/>
              </w:rPr>
            </w:pPr>
            <w:r>
              <w:rPr>
                <w:b/>
                <w:color w:val="auto"/>
                <w:kern w:val="0"/>
                <w:sz w:val="24"/>
              </w:rPr>
              <w:t>1.1废气产生环节及源强分析</w:t>
            </w:r>
          </w:p>
          <w:p w14:paraId="538BC042">
            <w:pPr>
              <w:adjustRightInd w:val="0"/>
              <w:snapToGrid w:val="0"/>
              <w:spacing w:line="360" w:lineRule="auto"/>
              <w:ind w:firstLine="440" w:firstLineChars="200"/>
              <w:rPr>
                <w:bCs/>
                <w:color w:val="auto"/>
                <w:spacing w:val="-10"/>
                <w:sz w:val="24"/>
                <w:szCs w:val="21"/>
              </w:rPr>
            </w:pPr>
            <w:r>
              <w:rPr>
                <w:rFonts w:hint="eastAsia"/>
                <w:bCs/>
                <w:color w:val="auto"/>
                <w:spacing w:val="-10"/>
                <w:sz w:val="24"/>
                <w:szCs w:val="21"/>
                <w:lang w:eastAsia="zh-CN"/>
              </w:rPr>
              <w:t>扩建</w:t>
            </w:r>
            <w:r>
              <w:rPr>
                <w:bCs/>
                <w:color w:val="auto"/>
                <w:spacing w:val="-10"/>
                <w:sz w:val="24"/>
                <w:szCs w:val="21"/>
              </w:rPr>
              <w:t>项目废气主要为</w:t>
            </w:r>
            <w:r>
              <w:rPr>
                <w:rFonts w:hint="eastAsia"/>
                <w:bCs/>
                <w:color w:val="auto"/>
                <w:spacing w:val="-10"/>
                <w:sz w:val="24"/>
                <w:szCs w:val="21"/>
              </w:rPr>
              <w:t>非甲烷总烃</w:t>
            </w:r>
            <w:r>
              <w:rPr>
                <w:bCs/>
                <w:color w:val="auto"/>
                <w:spacing w:val="-10"/>
                <w:sz w:val="24"/>
                <w:szCs w:val="21"/>
              </w:rPr>
              <w:t>。</w:t>
            </w:r>
          </w:p>
          <w:p w14:paraId="10DF5DFA">
            <w:pPr>
              <w:adjustRightInd w:val="0"/>
              <w:snapToGrid w:val="0"/>
              <w:spacing w:line="360" w:lineRule="auto"/>
              <w:ind w:firstLine="440" w:firstLineChars="200"/>
              <w:rPr>
                <w:bCs/>
                <w:color w:val="auto"/>
                <w:spacing w:val="-10"/>
                <w:sz w:val="24"/>
                <w:szCs w:val="21"/>
              </w:rPr>
            </w:pPr>
            <w:r>
              <w:rPr>
                <w:rFonts w:hint="eastAsia"/>
                <w:bCs/>
                <w:color w:val="auto"/>
                <w:spacing w:val="-10"/>
                <w:sz w:val="24"/>
                <w:szCs w:val="21"/>
                <w:lang w:eastAsia="zh-CN"/>
              </w:rPr>
              <w:t>扩建</w:t>
            </w:r>
            <w:r>
              <w:rPr>
                <w:bCs/>
                <w:color w:val="auto"/>
                <w:spacing w:val="-10"/>
                <w:sz w:val="24"/>
                <w:szCs w:val="21"/>
              </w:rPr>
              <w:t>项目废气污染物排放源源强核算详见表4-1。</w:t>
            </w:r>
          </w:p>
          <w:p w14:paraId="1FA4E905">
            <w:pPr>
              <w:spacing w:before="120" w:beforeLines="50"/>
              <w:ind w:firstLine="442" w:firstLineChars="200"/>
              <w:jc w:val="center"/>
              <w:rPr>
                <w:b/>
                <w:color w:val="auto"/>
                <w:sz w:val="24"/>
              </w:rPr>
            </w:pPr>
            <w:r>
              <w:rPr>
                <w:b/>
                <w:bCs/>
                <w:color w:val="auto"/>
                <w:spacing w:val="-10"/>
                <w:sz w:val="24"/>
              </w:rPr>
              <w:t xml:space="preserve">表4-1 </w:t>
            </w:r>
            <w:r>
              <w:rPr>
                <w:b/>
                <w:color w:val="auto"/>
                <w:sz w:val="24"/>
              </w:rPr>
              <w:t>废气污染源源强核算结果及相关参数一览表</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19"/>
              <w:gridCol w:w="1020"/>
              <w:gridCol w:w="255"/>
              <w:gridCol w:w="285"/>
              <w:gridCol w:w="420"/>
              <w:gridCol w:w="420"/>
              <w:gridCol w:w="585"/>
              <w:gridCol w:w="626"/>
              <w:gridCol w:w="901"/>
              <w:gridCol w:w="755"/>
              <w:gridCol w:w="239"/>
              <w:gridCol w:w="469"/>
              <w:gridCol w:w="466"/>
              <w:gridCol w:w="700"/>
              <w:gridCol w:w="1349"/>
              <w:gridCol w:w="1020"/>
              <w:gridCol w:w="720"/>
              <w:gridCol w:w="975"/>
              <w:gridCol w:w="695"/>
              <w:gridCol w:w="587"/>
            </w:tblGrid>
            <w:tr w14:paraId="796B07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99" w:type="pct"/>
                  <w:vMerge w:val="restart"/>
                  <w:tcBorders>
                    <w:top w:val="single" w:color="auto" w:sz="12" w:space="0"/>
                    <w:bottom w:val="single" w:color="auto" w:sz="4" w:space="0"/>
                  </w:tcBorders>
                  <w:shd w:val="clear" w:color="auto" w:fill="auto"/>
                  <w:vAlign w:val="center"/>
                </w:tcPr>
                <w:p w14:paraId="11A9CC28">
                  <w:pPr>
                    <w:adjustRightInd w:val="0"/>
                    <w:snapToGrid w:val="0"/>
                    <w:jc w:val="center"/>
                    <w:rPr>
                      <w:b/>
                      <w:color w:val="auto"/>
                      <w:szCs w:val="21"/>
                    </w:rPr>
                  </w:pPr>
                  <w:r>
                    <w:rPr>
                      <w:b/>
                      <w:color w:val="auto"/>
                      <w:szCs w:val="21"/>
                    </w:rPr>
                    <w:t>工序/生产线</w:t>
                  </w:r>
                </w:p>
              </w:tc>
              <w:tc>
                <w:tcPr>
                  <w:tcW w:w="392" w:type="pct"/>
                  <w:vMerge w:val="restart"/>
                  <w:tcBorders>
                    <w:top w:val="single" w:color="auto" w:sz="12" w:space="0"/>
                    <w:bottom w:val="single" w:color="auto" w:sz="4" w:space="0"/>
                  </w:tcBorders>
                  <w:shd w:val="clear" w:color="auto" w:fill="auto"/>
                  <w:vAlign w:val="center"/>
                </w:tcPr>
                <w:p w14:paraId="0B9ADF06">
                  <w:pPr>
                    <w:adjustRightInd w:val="0"/>
                    <w:snapToGrid w:val="0"/>
                    <w:jc w:val="center"/>
                    <w:rPr>
                      <w:b/>
                      <w:color w:val="auto"/>
                      <w:szCs w:val="21"/>
                    </w:rPr>
                  </w:pPr>
                  <w:r>
                    <w:rPr>
                      <w:b/>
                      <w:color w:val="auto"/>
                      <w:szCs w:val="21"/>
                    </w:rPr>
                    <w:t>装置</w:t>
                  </w:r>
                </w:p>
              </w:tc>
              <w:tc>
                <w:tcPr>
                  <w:tcW w:w="98" w:type="pct"/>
                  <w:vMerge w:val="restart"/>
                  <w:tcBorders>
                    <w:top w:val="single" w:color="auto" w:sz="12" w:space="0"/>
                    <w:bottom w:val="single" w:color="auto" w:sz="4" w:space="0"/>
                  </w:tcBorders>
                  <w:shd w:val="clear" w:color="auto" w:fill="auto"/>
                  <w:vAlign w:val="center"/>
                </w:tcPr>
                <w:p w14:paraId="1980DA2C">
                  <w:pPr>
                    <w:adjustRightInd w:val="0"/>
                    <w:snapToGrid w:val="0"/>
                    <w:jc w:val="center"/>
                    <w:rPr>
                      <w:b/>
                      <w:color w:val="auto"/>
                      <w:szCs w:val="21"/>
                    </w:rPr>
                  </w:pPr>
                  <w:r>
                    <w:rPr>
                      <w:b/>
                      <w:color w:val="auto"/>
                      <w:szCs w:val="21"/>
                    </w:rPr>
                    <w:t>废气编号</w:t>
                  </w:r>
                </w:p>
              </w:tc>
              <w:tc>
                <w:tcPr>
                  <w:tcW w:w="109" w:type="pct"/>
                  <w:vMerge w:val="restart"/>
                  <w:tcBorders>
                    <w:top w:val="single" w:color="auto" w:sz="12" w:space="0"/>
                    <w:bottom w:val="single" w:color="auto" w:sz="4" w:space="0"/>
                  </w:tcBorders>
                  <w:shd w:val="clear" w:color="auto" w:fill="auto"/>
                  <w:vAlign w:val="center"/>
                </w:tcPr>
                <w:p w14:paraId="7FCDAE41">
                  <w:pPr>
                    <w:adjustRightInd w:val="0"/>
                    <w:snapToGrid w:val="0"/>
                    <w:jc w:val="center"/>
                    <w:rPr>
                      <w:b/>
                      <w:color w:val="auto"/>
                      <w:szCs w:val="21"/>
                    </w:rPr>
                  </w:pPr>
                  <w:r>
                    <w:rPr>
                      <w:b/>
                      <w:color w:val="auto"/>
                      <w:szCs w:val="21"/>
                    </w:rPr>
                    <w:t>污染源</w:t>
                  </w:r>
                </w:p>
              </w:tc>
              <w:tc>
                <w:tcPr>
                  <w:tcW w:w="161" w:type="pct"/>
                  <w:vMerge w:val="restart"/>
                  <w:tcBorders>
                    <w:top w:val="single" w:color="auto" w:sz="12" w:space="0"/>
                    <w:bottom w:val="single" w:color="auto" w:sz="4" w:space="0"/>
                  </w:tcBorders>
                  <w:shd w:val="clear" w:color="auto" w:fill="auto"/>
                  <w:vAlign w:val="center"/>
                </w:tcPr>
                <w:p w14:paraId="2E7151C3">
                  <w:pPr>
                    <w:adjustRightInd w:val="0"/>
                    <w:snapToGrid w:val="0"/>
                    <w:jc w:val="center"/>
                    <w:rPr>
                      <w:b/>
                      <w:color w:val="auto"/>
                      <w:szCs w:val="21"/>
                    </w:rPr>
                  </w:pPr>
                  <w:r>
                    <w:rPr>
                      <w:b/>
                      <w:color w:val="auto"/>
                      <w:szCs w:val="21"/>
                    </w:rPr>
                    <w:t>污染物</w:t>
                  </w:r>
                </w:p>
              </w:tc>
              <w:tc>
                <w:tcPr>
                  <w:tcW w:w="1263" w:type="pct"/>
                  <w:gridSpan w:val="5"/>
                  <w:tcBorders>
                    <w:top w:val="single" w:color="auto" w:sz="12" w:space="0"/>
                    <w:bottom w:val="single" w:color="auto" w:sz="4" w:space="0"/>
                  </w:tcBorders>
                  <w:shd w:val="clear" w:color="auto" w:fill="auto"/>
                  <w:vAlign w:val="center"/>
                </w:tcPr>
                <w:p w14:paraId="6DBEB7C9">
                  <w:pPr>
                    <w:adjustRightInd w:val="0"/>
                    <w:snapToGrid w:val="0"/>
                    <w:jc w:val="center"/>
                    <w:rPr>
                      <w:b/>
                      <w:color w:val="auto"/>
                      <w:szCs w:val="21"/>
                    </w:rPr>
                  </w:pPr>
                  <w:r>
                    <w:rPr>
                      <w:b/>
                      <w:color w:val="auto"/>
                      <w:szCs w:val="21"/>
                    </w:rPr>
                    <w:t>污染物产生</w:t>
                  </w:r>
                </w:p>
              </w:tc>
              <w:tc>
                <w:tcPr>
                  <w:tcW w:w="451" w:type="pct"/>
                  <w:gridSpan w:val="3"/>
                  <w:tcBorders>
                    <w:top w:val="single" w:color="auto" w:sz="12" w:space="0"/>
                    <w:bottom w:val="single" w:color="auto" w:sz="4" w:space="0"/>
                  </w:tcBorders>
                  <w:shd w:val="clear" w:color="auto" w:fill="auto"/>
                  <w:vAlign w:val="center"/>
                </w:tcPr>
                <w:p w14:paraId="0C084BA8">
                  <w:pPr>
                    <w:adjustRightInd w:val="0"/>
                    <w:snapToGrid w:val="0"/>
                    <w:jc w:val="center"/>
                    <w:rPr>
                      <w:b/>
                      <w:color w:val="auto"/>
                      <w:szCs w:val="21"/>
                    </w:rPr>
                  </w:pPr>
                  <w:r>
                    <w:rPr>
                      <w:b/>
                      <w:color w:val="auto"/>
                      <w:szCs w:val="21"/>
                    </w:rPr>
                    <w:t>治理措施</w:t>
                  </w:r>
                </w:p>
              </w:tc>
              <w:tc>
                <w:tcPr>
                  <w:tcW w:w="1456" w:type="pct"/>
                  <w:gridSpan w:val="4"/>
                  <w:tcBorders>
                    <w:top w:val="single" w:color="auto" w:sz="12" w:space="0"/>
                    <w:bottom w:val="single" w:color="auto" w:sz="4" w:space="0"/>
                  </w:tcBorders>
                  <w:shd w:val="clear" w:color="auto" w:fill="auto"/>
                  <w:vAlign w:val="center"/>
                </w:tcPr>
                <w:p w14:paraId="1F64D50F">
                  <w:pPr>
                    <w:adjustRightInd w:val="0"/>
                    <w:snapToGrid w:val="0"/>
                    <w:jc w:val="center"/>
                    <w:rPr>
                      <w:b/>
                      <w:color w:val="auto"/>
                      <w:szCs w:val="21"/>
                    </w:rPr>
                  </w:pPr>
                  <w:r>
                    <w:rPr>
                      <w:b/>
                      <w:color w:val="auto"/>
                      <w:szCs w:val="21"/>
                    </w:rPr>
                    <w:t>污染物排放</w:t>
                  </w:r>
                </w:p>
              </w:tc>
              <w:tc>
                <w:tcPr>
                  <w:tcW w:w="642" w:type="pct"/>
                  <w:gridSpan w:val="2"/>
                  <w:tcBorders>
                    <w:top w:val="single" w:color="auto" w:sz="12" w:space="0"/>
                    <w:bottom w:val="single" w:color="auto" w:sz="4" w:space="0"/>
                  </w:tcBorders>
                  <w:shd w:val="clear" w:color="auto" w:fill="auto"/>
                  <w:vAlign w:val="center"/>
                </w:tcPr>
                <w:p w14:paraId="6A3B6E5E">
                  <w:pPr>
                    <w:adjustRightInd w:val="0"/>
                    <w:snapToGrid w:val="0"/>
                    <w:jc w:val="center"/>
                    <w:rPr>
                      <w:b/>
                      <w:color w:val="auto"/>
                      <w:szCs w:val="21"/>
                    </w:rPr>
                  </w:pPr>
                  <w:r>
                    <w:rPr>
                      <w:b/>
                      <w:color w:val="auto"/>
                      <w:szCs w:val="21"/>
                    </w:rPr>
                    <w:t>排放标准</w:t>
                  </w:r>
                </w:p>
              </w:tc>
              <w:tc>
                <w:tcPr>
                  <w:tcW w:w="225" w:type="pct"/>
                  <w:vMerge w:val="restart"/>
                  <w:tcBorders>
                    <w:top w:val="single" w:color="auto" w:sz="12" w:space="0"/>
                    <w:bottom w:val="single" w:color="auto" w:sz="4" w:space="0"/>
                  </w:tcBorders>
                  <w:shd w:val="clear" w:color="auto" w:fill="auto"/>
                  <w:vAlign w:val="center"/>
                </w:tcPr>
                <w:p w14:paraId="067C98A5">
                  <w:pPr>
                    <w:adjustRightInd w:val="0"/>
                    <w:snapToGrid w:val="0"/>
                    <w:jc w:val="center"/>
                    <w:rPr>
                      <w:b/>
                      <w:color w:val="auto"/>
                      <w:szCs w:val="21"/>
                    </w:rPr>
                  </w:pPr>
                  <w:r>
                    <w:rPr>
                      <w:b/>
                      <w:color w:val="auto"/>
                      <w:szCs w:val="21"/>
                    </w:rPr>
                    <w:t>排放时间（h）</w:t>
                  </w:r>
                </w:p>
              </w:tc>
            </w:tr>
            <w:tr w14:paraId="14AD6F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99" w:type="pct"/>
                  <w:vMerge w:val="continue"/>
                  <w:tcBorders>
                    <w:top w:val="single" w:color="auto" w:sz="4" w:space="0"/>
                    <w:bottom w:val="single" w:color="auto" w:sz="12" w:space="0"/>
                  </w:tcBorders>
                  <w:shd w:val="clear" w:color="auto" w:fill="auto"/>
                  <w:vAlign w:val="center"/>
                </w:tcPr>
                <w:p w14:paraId="7DC63966">
                  <w:pPr>
                    <w:adjustRightInd w:val="0"/>
                    <w:snapToGrid w:val="0"/>
                    <w:jc w:val="center"/>
                    <w:rPr>
                      <w:b/>
                      <w:color w:val="auto"/>
                      <w:szCs w:val="21"/>
                    </w:rPr>
                  </w:pPr>
                </w:p>
              </w:tc>
              <w:tc>
                <w:tcPr>
                  <w:tcW w:w="392" w:type="pct"/>
                  <w:vMerge w:val="continue"/>
                  <w:tcBorders>
                    <w:top w:val="single" w:color="auto" w:sz="4" w:space="0"/>
                    <w:bottom w:val="single" w:color="auto" w:sz="12" w:space="0"/>
                  </w:tcBorders>
                  <w:shd w:val="clear" w:color="auto" w:fill="auto"/>
                  <w:vAlign w:val="center"/>
                </w:tcPr>
                <w:p w14:paraId="2A63D5BF">
                  <w:pPr>
                    <w:adjustRightInd w:val="0"/>
                    <w:snapToGrid w:val="0"/>
                    <w:jc w:val="center"/>
                    <w:rPr>
                      <w:b/>
                      <w:color w:val="auto"/>
                      <w:szCs w:val="21"/>
                    </w:rPr>
                  </w:pPr>
                </w:p>
              </w:tc>
              <w:tc>
                <w:tcPr>
                  <w:tcW w:w="98" w:type="pct"/>
                  <w:vMerge w:val="continue"/>
                  <w:tcBorders>
                    <w:bottom w:val="single" w:color="auto" w:sz="12" w:space="0"/>
                  </w:tcBorders>
                  <w:shd w:val="clear" w:color="auto" w:fill="auto"/>
                  <w:vAlign w:val="center"/>
                </w:tcPr>
                <w:p w14:paraId="11C66E11">
                  <w:pPr>
                    <w:adjustRightInd w:val="0"/>
                    <w:snapToGrid w:val="0"/>
                    <w:jc w:val="center"/>
                    <w:rPr>
                      <w:b/>
                      <w:color w:val="auto"/>
                      <w:szCs w:val="21"/>
                    </w:rPr>
                  </w:pPr>
                </w:p>
              </w:tc>
              <w:tc>
                <w:tcPr>
                  <w:tcW w:w="109" w:type="pct"/>
                  <w:vMerge w:val="continue"/>
                  <w:tcBorders>
                    <w:top w:val="single" w:color="auto" w:sz="4" w:space="0"/>
                    <w:bottom w:val="single" w:color="auto" w:sz="12" w:space="0"/>
                  </w:tcBorders>
                  <w:shd w:val="clear" w:color="auto" w:fill="auto"/>
                  <w:vAlign w:val="center"/>
                </w:tcPr>
                <w:p w14:paraId="50EA47B6">
                  <w:pPr>
                    <w:adjustRightInd w:val="0"/>
                    <w:snapToGrid w:val="0"/>
                    <w:jc w:val="center"/>
                    <w:rPr>
                      <w:b/>
                      <w:color w:val="auto"/>
                      <w:szCs w:val="21"/>
                    </w:rPr>
                  </w:pPr>
                </w:p>
              </w:tc>
              <w:tc>
                <w:tcPr>
                  <w:tcW w:w="161" w:type="pct"/>
                  <w:vMerge w:val="continue"/>
                  <w:tcBorders>
                    <w:top w:val="single" w:color="auto" w:sz="4" w:space="0"/>
                    <w:bottom w:val="single" w:color="auto" w:sz="12" w:space="0"/>
                  </w:tcBorders>
                  <w:shd w:val="clear" w:color="auto" w:fill="auto"/>
                  <w:vAlign w:val="center"/>
                </w:tcPr>
                <w:p w14:paraId="48108D4A">
                  <w:pPr>
                    <w:adjustRightInd w:val="0"/>
                    <w:snapToGrid w:val="0"/>
                    <w:jc w:val="center"/>
                    <w:rPr>
                      <w:b/>
                      <w:color w:val="auto"/>
                      <w:szCs w:val="21"/>
                    </w:rPr>
                  </w:pPr>
                </w:p>
              </w:tc>
              <w:tc>
                <w:tcPr>
                  <w:tcW w:w="161" w:type="pct"/>
                  <w:tcBorders>
                    <w:top w:val="single" w:color="auto" w:sz="4" w:space="0"/>
                    <w:bottom w:val="single" w:color="auto" w:sz="12" w:space="0"/>
                  </w:tcBorders>
                  <w:shd w:val="clear" w:color="auto" w:fill="auto"/>
                  <w:vAlign w:val="center"/>
                </w:tcPr>
                <w:p w14:paraId="35D5BAF6">
                  <w:pPr>
                    <w:adjustRightInd w:val="0"/>
                    <w:snapToGrid w:val="0"/>
                    <w:jc w:val="center"/>
                    <w:rPr>
                      <w:b/>
                      <w:color w:val="auto"/>
                      <w:szCs w:val="21"/>
                    </w:rPr>
                  </w:pPr>
                  <w:r>
                    <w:rPr>
                      <w:b/>
                      <w:color w:val="auto"/>
                      <w:szCs w:val="21"/>
                    </w:rPr>
                    <w:t>核算方法</w:t>
                  </w:r>
                </w:p>
              </w:tc>
              <w:tc>
                <w:tcPr>
                  <w:tcW w:w="224" w:type="pct"/>
                  <w:tcBorders>
                    <w:top w:val="single" w:color="auto" w:sz="4" w:space="0"/>
                    <w:bottom w:val="single" w:color="auto" w:sz="12" w:space="0"/>
                  </w:tcBorders>
                  <w:shd w:val="clear" w:color="auto" w:fill="auto"/>
                  <w:vAlign w:val="center"/>
                </w:tcPr>
                <w:p w14:paraId="46A5EDB6">
                  <w:pPr>
                    <w:adjustRightInd w:val="0"/>
                    <w:snapToGrid w:val="0"/>
                    <w:jc w:val="center"/>
                    <w:rPr>
                      <w:b/>
                      <w:color w:val="auto"/>
                      <w:szCs w:val="21"/>
                    </w:rPr>
                  </w:pPr>
                  <w:r>
                    <w:rPr>
                      <w:b/>
                      <w:color w:val="auto"/>
                      <w:szCs w:val="21"/>
                    </w:rPr>
                    <w:t>废气产生量（m</w:t>
                  </w:r>
                  <w:r>
                    <w:rPr>
                      <w:b/>
                      <w:color w:val="auto"/>
                      <w:szCs w:val="21"/>
                      <w:vertAlign w:val="superscript"/>
                    </w:rPr>
                    <w:t>3</w:t>
                  </w:r>
                  <w:r>
                    <w:rPr>
                      <w:b/>
                      <w:color w:val="auto"/>
                      <w:szCs w:val="21"/>
                    </w:rPr>
                    <w:t>/h）</w:t>
                  </w:r>
                </w:p>
              </w:tc>
              <w:tc>
                <w:tcPr>
                  <w:tcW w:w="240" w:type="pct"/>
                  <w:tcBorders>
                    <w:top w:val="single" w:color="auto" w:sz="4" w:space="0"/>
                    <w:bottom w:val="single" w:color="auto" w:sz="12" w:space="0"/>
                  </w:tcBorders>
                  <w:shd w:val="clear" w:color="auto" w:fill="auto"/>
                  <w:vAlign w:val="center"/>
                </w:tcPr>
                <w:p w14:paraId="20D4839A">
                  <w:pPr>
                    <w:adjustRightInd w:val="0"/>
                    <w:snapToGrid w:val="0"/>
                    <w:jc w:val="center"/>
                    <w:rPr>
                      <w:b/>
                      <w:color w:val="auto"/>
                      <w:szCs w:val="21"/>
                    </w:rPr>
                  </w:pPr>
                  <w:r>
                    <w:rPr>
                      <w:b/>
                      <w:color w:val="auto"/>
                      <w:szCs w:val="21"/>
                    </w:rPr>
                    <w:t>产生浓度（mg/m</w:t>
                  </w:r>
                  <w:r>
                    <w:rPr>
                      <w:b/>
                      <w:color w:val="auto"/>
                      <w:szCs w:val="21"/>
                      <w:vertAlign w:val="superscript"/>
                    </w:rPr>
                    <w:t>3</w:t>
                  </w:r>
                  <w:r>
                    <w:rPr>
                      <w:b/>
                      <w:color w:val="auto"/>
                      <w:szCs w:val="21"/>
                    </w:rPr>
                    <w:t>）</w:t>
                  </w:r>
                </w:p>
              </w:tc>
              <w:tc>
                <w:tcPr>
                  <w:tcW w:w="346" w:type="pct"/>
                  <w:tcBorders>
                    <w:top w:val="single" w:color="auto" w:sz="4" w:space="0"/>
                    <w:bottom w:val="single" w:color="auto" w:sz="12" w:space="0"/>
                  </w:tcBorders>
                  <w:shd w:val="clear" w:color="auto" w:fill="auto"/>
                  <w:vAlign w:val="center"/>
                </w:tcPr>
                <w:p w14:paraId="2A4D31B7">
                  <w:pPr>
                    <w:adjustRightInd w:val="0"/>
                    <w:snapToGrid w:val="0"/>
                    <w:jc w:val="center"/>
                    <w:rPr>
                      <w:b/>
                      <w:color w:val="auto"/>
                      <w:szCs w:val="21"/>
                    </w:rPr>
                  </w:pPr>
                  <w:r>
                    <w:rPr>
                      <w:b/>
                      <w:color w:val="auto"/>
                      <w:szCs w:val="21"/>
                    </w:rPr>
                    <w:t>产生速率（kg/h）</w:t>
                  </w:r>
                </w:p>
              </w:tc>
              <w:tc>
                <w:tcPr>
                  <w:tcW w:w="290" w:type="pct"/>
                  <w:tcBorders>
                    <w:top w:val="single" w:color="auto" w:sz="4" w:space="0"/>
                    <w:bottom w:val="single" w:color="auto" w:sz="12" w:space="0"/>
                  </w:tcBorders>
                  <w:shd w:val="clear" w:color="auto" w:fill="auto"/>
                  <w:vAlign w:val="center"/>
                </w:tcPr>
                <w:p w14:paraId="2F8EF4D0">
                  <w:pPr>
                    <w:adjustRightInd w:val="0"/>
                    <w:snapToGrid w:val="0"/>
                    <w:jc w:val="center"/>
                    <w:rPr>
                      <w:b/>
                      <w:color w:val="auto"/>
                      <w:szCs w:val="21"/>
                    </w:rPr>
                  </w:pPr>
                  <w:r>
                    <w:rPr>
                      <w:b/>
                      <w:color w:val="auto"/>
                      <w:szCs w:val="21"/>
                    </w:rPr>
                    <w:t>产生量（t/a）</w:t>
                  </w:r>
                </w:p>
              </w:tc>
              <w:tc>
                <w:tcPr>
                  <w:tcW w:w="91" w:type="pct"/>
                  <w:tcBorders>
                    <w:top w:val="single" w:color="auto" w:sz="4" w:space="0"/>
                    <w:bottom w:val="single" w:color="auto" w:sz="12" w:space="0"/>
                  </w:tcBorders>
                  <w:shd w:val="clear" w:color="auto" w:fill="auto"/>
                  <w:vAlign w:val="center"/>
                </w:tcPr>
                <w:p w14:paraId="38F3D868">
                  <w:pPr>
                    <w:adjustRightInd w:val="0"/>
                    <w:snapToGrid w:val="0"/>
                    <w:jc w:val="center"/>
                    <w:rPr>
                      <w:b/>
                      <w:color w:val="auto"/>
                      <w:szCs w:val="21"/>
                    </w:rPr>
                  </w:pPr>
                  <w:r>
                    <w:rPr>
                      <w:b/>
                      <w:color w:val="auto"/>
                      <w:szCs w:val="21"/>
                    </w:rPr>
                    <w:t>工艺</w:t>
                  </w:r>
                </w:p>
              </w:tc>
              <w:tc>
                <w:tcPr>
                  <w:tcW w:w="180" w:type="pct"/>
                  <w:tcBorders>
                    <w:top w:val="single" w:color="auto" w:sz="4" w:space="0"/>
                    <w:bottom w:val="single" w:color="auto" w:sz="12" w:space="0"/>
                  </w:tcBorders>
                  <w:shd w:val="clear" w:color="auto" w:fill="auto"/>
                  <w:vAlign w:val="center"/>
                </w:tcPr>
                <w:p w14:paraId="069E500E">
                  <w:pPr>
                    <w:adjustRightInd w:val="0"/>
                    <w:snapToGrid w:val="0"/>
                    <w:jc w:val="center"/>
                    <w:rPr>
                      <w:b/>
                      <w:color w:val="auto"/>
                      <w:szCs w:val="21"/>
                    </w:rPr>
                  </w:pPr>
                  <w:r>
                    <w:rPr>
                      <w:b/>
                      <w:color w:val="auto"/>
                      <w:szCs w:val="21"/>
                    </w:rPr>
                    <w:t>效率%</w:t>
                  </w:r>
                </w:p>
              </w:tc>
              <w:tc>
                <w:tcPr>
                  <w:tcW w:w="179" w:type="pct"/>
                  <w:tcBorders>
                    <w:top w:val="single" w:color="auto" w:sz="4" w:space="0"/>
                    <w:bottom w:val="single" w:color="auto" w:sz="12" w:space="0"/>
                  </w:tcBorders>
                  <w:shd w:val="clear" w:color="auto" w:fill="auto"/>
                  <w:vAlign w:val="center"/>
                </w:tcPr>
                <w:p w14:paraId="5A8B4DD0">
                  <w:pPr>
                    <w:adjustRightInd w:val="0"/>
                    <w:snapToGrid w:val="0"/>
                    <w:jc w:val="center"/>
                    <w:rPr>
                      <w:b/>
                      <w:color w:val="auto"/>
                      <w:szCs w:val="21"/>
                    </w:rPr>
                  </w:pPr>
                  <w:r>
                    <w:rPr>
                      <w:b/>
                      <w:color w:val="auto"/>
                      <w:szCs w:val="21"/>
                    </w:rPr>
                    <w:t>是否为可行技术</w:t>
                  </w:r>
                </w:p>
              </w:tc>
              <w:tc>
                <w:tcPr>
                  <w:tcW w:w="269" w:type="pct"/>
                  <w:tcBorders>
                    <w:top w:val="single" w:color="auto" w:sz="4" w:space="0"/>
                    <w:bottom w:val="single" w:color="auto" w:sz="12" w:space="0"/>
                  </w:tcBorders>
                  <w:shd w:val="clear" w:color="auto" w:fill="auto"/>
                  <w:vAlign w:val="center"/>
                </w:tcPr>
                <w:p w14:paraId="15474E6F">
                  <w:pPr>
                    <w:adjustRightInd w:val="0"/>
                    <w:snapToGrid w:val="0"/>
                    <w:jc w:val="center"/>
                    <w:rPr>
                      <w:b/>
                      <w:color w:val="auto"/>
                      <w:szCs w:val="21"/>
                    </w:rPr>
                  </w:pPr>
                  <w:r>
                    <w:rPr>
                      <w:b/>
                      <w:color w:val="auto"/>
                      <w:szCs w:val="21"/>
                    </w:rPr>
                    <w:t>废气排放量（m</w:t>
                  </w:r>
                  <w:r>
                    <w:rPr>
                      <w:b/>
                      <w:color w:val="auto"/>
                      <w:szCs w:val="21"/>
                      <w:vertAlign w:val="superscript"/>
                    </w:rPr>
                    <w:t>3</w:t>
                  </w:r>
                  <w:r>
                    <w:rPr>
                      <w:b/>
                      <w:color w:val="auto"/>
                      <w:szCs w:val="21"/>
                    </w:rPr>
                    <w:t>/h）</w:t>
                  </w:r>
                </w:p>
              </w:tc>
              <w:tc>
                <w:tcPr>
                  <w:tcW w:w="518" w:type="pct"/>
                  <w:tcBorders>
                    <w:top w:val="single" w:color="auto" w:sz="4" w:space="0"/>
                    <w:bottom w:val="single" w:color="auto" w:sz="12" w:space="0"/>
                  </w:tcBorders>
                  <w:shd w:val="clear" w:color="auto" w:fill="auto"/>
                  <w:vAlign w:val="center"/>
                </w:tcPr>
                <w:p w14:paraId="44F777F1">
                  <w:pPr>
                    <w:adjustRightInd w:val="0"/>
                    <w:snapToGrid w:val="0"/>
                    <w:jc w:val="center"/>
                    <w:rPr>
                      <w:b/>
                      <w:color w:val="auto"/>
                      <w:szCs w:val="21"/>
                    </w:rPr>
                  </w:pPr>
                  <w:r>
                    <w:rPr>
                      <w:b/>
                      <w:color w:val="auto"/>
                      <w:szCs w:val="21"/>
                    </w:rPr>
                    <w:t>排放浓度（mg/m</w:t>
                  </w:r>
                  <w:r>
                    <w:rPr>
                      <w:b/>
                      <w:color w:val="auto"/>
                      <w:szCs w:val="21"/>
                      <w:vertAlign w:val="superscript"/>
                    </w:rPr>
                    <w:t>3</w:t>
                  </w:r>
                  <w:r>
                    <w:rPr>
                      <w:b/>
                      <w:color w:val="auto"/>
                      <w:szCs w:val="21"/>
                    </w:rPr>
                    <w:t>）</w:t>
                  </w:r>
                </w:p>
              </w:tc>
              <w:tc>
                <w:tcPr>
                  <w:tcW w:w="392" w:type="pct"/>
                  <w:tcBorders>
                    <w:top w:val="single" w:color="auto" w:sz="4" w:space="0"/>
                    <w:bottom w:val="single" w:color="auto" w:sz="12" w:space="0"/>
                  </w:tcBorders>
                  <w:shd w:val="clear" w:color="auto" w:fill="auto"/>
                  <w:vAlign w:val="center"/>
                </w:tcPr>
                <w:p w14:paraId="038D1B89">
                  <w:pPr>
                    <w:adjustRightInd w:val="0"/>
                    <w:snapToGrid w:val="0"/>
                    <w:jc w:val="center"/>
                    <w:rPr>
                      <w:b/>
                      <w:color w:val="auto"/>
                      <w:szCs w:val="21"/>
                    </w:rPr>
                  </w:pPr>
                  <w:r>
                    <w:rPr>
                      <w:b/>
                      <w:color w:val="auto"/>
                      <w:szCs w:val="21"/>
                    </w:rPr>
                    <w:t>排放速率（kg/h）</w:t>
                  </w:r>
                </w:p>
              </w:tc>
              <w:tc>
                <w:tcPr>
                  <w:tcW w:w="276" w:type="pct"/>
                  <w:tcBorders>
                    <w:top w:val="single" w:color="auto" w:sz="4" w:space="0"/>
                    <w:bottom w:val="single" w:color="auto" w:sz="12" w:space="0"/>
                  </w:tcBorders>
                  <w:shd w:val="clear" w:color="auto" w:fill="auto"/>
                  <w:vAlign w:val="center"/>
                </w:tcPr>
                <w:p w14:paraId="469AA4D8">
                  <w:pPr>
                    <w:adjustRightInd w:val="0"/>
                    <w:snapToGrid w:val="0"/>
                    <w:jc w:val="center"/>
                    <w:rPr>
                      <w:b/>
                      <w:color w:val="auto"/>
                      <w:szCs w:val="21"/>
                    </w:rPr>
                  </w:pPr>
                  <w:r>
                    <w:rPr>
                      <w:b/>
                      <w:color w:val="auto"/>
                      <w:szCs w:val="21"/>
                    </w:rPr>
                    <w:t>排放量（t/a）</w:t>
                  </w:r>
                </w:p>
              </w:tc>
              <w:tc>
                <w:tcPr>
                  <w:tcW w:w="374" w:type="pct"/>
                  <w:tcBorders>
                    <w:top w:val="single" w:color="auto" w:sz="4" w:space="0"/>
                    <w:bottom w:val="single" w:color="auto" w:sz="12" w:space="0"/>
                  </w:tcBorders>
                  <w:shd w:val="clear" w:color="auto" w:fill="auto"/>
                  <w:vAlign w:val="center"/>
                </w:tcPr>
                <w:p w14:paraId="6EE0E63D">
                  <w:pPr>
                    <w:adjustRightInd w:val="0"/>
                    <w:snapToGrid w:val="0"/>
                    <w:jc w:val="center"/>
                    <w:rPr>
                      <w:b/>
                      <w:color w:val="auto"/>
                      <w:szCs w:val="21"/>
                    </w:rPr>
                  </w:pPr>
                  <w:r>
                    <w:rPr>
                      <w:b/>
                      <w:color w:val="auto"/>
                      <w:szCs w:val="21"/>
                    </w:rPr>
                    <w:t>浓度（mg/m</w:t>
                  </w:r>
                  <w:r>
                    <w:rPr>
                      <w:b/>
                      <w:color w:val="auto"/>
                      <w:szCs w:val="21"/>
                      <w:vertAlign w:val="superscript"/>
                    </w:rPr>
                    <w:t>3</w:t>
                  </w:r>
                  <w:r>
                    <w:rPr>
                      <w:b/>
                      <w:color w:val="auto"/>
                      <w:szCs w:val="21"/>
                    </w:rPr>
                    <w:t>）</w:t>
                  </w:r>
                </w:p>
              </w:tc>
              <w:tc>
                <w:tcPr>
                  <w:tcW w:w="267" w:type="pct"/>
                  <w:tcBorders>
                    <w:top w:val="single" w:color="auto" w:sz="4" w:space="0"/>
                    <w:bottom w:val="single" w:color="auto" w:sz="12" w:space="0"/>
                  </w:tcBorders>
                  <w:shd w:val="clear" w:color="auto" w:fill="auto"/>
                  <w:vAlign w:val="center"/>
                </w:tcPr>
                <w:p w14:paraId="7AD7C4BC">
                  <w:pPr>
                    <w:adjustRightInd w:val="0"/>
                    <w:snapToGrid w:val="0"/>
                    <w:jc w:val="center"/>
                    <w:rPr>
                      <w:b/>
                      <w:color w:val="auto"/>
                      <w:szCs w:val="21"/>
                    </w:rPr>
                  </w:pPr>
                  <w:r>
                    <w:rPr>
                      <w:b/>
                      <w:color w:val="auto"/>
                      <w:szCs w:val="21"/>
                    </w:rPr>
                    <w:t>速率（kg/h）</w:t>
                  </w:r>
                </w:p>
              </w:tc>
              <w:tc>
                <w:tcPr>
                  <w:tcW w:w="225" w:type="pct"/>
                  <w:vMerge w:val="continue"/>
                  <w:tcBorders>
                    <w:top w:val="single" w:color="auto" w:sz="4" w:space="0"/>
                    <w:bottom w:val="single" w:color="auto" w:sz="12" w:space="0"/>
                  </w:tcBorders>
                  <w:shd w:val="clear" w:color="auto" w:fill="auto"/>
                  <w:vAlign w:val="center"/>
                </w:tcPr>
                <w:p w14:paraId="7A0596C0">
                  <w:pPr>
                    <w:adjustRightInd w:val="0"/>
                    <w:snapToGrid w:val="0"/>
                    <w:jc w:val="center"/>
                    <w:rPr>
                      <w:color w:val="auto"/>
                      <w:szCs w:val="21"/>
                    </w:rPr>
                  </w:pPr>
                </w:p>
              </w:tc>
            </w:tr>
            <w:tr w14:paraId="011274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99" w:type="pct"/>
                  <w:tcBorders>
                    <w:top w:val="single" w:color="auto" w:sz="12" w:space="0"/>
                    <w:bottom w:val="single" w:color="auto" w:sz="12" w:space="0"/>
                  </w:tcBorders>
                  <w:shd w:val="clear" w:color="auto" w:fill="auto"/>
                  <w:vAlign w:val="center"/>
                </w:tcPr>
                <w:p w14:paraId="1338CEFC">
                  <w:pPr>
                    <w:adjustRightInd w:val="0"/>
                    <w:snapToGrid w:val="0"/>
                    <w:jc w:val="center"/>
                    <w:rPr>
                      <w:color w:val="auto"/>
                      <w:szCs w:val="21"/>
                    </w:rPr>
                  </w:pPr>
                  <w:r>
                    <w:rPr>
                      <w:rFonts w:hint="eastAsia"/>
                      <w:color w:val="auto"/>
                      <w:szCs w:val="21"/>
                    </w:rPr>
                    <w:t>生产厂房</w:t>
                  </w:r>
                </w:p>
              </w:tc>
              <w:tc>
                <w:tcPr>
                  <w:tcW w:w="392" w:type="pct"/>
                  <w:tcBorders>
                    <w:top w:val="single" w:color="auto" w:sz="12" w:space="0"/>
                    <w:bottom w:val="single" w:color="auto" w:sz="12" w:space="0"/>
                  </w:tcBorders>
                  <w:shd w:val="clear" w:color="auto" w:fill="auto"/>
                  <w:vAlign w:val="center"/>
                </w:tcPr>
                <w:p w14:paraId="0BAEBB84">
                  <w:pPr>
                    <w:adjustRightInd w:val="0"/>
                    <w:snapToGrid w:val="0"/>
                    <w:jc w:val="center"/>
                    <w:rPr>
                      <w:color w:val="auto"/>
                      <w:szCs w:val="21"/>
                    </w:rPr>
                  </w:pPr>
                  <w:r>
                    <w:rPr>
                      <w:rFonts w:hint="eastAsia"/>
                      <w:color w:val="auto"/>
                      <w:szCs w:val="21"/>
                    </w:rPr>
                    <w:t>设备、器具、员工手部消毒</w:t>
                  </w:r>
                </w:p>
              </w:tc>
              <w:tc>
                <w:tcPr>
                  <w:tcW w:w="98" w:type="pct"/>
                  <w:tcBorders>
                    <w:top w:val="single" w:color="auto" w:sz="12" w:space="0"/>
                    <w:bottom w:val="single" w:color="auto" w:sz="12" w:space="0"/>
                  </w:tcBorders>
                  <w:shd w:val="clear" w:color="auto" w:fill="auto"/>
                  <w:vAlign w:val="center"/>
                </w:tcPr>
                <w:p w14:paraId="692F5414">
                  <w:pPr>
                    <w:adjustRightInd w:val="0"/>
                    <w:snapToGrid w:val="0"/>
                    <w:jc w:val="center"/>
                    <w:rPr>
                      <w:rFonts w:hint="eastAsia" w:eastAsia="宋体"/>
                      <w:color w:val="auto"/>
                      <w:szCs w:val="21"/>
                      <w:lang w:val="en-US" w:eastAsia="zh-CN"/>
                    </w:rPr>
                  </w:pPr>
                  <w:r>
                    <w:rPr>
                      <w:rFonts w:hint="eastAsia"/>
                      <w:color w:val="auto"/>
                      <w:szCs w:val="21"/>
                    </w:rPr>
                    <w:t>G</w:t>
                  </w:r>
                  <w:r>
                    <w:rPr>
                      <w:rFonts w:hint="eastAsia"/>
                      <w:color w:val="auto"/>
                      <w:szCs w:val="21"/>
                      <w:lang w:val="en-US" w:eastAsia="zh-CN"/>
                    </w:rPr>
                    <w:t>1</w:t>
                  </w:r>
                </w:p>
              </w:tc>
              <w:tc>
                <w:tcPr>
                  <w:tcW w:w="109" w:type="pct"/>
                  <w:tcBorders>
                    <w:top w:val="single" w:color="auto" w:sz="12" w:space="0"/>
                    <w:bottom w:val="single" w:color="auto" w:sz="12" w:space="0"/>
                  </w:tcBorders>
                  <w:shd w:val="clear" w:color="auto" w:fill="auto"/>
                  <w:vAlign w:val="center"/>
                </w:tcPr>
                <w:p w14:paraId="2CA2F72E">
                  <w:pPr>
                    <w:adjustRightInd w:val="0"/>
                    <w:snapToGrid w:val="0"/>
                    <w:jc w:val="center"/>
                    <w:rPr>
                      <w:color w:val="auto"/>
                      <w:szCs w:val="21"/>
                    </w:rPr>
                  </w:pPr>
                  <w:r>
                    <w:rPr>
                      <w:rFonts w:hint="eastAsia"/>
                      <w:color w:val="auto"/>
                      <w:szCs w:val="21"/>
                    </w:rPr>
                    <w:t>生产厂房</w:t>
                  </w:r>
                </w:p>
              </w:tc>
              <w:tc>
                <w:tcPr>
                  <w:tcW w:w="161" w:type="pct"/>
                  <w:tcBorders>
                    <w:top w:val="single" w:color="auto" w:sz="12" w:space="0"/>
                    <w:bottom w:val="single" w:color="auto" w:sz="12" w:space="0"/>
                  </w:tcBorders>
                  <w:shd w:val="clear" w:color="auto" w:fill="auto"/>
                  <w:vAlign w:val="center"/>
                </w:tcPr>
                <w:p w14:paraId="460B13E3">
                  <w:pPr>
                    <w:adjustRightInd w:val="0"/>
                    <w:snapToGrid w:val="0"/>
                    <w:jc w:val="center"/>
                    <w:rPr>
                      <w:color w:val="auto"/>
                      <w:szCs w:val="21"/>
                    </w:rPr>
                  </w:pPr>
                  <w:r>
                    <w:rPr>
                      <w:rFonts w:hint="eastAsia"/>
                      <w:color w:val="auto"/>
                      <w:szCs w:val="21"/>
                    </w:rPr>
                    <w:t>非甲烷总烃</w:t>
                  </w:r>
                </w:p>
              </w:tc>
              <w:tc>
                <w:tcPr>
                  <w:tcW w:w="161" w:type="pct"/>
                  <w:tcBorders>
                    <w:top w:val="single" w:color="auto" w:sz="12" w:space="0"/>
                    <w:bottom w:val="single" w:color="auto" w:sz="12" w:space="0"/>
                  </w:tcBorders>
                  <w:shd w:val="clear" w:color="auto" w:fill="auto"/>
                  <w:vAlign w:val="center"/>
                </w:tcPr>
                <w:p w14:paraId="2C97B1A2">
                  <w:pPr>
                    <w:adjustRightInd w:val="0"/>
                    <w:snapToGrid w:val="0"/>
                    <w:jc w:val="left"/>
                    <w:rPr>
                      <w:color w:val="auto"/>
                      <w:szCs w:val="21"/>
                    </w:rPr>
                  </w:pPr>
                  <w:r>
                    <w:rPr>
                      <w:rFonts w:hint="eastAsia"/>
                      <w:color w:val="auto"/>
                      <w:szCs w:val="21"/>
                    </w:rPr>
                    <w:t>产污系数法</w:t>
                  </w:r>
                </w:p>
              </w:tc>
              <w:tc>
                <w:tcPr>
                  <w:tcW w:w="224" w:type="pct"/>
                  <w:tcBorders>
                    <w:top w:val="single" w:color="auto" w:sz="12" w:space="0"/>
                    <w:bottom w:val="single" w:color="auto" w:sz="12" w:space="0"/>
                  </w:tcBorders>
                  <w:shd w:val="clear" w:color="auto" w:fill="auto"/>
                  <w:vAlign w:val="center"/>
                </w:tcPr>
                <w:p w14:paraId="65007EC4">
                  <w:pPr>
                    <w:adjustRightInd w:val="0"/>
                    <w:snapToGrid w:val="0"/>
                    <w:jc w:val="center"/>
                    <w:rPr>
                      <w:color w:val="auto"/>
                      <w:szCs w:val="21"/>
                    </w:rPr>
                  </w:pPr>
                  <w:r>
                    <w:rPr>
                      <w:rFonts w:hint="eastAsia"/>
                      <w:color w:val="auto"/>
                      <w:szCs w:val="21"/>
                    </w:rPr>
                    <w:t>/</w:t>
                  </w:r>
                </w:p>
              </w:tc>
              <w:tc>
                <w:tcPr>
                  <w:tcW w:w="240" w:type="pct"/>
                  <w:tcBorders>
                    <w:top w:val="single" w:color="auto" w:sz="12" w:space="0"/>
                    <w:bottom w:val="single" w:color="auto" w:sz="12" w:space="0"/>
                  </w:tcBorders>
                  <w:shd w:val="clear" w:color="auto" w:fill="auto"/>
                  <w:vAlign w:val="center"/>
                </w:tcPr>
                <w:p w14:paraId="63148FE8">
                  <w:pPr>
                    <w:adjustRightInd w:val="0"/>
                    <w:snapToGrid w:val="0"/>
                    <w:jc w:val="center"/>
                    <w:rPr>
                      <w:color w:val="auto"/>
                      <w:szCs w:val="21"/>
                    </w:rPr>
                  </w:pPr>
                  <w:r>
                    <w:rPr>
                      <w:rFonts w:hint="eastAsia"/>
                      <w:color w:val="auto"/>
                      <w:szCs w:val="21"/>
                    </w:rPr>
                    <w:t>/</w:t>
                  </w:r>
                </w:p>
              </w:tc>
              <w:tc>
                <w:tcPr>
                  <w:tcW w:w="346" w:type="pct"/>
                  <w:tcBorders>
                    <w:top w:val="single" w:color="auto" w:sz="12" w:space="0"/>
                    <w:bottom w:val="single" w:color="auto" w:sz="12" w:space="0"/>
                  </w:tcBorders>
                  <w:shd w:val="clear" w:color="auto" w:fill="auto"/>
                  <w:vAlign w:val="center"/>
                </w:tcPr>
                <w:p w14:paraId="4ED9D7ED">
                  <w:pPr>
                    <w:adjustRightInd w:val="0"/>
                    <w:snapToGrid w:val="0"/>
                    <w:jc w:val="center"/>
                    <w:rPr>
                      <w:rFonts w:hint="default" w:eastAsia="宋体"/>
                      <w:color w:val="auto"/>
                      <w:szCs w:val="21"/>
                      <w:lang w:val="en-US" w:eastAsia="zh-CN"/>
                    </w:rPr>
                  </w:pPr>
                  <w:r>
                    <w:rPr>
                      <w:rFonts w:hint="eastAsia"/>
                      <w:color w:val="auto"/>
                      <w:szCs w:val="21"/>
                      <w:lang w:val="en-US" w:eastAsia="zh-CN"/>
                    </w:rPr>
                    <w:t>0.4</w:t>
                  </w:r>
                </w:p>
              </w:tc>
              <w:tc>
                <w:tcPr>
                  <w:tcW w:w="290" w:type="pct"/>
                  <w:tcBorders>
                    <w:top w:val="single" w:color="auto" w:sz="12" w:space="0"/>
                    <w:bottom w:val="single" w:color="auto" w:sz="12" w:space="0"/>
                  </w:tcBorders>
                  <w:shd w:val="clear" w:color="auto" w:fill="auto"/>
                  <w:vAlign w:val="center"/>
                </w:tcPr>
                <w:p w14:paraId="79D6F399">
                  <w:pPr>
                    <w:adjustRightInd w:val="0"/>
                    <w:snapToGrid w:val="0"/>
                    <w:jc w:val="center"/>
                    <w:rPr>
                      <w:rFonts w:hint="default" w:eastAsia="宋体"/>
                      <w:color w:val="auto"/>
                      <w:szCs w:val="21"/>
                      <w:lang w:val="en-US" w:eastAsia="zh-CN"/>
                    </w:rPr>
                  </w:pPr>
                  <w:r>
                    <w:rPr>
                      <w:rFonts w:hint="eastAsia"/>
                      <w:color w:val="auto"/>
                      <w:szCs w:val="21"/>
                      <w:lang w:val="en-US" w:eastAsia="zh-CN"/>
                    </w:rPr>
                    <w:t>1.2</w:t>
                  </w:r>
                </w:p>
              </w:tc>
              <w:tc>
                <w:tcPr>
                  <w:tcW w:w="91" w:type="pct"/>
                  <w:tcBorders>
                    <w:top w:val="single" w:color="auto" w:sz="12" w:space="0"/>
                    <w:bottom w:val="single" w:color="auto" w:sz="12" w:space="0"/>
                  </w:tcBorders>
                  <w:shd w:val="clear" w:color="auto" w:fill="auto"/>
                  <w:vAlign w:val="center"/>
                </w:tcPr>
                <w:p w14:paraId="579A14BB">
                  <w:pPr>
                    <w:adjustRightInd w:val="0"/>
                    <w:snapToGrid w:val="0"/>
                    <w:jc w:val="center"/>
                    <w:rPr>
                      <w:color w:val="auto"/>
                      <w:szCs w:val="21"/>
                    </w:rPr>
                  </w:pPr>
                  <w:r>
                    <w:rPr>
                      <w:rFonts w:hint="eastAsia"/>
                      <w:color w:val="auto"/>
                      <w:szCs w:val="21"/>
                    </w:rPr>
                    <w:t>/</w:t>
                  </w:r>
                </w:p>
              </w:tc>
              <w:tc>
                <w:tcPr>
                  <w:tcW w:w="180" w:type="pct"/>
                  <w:tcBorders>
                    <w:top w:val="single" w:color="auto" w:sz="12" w:space="0"/>
                    <w:bottom w:val="single" w:color="auto" w:sz="12" w:space="0"/>
                  </w:tcBorders>
                  <w:shd w:val="clear" w:color="auto" w:fill="auto"/>
                  <w:vAlign w:val="center"/>
                </w:tcPr>
                <w:p w14:paraId="6F9DC288">
                  <w:pPr>
                    <w:adjustRightInd w:val="0"/>
                    <w:snapToGrid w:val="0"/>
                    <w:jc w:val="center"/>
                    <w:rPr>
                      <w:color w:val="auto"/>
                      <w:szCs w:val="21"/>
                    </w:rPr>
                  </w:pPr>
                  <w:r>
                    <w:rPr>
                      <w:rFonts w:hint="eastAsia"/>
                      <w:color w:val="auto"/>
                      <w:szCs w:val="21"/>
                    </w:rPr>
                    <w:t>/</w:t>
                  </w:r>
                </w:p>
              </w:tc>
              <w:tc>
                <w:tcPr>
                  <w:tcW w:w="179" w:type="pct"/>
                  <w:tcBorders>
                    <w:top w:val="single" w:color="auto" w:sz="12" w:space="0"/>
                    <w:bottom w:val="single" w:color="auto" w:sz="12" w:space="0"/>
                  </w:tcBorders>
                  <w:shd w:val="clear" w:color="auto" w:fill="auto"/>
                  <w:vAlign w:val="center"/>
                </w:tcPr>
                <w:p w14:paraId="56B2A549">
                  <w:pPr>
                    <w:adjustRightInd w:val="0"/>
                    <w:snapToGrid w:val="0"/>
                    <w:jc w:val="center"/>
                    <w:rPr>
                      <w:color w:val="auto"/>
                      <w:szCs w:val="21"/>
                    </w:rPr>
                  </w:pPr>
                  <w:r>
                    <w:rPr>
                      <w:rFonts w:hint="eastAsia"/>
                      <w:color w:val="auto"/>
                      <w:szCs w:val="21"/>
                    </w:rPr>
                    <w:t>/</w:t>
                  </w:r>
                </w:p>
              </w:tc>
              <w:tc>
                <w:tcPr>
                  <w:tcW w:w="269" w:type="pct"/>
                  <w:tcBorders>
                    <w:top w:val="single" w:color="auto" w:sz="12" w:space="0"/>
                    <w:bottom w:val="single" w:color="auto" w:sz="12" w:space="0"/>
                  </w:tcBorders>
                  <w:shd w:val="clear" w:color="auto" w:fill="auto"/>
                  <w:vAlign w:val="center"/>
                </w:tcPr>
                <w:p w14:paraId="2AD1E28D">
                  <w:pPr>
                    <w:adjustRightInd w:val="0"/>
                    <w:snapToGrid w:val="0"/>
                    <w:jc w:val="center"/>
                    <w:rPr>
                      <w:color w:val="auto"/>
                      <w:szCs w:val="21"/>
                    </w:rPr>
                  </w:pPr>
                  <w:r>
                    <w:rPr>
                      <w:rFonts w:hint="eastAsia"/>
                      <w:color w:val="auto"/>
                      <w:szCs w:val="21"/>
                    </w:rPr>
                    <w:t>/</w:t>
                  </w:r>
                </w:p>
              </w:tc>
              <w:tc>
                <w:tcPr>
                  <w:tcW w:w="518" w:type="pct"/>
                  <w:tcBorders>
                    <w:top w:val="single" w:color="auto" w:sz="12" w:space="0"/>
                    <w:bottom w:val="single" w:color="auto" w:sz="12" w:space="0"/>
                  </w:tcBorders>
                  <w:shd w:val="clear" w:color="auto" w:fill="auto"/>
                  <w:vAlign w:val="center"/>
                </w:tcPr>
                <w:p w14:paraId="73A27D37">
                  <w:pPr>
                    <w:adjustRightInd w:val="0"/>
                    <w:snapToGrid w:val="0"/>
                    <w:jc w:val="center"/>
                    <w:rPr>
                      <w:color w:val="auto"/>
                      <w:szCs w:val="21"/>
                    </w:rPr>
                  </w:pPr>
                  <w:r>
                    <w:rPr>
                      <w:rFonts w:hint="eastAsia"/>
                      <w:color w:val="auto"/>
                      <w:szCs w:val="21"/>
                    </w:rPr>
                    <w:t>/</w:t>
                  </w:r>
                </w:p>
              </w:tc>
              <w:tc>
                <w:tcPr>
                  <w:tcW w:w="392" w:type="pct"/>
                  <w:tcBorders>
                    <w:top w:val="single" w:color="auto" w:sz="12" w:space="0"/>
                    <w:bottom w:val="single" w:color="auto" w:sz="12" w:space="0"/>
                  </w:tcBorders>
                  <w:shd w:val="clear" w:color="auto" w:fill="auto"/>
                  <w:vAlign w:val="center"/>
                </w:tcPr>
                <w:p w14:paraId="6673123B">
                  <w:pPr>
                    <w:adjustRightInd w:val="0"/>
                    <w:snapToGrid w:val="0"/>
                    <w:jc w:val="center"/>
                    <w:rPr>
                      <w:color w:val="auto"/>
                      <w:szCs w:val="21"/>
                    </w:rPr>
                  </w:pPr>
                  <w:r>
                    <w:rPr>
                      <w:rFonts w:hint="eastAsia"/>
                      <w:color w:val="auto"/>
                      <w:szCs w:val="21"/>
                      <w:lang w:val="en-US" w:eastAsia="zh-CN"/>
                    </w:rPr>
                    <w:t>0.4</w:t>
                  </w:r>
                </w:p>
              </w:tc>
              <w:tc>
                <w:tcPr>
                  <w:tcW w:w="276" w:type="pct"/>
                  <w:tcBorders>
                    <w:top w:val="single" w:color="auto" w:sz="12" w:space="0"/>
                    <w:bottom w:val="single" w:color="auto" w:sz="12" w:space="0"/>
                  </w:tcBorders>
                  <w:shd w:val="clear" w:color="auto" w:fill="auto"/>
                  <w:vAlign w:val="center"/>
                </w:tcPr>
                <w:p w14:paraId="1CB91A66">
                  <w:pPr>
                    <w:adjustRightInd w:val="0"/>
                    <w:snapToGrid w:val="0"/>
                    <w:jc w:val="center"/>
                    <w:rPr>
                      <w:color w:val="auto"/>
                      <w:szCs w:val="21"/>
                    </w:rPr>
                  </w:pPr>
                  <w:r>
                    <w:rPr>
                      <w:rFonts w:hint="eastAsia"/>
                      <w:color w:val="auto"/>
                      <w:szCs w:val="21"/>
                      <w:lang w:val="en-US" w:eastAsia="zh-CN"/>
                    </w:rPr>
                    <w:t>1.2</w:t>
                  </w:r>
                </w:p>
              </w:tc>
              <w:tc>
                <w:tcPr>
                  <w:tcW w:w="374" w:type="pct"/>
                  <w:tcBorders>
                    <w:top w:val="single" w:color="auto" w:sz="12" w:space="0"/>
                    <w:bottom w:val="single" w:color="auto" w:sz="12" w:space="0"/>
                  </w:tcBorders>
                  <w:shd w:val="clear" w:color="auto" w:fill="auto"/>
                  <w:vAlign w:val="center"/>
                </w:tcPr>
                <w:p w14:paraId="1E5F7108">
                  <w:pPr>
                    <w:adjustRightInd w:val="0"/>
                    <w:snapToGrid w:val="0"/>
                    <w:jc w:val="center"/>
                    <w:rPr>
                      <w:color w:val="auto"/>
                      <w:szCs w:val="21"/>
                    </w:rPr>
                  </w:pPr>
                  <w:r>
                    <w:rPr>
                      <w:rFonts w:hint="eastAsia"/>
                      <w:color w:val="auto"/>
                      <w:szCs w:val="21"/>
                    </w:rPr>
                    <w:t>6</w:t>
                  </w:r>
                </w:p>
              </w:tc>
              <w:tc>
                <w:tcPr>
                  <w:tcW w:w="267" w:type="pct"/>
                  <w:tcBorders>
                    <w:top w:val="single" w:color="auto" w:sz="12" w:space="0"/>
                    <w:bottom w:val="single" w:color="auto" w:sz="12" w:space="0"/>
                  </w:tcBorders>
                  <w:shd w:val="clear" w:color="auto" w:fill="auto"/>
                  <w:vAlign w:val="center"/>
                </w:tcPr>
                <w:p w14:paraId="1B5C034E">
                  <w:pPr>
                    <w:adjustRightInd w:val="0"/>
                    <w:snapToGrid w:val="0"/>
                    <w:jc w:val="center"/>
                    <w:rPr>
                      <w:color w:val="auto"/>
                      <w:szCs w:val="21"/>
                    </w:rPr>
                  </w:pPr>
                  <w:r>
                    <w:rPr>
                      <w:rFonts w:hint="eastAsia"/>
                      <w:color w:val="auto"/>
                      <w:szCs w:val="21"/>
                    </w:rPr>
                    <w:t>/</w:t>
                  </w:r>
                </w:p>
              </w:tc>
              <w:tc>
                <w:tcPr>
                  <w:tcW w:w="225" w:type="pct"/>
                  <w:tcBorders>
                    <w:top w:val="single" w:color="auto" w:sz="12" w:space="0"/>
                    <w:bottom w:val="single" w:color="auto" w:sz="12" w:space="0"/>
                  </w:tcBorders>
                  <w:shd w:val="clear" w:color="auto" w:fill="auto"/>
                  <w:vAlign w:val="center"/>
                </w:tcPr>
                <w:p w14:paraId="528582D3">
                  <w:pPr>
                    <w:adjustRightInd w:val="0"/>
                    <w:snapToGrid w:val="0"/>
                    <w:jc w:val="center"/>
                    <w:rPr>
                      <w:color w:val="auto"/>
                      <w:szCs w:val="21"/>
                    </w:rPr>
                  </w:pPr>
                  <w:r>
                    <w:rPr>
                      <w:color w:val="auto"/>
                      <w:szCs w:val="21"/>
                    </w:rPr>
                    <w:t>3</w:t>
                  </w:r>
                  <w:r>
                    <w:rPr>
                      <w:rFonts w:hint="eastAsia"/>
                      <w:color w:val="auto"/>
                      <w:szCs w:val="21"/>
                    </w:rPr>
                    <w:t>0</w:t>
                  </w:r>
                  <w:r>
                    <w:rPr>
                      <w:color w:val="auto"/>
                      <w:szCs w:val="21"/>
                    </w:rPr>
                    <w:t>00</w:t>
                  </w:r>
                </w:p>
              </w:tc>
            </w:tr>
          </w:tbl>
          <w:p w14:paraId="5F2F5E2F">
            <w:pPr>
              <w:jc w:val="left"/>
              <w:rPr>
                <w:color w:val="auto"/>
                <w:szCs w:val="21"/>
              </w:rPr>
            </w:pPr>
          </w:p>
          <w:p w14:paraId="320FBE26">
            <w:pPr>
              <w:widowControl/>
              <w:adjustRightInd w:val="0"/>
              <w:snapToGrid w:val="0"/>
              <w:jc w:val="left"/>
              <w:rPr>
                <w:color w:val="auto"/>
              </w:rPr>
            </w:pPr>
          </w:p>
        </w:tc>
      </w:tr>
    </w:tbl>
    <w:p w14:paraId="495CE8CF">
      <w:pPr>
        <w:adjustRightInd w:val="0"/>
        <w:snapToGrid w:val="0"/>
        <w:jc w:val="center"/>
        <w:rPr>
          <w:rFonts w:hint="default" w:ascii="Times New Roman" w:hAnsi="Times New Roman" w:cs="Times New Roman"/>
          <w:b/>
          <w:bCs/>
          <w:color w:val="auto"/>
          <w:sz w:val="24"/>
        </w:rPr>
        <w:sectPr>
          <w:pgSz w:w="16840" w:h="11907" w:orient="landscape"/>
          <w:pgMar w:top="1531" w:right="1701" w:bottom="1531" w:left="2127" w:header="851" w:footer="851" w:gutter="0"/>
          <w:pgBorders>
            <w:top w:val="none" w:sz="0" w:space="0"/>
            <w:left w:val="none" w:sz="0" w:space="0"/>
            <w:bottom w:val="none" w:sz="0" w:space="0"/>
            <w:right w:val="none" w:sz="0" w:space="0"/>
          </w:pgBorders>
          <w:cols w:space="720" w:num="1"/>
          <w:docGrid w:linePitch="312" w:charSpace="0"/>
        </w:sectPr>
      </w:pPr>
    </w:p>
    <w:tbl>
      <w:tblPr>
        <w:tblStyle w:val="32"/>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35"/>
        <w:gridCol w:w="8744"/>
      </w:tblGrid>
      <w:tr w14:paraId="071CFF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14" w:hRule="atLeast"/>
          <w:jc w:val="center"/>
        </w:trPr>
        <w:tc>
          <w:tcPr>
            <w:tcW w:w="131" w:type="pct"/>
            <w:tcMar>
              <w:left w:w="28" w:type="dxa"/>
              <w:right w:w="28" w:type="dxa"/>
            </w:tcMar>
            <w:vAlign w:val="center"/>
          </w:tcPr>
          <w:p w14:paraId="1F173AF4">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br w:type="page"/>
            </w:r>
            <w:r>
              <w:rPr>
                <w:rFonts w:hint="default" w:ascii="Times New Roman" w:hAnsi="Times New Roman" w:cs="Times New Roman"/>
                <w:b/>
                <w:bCs/>
                <w:color w:val="auto"/>
                <w:sz w:val="24"/>
              </w:rPr>
              <w:t>运营</w:t>
            </w:r>
          </w:p>
          <w:p w14:paraId="257AB61E">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期环</w:t>
            </w:r>
          </w:p>
          <w:p w14:paraId="600FC3AE">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境影</w:t>
            </w:r>
          </w:p>
          <w:p w14:paraId="5BE4636C">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响和</w:t>
            </w:r>
          </w:p>
          <w:p w14:paraId="376C792E">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保护</w:t>
            </w:r>
          </w:p>
          <w:p w14:paraId="392DE6AC">
            <w:pPr>
              <w:pStyle w:val="29"/>
              <w:adjustRightInd w:val="0"/>
              <w:snapToGrid w:val="0"/>
              <w:spacing w:before="0" w:beforeAutospacing="0" w:after="0" w:afterAutospacing="0"/>
              <w:jc w:val="center"/>
              <w:rPr>
                <w:rFonts w:hint="default" w:ascii="Times New Roman" w:hAnsi="Times New Roman" w:cs="Times New Roman"/>
                <w:b/>
                <w:color w:val="auto"/>
                <w:kern w:val="2"/>
                <w:sz w:val="21"/>
                <w:szCs w:val="21"/>
              </w:rPr>
            </w:pPr>
            <w:r>
              <w:rPr>
                <w:rFonts w:hint="default" w:ascii="Times New Roman" w:hAnsi="Times New Roman" w:cs="Times New Roman"/>
                <w:b/>
                <w:bCs/>
                <w:color w:val="auto"/>
              </w:rPr>
              <w:t>措施</w:t>
            </w:r>
          </w:p>
        </w:tc>
        <w:tc>
          <w:tcPr>
            <w:tcW w:w="4868" w:type="pct"/>
            <w:vAlign w:val="center"/>
          </w:tcPr>
          <w:p w14:paraId="0CF28359">
            <w:pPr>
              <w:widowControl/>
              <w:autoSpaceDE w:val="0"/>
              <w:autoSpaceDN w:val="0"/>
              <w:adjustRightInd w:val="0"/>
              <w:snapToGrid w:val="0"/>
              <w:spacing w:beforeLines="50" w:line="360" w:lineRule="auto"/>
              <w:ind w:firstLine="482" w:firstLineChars="200"/>
              <w:jc w:val="left"/>
              <w:rPr>
                <w:rFonts w:ascii="Times New Roman" w:hAnsi="Times New Roman" w:cs="Times New Roman"/>
                <w:b/>
                <w:color w:val="auto"/>
                <w:kern w:val="0"/>
                <w:sz w:val="24"/>
              </w:rPr>
            </w:pPr>
            <w:r>
              <w:rPr>
                <w:b/>
                <w:color w:val="auto"/>
                <w:kern w:val="0"/>
                <w:sz w:val="24"/>
              </w:rPr>
              <w:t>1.</w:t>
            </w:r>
            <w:r>
              <w:rPr>
                <w:rFonts w:ascii="Times New Roman" w:hAnsi="Times New Roman" w:cs="Times New Roman"/>
                <w:b/>
                <w:color w:val="auto"/>
                <w:kern w:val="0"/>
                <w:sz w:val="24"/>
              </w:rPr>
              <w:t>2污染源强核算过程简述</w:t>
            </w:r>
          </w:p>
          <w:p w14:paraId="36715DD2">
            <w:pPr>
              <w:spacing w:line="500" w:lineRule="exact"/>
              <w:ind w:firstLine="480" w:firstLineChars="200"/>
              <w:rPr>
                <w:color w:val="auto"/>
                <w:sz w:val="24"/>
              </w:rPr>
            </w:pPr>
            <w:r>
              <w:rPr>
                <w:color w:val="auto"/>
                <w:sz w:val="24"/>
              </w:rPr>
              <w:t>（1）污水处理站恶臭气体</w:t>
            </w:r>
          </w:p>
          <w:p w14:paraId="5F438A9D">
            <w:pPr>
              <w:spacing w:line="500" w:lineRule="exact"/>
              <w:ind w:firstLine="480" w:firstLineChars="200"/>
              <w:rPr>
                <w:rFonts w:hint="eastAsia" w:eastAsia="宋体"/>
                <w:color w:val="auto"/>
                <w:sz w:val="24"/>
                <w:lang w:val="en-US" w:eastAsia="zh-CN"/>
              </w:rPr>
            </w:pPr>
            <w:r>
              <w:rPr>
                <w:rFonts w:hint="eastAsia"/>
                <w:color w:val="auto"/>
                <w:sz w:val="24"/>
                <w:lang w:eastAsia="zh-CN"/>
              </w:rPr>
              <w:t>本次扩建项目污水站依托现有项目，现有项目对污水站</w:t>
            </w:r>
            <w:r>
              <w:rPr>
                <w:color w:val="auto"/>
                <w:sz w:val="24"/>
              </w:rPr>
              <w:t>氨和硫化氢</w:t>
            </w:r>
            <w:r>
              <w:rPr>
                <w:rFonts w:hint="eastAsia"/>
                <w:color w:val="auto"/>
                <w:sz w:val="24"/>
                <w:lang w:eastAsia="zh-CN"/>
              </w:rPr>
              <w:t>排放量按照</w:t>
            </w:r>
            <w:r>
              <w:rPr>
                <w:color w:val="auto"/>
                <w:sz w:val="24"/>
              </w:rPr>
              <w:t>处理规模</w:t>
            </w:r>
            <w:r>
              <w:rPr>
                <w:rFonts w:hint="eastAsia"/>
                <w:color w:val="auto"/>
                <w:sz w:val="24"/>
                <w:lang w:val="en-US" w:eastAsia="zh-CN"/>
              </w:rPr>
              <w:t>1600m</w:t>
            </w:r>
            <w:r>
              <w:rPr>
                <w:rFonts w:hint="eastAsia"/>
                <w:color w:val="auto"/>
                <w:sz w:val="24"/>
                <w:vertAlign w:val="superscript"/>
                <w:lang w:val="en-US" w:eastAsia="zh-CN"/>
              </w:rPr>
              <w:t>3</w:t>
            </w:r>
            <w:r>
              <w:rPr>
                <w:rFonts w:hint="eastAsia"/>
                <w:color w:val="auto"/>
                <w:sz w:val="24"/>
                <w:vertAlign w:val="baseline"/>
                <w:lang w:val="en-US" w:eastAsia="zh-CN"/>
              </w:rPr>
              <w:t>/d</w:t>
            </w:r>
            <w:r>
              <w:rPr>
                <w:rFonts w:hint="eastAsia"/>
                <w:color w:val="auto"/>
                <w:sz w:val="24"/>
                <w:lang w:eastAsia="zh-CN"/>
              </w:rPr>
              <w:t>计算，因此本次依托现有项目污水站不用对</w:t>
            </w:r>
            <w:r>
              <w:rPr>
                <w:color w:val="auto"/>
                <w:sz w:val="24"/>
              </w:rPr>
              <w:t>臭气</w:t>
            </w:r>
            <w:r>
              <w:rPr>
                <w:rFonts w:hint="eastAsia"/>
                <w:color w:val="auto"/>
                <w:sz w:val="24"/>
                <w:lang w:eastAsia="zh-CN"/>
              </w:rPr>
              <w:t>进行重新核算。</w:t>
            </w:r>
          </w:p>
          <w:p w14:paraId="31BAEA40">
            <w:pPr>
              <w:adjustRightInd w:val="0"/>
              <w:snapToGrid w:val="0"/>
              <w:spacing w:line="500" w:lineRule="exact"/>
              <w:ind w:firstLine="240" w:firstLineChars="100"/>
              <w:rPr>
                <w:color w:val="auto"/>
                <w:sz w:val="24"/>
              </w:rPr>
            </w:pPr>
            <w:r>
              <w:rPr>
                <w:color w:val="auto"/>
                <w:sz w:val="24"/>
              </w:rPr>
              <w:t>（</w:t>
            </w:r>
            <w:r>
              <w:rPr>
                <w:rFonts w:hint="eastAsia"/>
                <w:color w:val="auto"/>
                <w:sz w:val="24"/>
                <w:lang w:val="en-US" w:eastAsia="zh-CN"/>
              </w:rPr>
              <w:t>2</w:t>
            </w:r>
            <w:r>
              <w:rPr>
                <w:color w:val="auto"/>
                <w:sz w:val="24"/>
              </w:rPr>
              <w:t>）</w:t>
            </w:r>
            <w:r>
              <w:rPr>
                <w:rFonts w:hint="eastAsia"/>
                <w:color w:val="auto"/>
                <w:sz w:val="24"/>
              </w:rPr>
              <w:t>非甲烷总烃</w:t>
            </w:r>
          </w:p>
          <w:p w14:paraId="78573364">
            <w:pPr>
              <w:adjustRightInd w:val="0"/>
              <w:snapToGrid w:val="0"/>
              <w:spacing w:line="500" w:lineRule="exact"/>
              <w:ind w:firstLine="480" w:firstLineChars="200"/>
              <w:rPr>
                <w:color w:val="auto"/>
                <w:sz w:val="24"/>
                <w:szCs w:val="24"/>
              </w:rPr>
            </w:pPr>
            <w:r>
              <w:rPr>
                <w:rFonts w:hint="eastAsia"/>
                <w:color w:val="auto"/>
                <w:sz w:val="24"/>
                <w:lang w:eastAsia="zh-CN"/>
              </w:rPr>
              <w:t>扩建</w:t>
            </w:r>
            <w:r>
              <w:rPr>
                <w:color w:val="auto"/>
                <w:sz w:val="24"/>
              </w:rPr>
              <w:t>项目</w:t>
            </w:r>
            <w:r>
              <w:rPr>
                <w:rFonts w:hint="eastAsia"/>
                <w:color w:val="auto"/>
                <w:sz w:val="24"/>
              </w:rPr>
              <w:t>在设备、工器具和员工手部消毒环节使用7</w:t>
            </w:r>
            <w:r>
              <w:rPr>
                <w:color w:val="auto"/>
                <w:sz w:val="24"/>
              </w:rPr>
              <w:t>5</w:t>
            </w:r>
            <w:r>
              <w:rPr>
                <w:rFonts w:hint="eastAsia"/>
                <w:color w:val="auto"/>
                <w:sz w:val="24"/>
              </w:rPr>
              <w:t>%酒精消毒，会产生乙醇挥发废气，由于使用消毒酒精的区域比较分散（厂区入口、生产厂房、杀菌间等区域），且涉及面积较大，难以集中收集处理，因此乙醇废气无组织排放。每年使用7</w:t>
            </w:r>
            <w:r>
              <w:rPr>
                <w:color w:val="auto"/>
                <w:sz w:val="24"/>
              </w:rPr>
              <w:t>5</w:t>
            </w:r>
            <w:r>
              <w:rPr>
                <w:rFonts w:hint="eastAsia"/>
                <w:color w:val="auto"/>
                <w:sz w:val="24"/>
              </w:rPr>
              <w:t>%的酒精</w:t>
            </w:r>
            <w:r>
              <w:rPr>
                <w:rFonts w:hint="eastAsia"/>
                <w:color w:val="auto"/>
                <w:sz w:val="24"/>
                <w:lang w:val="en-US" w:eastAsia="zh-CN"/>
              </w:rPr>
              <w:t>1.6</w:t>
            </w:r>
            <w:r>
              <w:rPr>
                <w:color w:val="auto"/>
                <w:sz w:val="24"/>
              </w:rPr>
              <w:t>t/a</w:t>
            </w:r>
            <w:r>
              <w:rPr>
                <w:rFonts w:hint="eastAsia"/>
                <w:color w:val="auto"/>
                <w:sz w:val="24"/>
              </w:rPr>
              <w:t>，</w:t>
            </w:r>
            <w:r>
              <w:rPr>
                <w:rFonts w:hint="eastAsia"/>
                <w:color w:val="auto"/>
                <w:sz w:val="24"/>
                <w:szCs w:val="24"/>
              </w:rPr>
              <w:t>乙醇废气以非甲烷总烃计，则非甲烷总烃的产生量为1</w:t>
            </w:r>
            <w:r>
              <w:rPr>
                <w:color w:val="auto"/>
                <w:sz w:val="24"/>
                <w:szCs w:val="24"/>
              </w:rPr>
              <w:t>.</w:t>
            </w:r>
            <w:r>
              <w:rPr>
                <w:rFonts w:hint="eastAsia"/>
                <w:color w:val="auto"/>
                <w:sz w:val="24"/>
                <w:szCs w:val="24"/>
                <w:lang w:val="en-US" w:eastAsia="zh-CN"/>
              </w:rPr>
              <w:t>2</w:t>
            </w:r>
            <w:r>
              <w:rPr>
                <w:color w:val="auto"/>
                <w:sz w:val="24"/>
                <w:szCs w:val="24"/>
              </w:rPr>
              <w:t>t/a</w:t>
            </w:r>
            <w:r>
              <w:rPr>
                <w:rFonts w:hint="eastAsia"/>
                <w:color w:val="auto"/>
                <w:sz w:val="24"/>
                <w:szCs w:val="24"/>
              </w:rPr>
              <w:t>，</w:t>
            </w:r>
            <w:r>
              <w:rPr>
                <w:color w:val="auto"/>
                <w:sz w:val="24"/>
                <w:szCs w:val="24"/>
              </w:rPr>
              <w:t>产生速率分别0.</w:t>
            </w:r>
            <w:r>
              <w:rPr>
                <w:rFonts w:hint="eastAsia"/>
                <w:color w:val="auto"/>
                <w:sz w:val="24"/>
                <w:szCs w:val="24"/>
                <w:lang w:val="en-US" w:eastAsia="zh-CN"/>
              </w:rPr>
              <w:t>4</w:t>
            </w:r>
            <w:r>
              <w:rPr>
                <w:color w:val="auto"/>
                <w:sz w:val="24"/>
                <w:szCs w:val="24"/>
              </w:rPr>
              <w:t>kg/h</w:t>
            </w:r>
            <w:r>
              <w:rPr>
                <w:rFonts w:hint="eastAsia"/>
                <w:color w:val="auto"/>
                <w:sz w:val="24"/>
                <w:szCs w:val="24"/>
              </w:rPr>
              <w:t>。</w:t>
            </w:r>
          </w:p>
          <w:p w14:paraId="231D3B77">
            <w:pPr>
              <w:widowControl/>
              <w:autoSpaceDE w:val="0"/>
              <w:autoSpaceDN w:val="0"/>
              <w:adjustRightInd w:val="0"/>
              <w:snapToGrid w:val="0"/>
              <w:spacing w:line="360" w:lineRule="auto"/>
              <w:ind w:firstLine="482" w:firstLineChars="200"/>
              <w:jc w:val="left"/>
              <w:rPr>
                <w:b/>
                <w:color w:val="auto"/>
                <w:kern w:val="0"/>
                <w:sz w:val="24"/>
              </w:rPr>
            </w:pPr>
            <w:r>
              <w:rPr>
                <w:b/>
                <w:color w:val="auto"/>
                <w:kern w:val="0"/>
                <w:sz w:val="24"/>
              </w:rPr>
              <w:t>1.3</w:t>
            </w:r>
            <w:r>
              <w:rPr>
                <w:rFonts w:hint="eastAsia"/>
                <w:b/>
                <w:color w:val="auto"/>
                <w:kern w:val="0"/>
                <w:sz w:val="24"/>
              </w:rPr>
              <w:t>非正常工况废气排放量核算</w:t>
            </w:r>
          </w:p>
          <w:p w14:paraId="6C8D76BD">
            <w:pPr>
              <w:widowControl/>
              <w:autoSpaceDE w:val="0"/>
              <w:autoSpaceDN w:val="0"/>
              <w:adjustRightInd w:val="0"/>
              <w:snapToGrid w:val="0"/>
              <w:spacing w:beforeLines="50" w:line="360" w:lineRule="auto"/>
              <w:ind w:firstLine="480" w:firstLineChars="200"/>
              <w:jc w:val="left"/>
              <w:rPr>
                <w:rFonts w:hint="eastAsia"/>
                <w:color w:val="auto"/>
                <w:sz w:val="24"/>
                <w:lang w:eastAsia="zh-CN"/>
              </w:rPr>
            </w:pPr>
            <w:r>
              <w:rPr>
                <w:rFonts w:hint="eastAsia"/>
                <w:color w:val="auto"/>
                <w:sz w:val="24"/>
                <w:lang w:eastAsia="zh-CN"/>
              </w:rPr>
              <w:t>扩建项目均为无组织排放，不涉及非正常工况。</w:t>
            </w:r>
          </w:p>
          <w:p w14:paraId="6D64DBC4">
            <w:pPr>
              <w:widowControl/>
              <w:autoSpaceDE w:val="0"/>
              <w:autoSpaceDN w:val="0"/>
              <w:adjustRightInd w:val="0"/>
              <w:snapToGrid w:val="0"/>
              <w:spacing w:beforeLines="50" w:line="360" w:lineRule="auto"/>
              <w:ind w:firstLine="482" w:firstLineChars="200"/>
              <w:jc w:val="left"/>
              <w:rPr>
                <w:b/>
                <w:color w:val="auto"/>
                <w:kern w:val="0"/>
                <w:sz w:val="24"/>
                <w:szCs w:val="20"/>
              </w:rPr>
            </w:pPr>
            <w:r>
              <w:rPr>
                <w:b/>
                <w:color w:val="auto"/>
                <w:kern w:val="0"/>
                <w:sz w:val="24"/>
              </w:rPr>
              <w:t>1.</w:t>
            </w:r>
            <w:r>
              <w:rPr>
                <w:rFonts w:hint="eastAsia"/>
                <w:b/>
                <w:color w:val="auto"/>
                <w:kern w:val="0"/>
                <w:sz w:val="24"/>
              </w:rPr>
              <w:t>4</w:t>
            </w:r>
            <w:r>
              <w:rPr>
                <w:b/>
                <w:color w:val="auto"/>
                <w:kern w:val="0"/>
                <w:sz w:val="24"/>
                <w:szCs w:val="20"/>
              </w:rPr>
              <w:t>监测计划</w:t>
            </w:r>
          </w:p>
          <w:p w14:paraId="2A5D4F8A">
            <w:pPr>
              <w:adjustRightInd w:val="0"/>
              <w:snapToGrid w:val="0"/>
              <w:spacing w:line="360" w:lineRule="auto"/>
              <w:ind w:firstLine="480" w:firstLineChars="200"/>
              <w:rPr>
                <w:color w:val="auto"/>
                <w:sz w:val="24"/>
              </w:rPr>
            </w:pPr>
            <w:r>
              <w:rPr>
                <w:rFonts w:hint="eastAsia"/>
                <w:color w:val="auto"/>
                <w:sz w:val="24"/>
              </w:rPr>
              <w:t>参照</w:t>
            </w:r>
            <w:r>
              <w:rPr>
                <w:color w:val="auto"/>
                <w:sz w:val="24"/>
              </w:rPr>
              <w:t>《排污单位自行监测技术指南</w:t>
            </w:r>
            <w:r>
              <w:rPr>
                <w:rFonts w:hint="eastAsia"/>
                <w:color w:val="auto"/>
                <w:sz w:val="24"/>
              </w:rPr>
              <w:t xml:space="preserve"> 食品制造</w:t>
            </w:r>
            <w:r>
              <w:rPr>
                <w:color w:val="auto"/>
                <w:sz w:val="24"/>
              </w:rPr>
              <w:t>》（HJ1084-2020）制定以下监测计划。</w:t>
            </w:r>
          </w:p>
          <w:p w14:paraId="4745814E">
            <w:pPr>
              <w:adjustRightInd w:val="0"/>
              <w:snapToGrid w:val="0"/>
              <w:jc w:val="center"/>
              <w:rPr>
                <w:b/>
                <w:color w:val="auto"/>
                <w:sz w:val="24"/>
              </w:rPr>
            </w:pPr>
            <w:r>
              <w:rPr>
                <w:b/>
                <w:color w:val="auto"/>
                <w:sz w:val="24"/>
              </w:rPr>
              <w:t>表4-</w:t>
            </w:r>
            <w:r>
              <w:rPr>
                <w:rFonts w:hint="eastAsia"/>
                <w:b/>
                <w:color w:val="auto"/>
                <w:sz w:val="24"/>
                <w:lang w:val="en-US" w:eastAsia="zh-CN"/>
              </w:rPr>
              <w:t>2</w:t>
            </w:r>
            <w:r>
              <w:rPr>
                <w:b/>
                <w:color w:val="auto"/>
                <w:sz w:val="24"/>
              </w:rPr>
              <w:t xml:space="preserve"> 废气监测计划</w:t>
            </w:r>
          </w:p>
          <w:tbl>
            <w:tblPr>
              <w:tblStyle w:val="32"/>
              <w:tblpPr w:leftFromText="180" w:rightFromText="180" w:vertAnchor="text" w:tblpXSpec="center" w:tblpY="1"/>
              <w:tblOverlap w:val="never"/>
              <w:tblW w:w="497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85"/>
              <w:gridCol w:w="1158"/>
              <w:gridCol w:w="1237"/>
              <w:gridCol w:w="987"/>
              <w:gridCol w:w="4308"/>
            </w:tblGrid>
            <w:tr w14:paraId="4E417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46" w:type="pct"/>
                  <w:gridSpan w:val="2"/>
                  <w:tcBorders>
                    <w:top w:val="single" w:color="auto" w:sz="12" w:space="0"/>
                    <w:left w:val="nil"/>
                    <w:bottom w:val="single" w:color="auto" w:sz="8" w:space="0"/>
                  </w:tcBorders>
                  <w:shd w:val="clear" w:color="auto" w:fill="auto"/>
                  <w:vAlign w:val="center"/>
                </w:tcPr>
                <w:p w14:paraId="29B5F926">
                  <w:pPr>
                    <w:keepNext/>
                    <w:topLinePunct/>
                    <w:jc w:val="center"/>
                    <w:textAlignment w:val="center"/>
                    <w:rPr>
                      <w:b/>
                      <w:color w:val="auto"/>
                      <w:szCs w:val="21"/>
                    </w:rPr>
                  </w:pPr>
                  <w:r>
                    <w:rPr>
                      <w:b/>
                      <w:color w:val="auto"/>
                      <w:szCs w:val="21"/>
                    </w:rPr>
                    <w:t>监测点位</w:t>
                  </w:r>
                </w:p>
              </w:tc>
              <w:tc>
                <w:tcPr>
                  <w:tcW w:w="729" w:type="pct"/>
                  <w:tcBorders>
                    <w:top w:val="single" w:color="auto" w:sz="12" w:space="0"/>
                    <w:bottom w:val="single" w:color="auto" w:sz="8" w:space="0"/>
                  </w:tcBorders>
                  <w:shd w:val="clear" w:color="auto" w:fill="auto"/>
                  <w:vAlign w:val="center"/>
                </w:tcPr>
                <w:p w14:paraId="4D5B9D44">
                  <w:pPr>
                    <w:keepNext/>
                    <w:topLinePunct/>
                    <w:jc w:val="center"/>
                    <w:textAlignment w:val="center"/>
                    <w:rPr>
                      <w:b/>
                      <w:color w:val="auto"/>
                      <w:szCs w:val="21"/>
                    </w:rPr>
                  </w:pPr>
                  <w:r>
                    <w:rPr>
                      <w:b/>
                      <w:color w:val="auto"/>
                      <w:szCs w:val="21"/>
                    </w:rPr>
                    <w:t>监测指标</w:t>
                  </w:r>
                </w:p>
              </w:tc>
              <w:tc>
                <w:tcPr>
                  <w:tcW w:w="582" w:type="pct"/>
                  <w:tcBorders>
                    <w:top w:val="single" w:color="auto" w:sz="12" w:space="0"/>
                    <w:bottom w:val="single" w:color="auto" w:sz="8" w:space="0"/>
                  </w:tcBorders>
                  <w:shd w:val="clear" w:color="auto" w:fill="auto"/>
                  <w:vAlign w:val="center"/>
                </w:tcPr>
                <w:p w14:paraId="3E74FD14">
                  <w:pPr>
                    <w:keepNext/>
                    <w:topLinePunct/>
                    <w:jc w:val="center"/>
                    <w:textAlignment w:val="center"/>
                    <w:rPr>
                      <w:b/>
                      <w:color w:val="auto"/>
                      <w:szCs w:val="21"/>
                    </w:rPr>
                  </w:pPr>
                  <w:r>
                    <w:rPr>
                      <w:b/>
                      <w:color w:val="auto"/>
                      <w:szCs w:val="21"/>
                    </w:rPr>
                    <w:t>监测频次</w:t>
                  </w:r>
                </w:p>
              </w:tc>
              <w:tc>
                <w:tcPr>
                  <w:tcW w:w="2541" w:type="pct"/>
                  <w:tcBorders>
                    <w:top w:val="single" w:color="auto" w:sz="12" w:space="0"/>
                    <w:bottom w:val="single" w:color="auto" w:sz="8" w:space="0"/>
                    <w:right w:val="nil"/>
                  </w:tcBorders>
                  <w:shd w:val="clear" w:color="auto" w:fill="auto"/>
                  <w:vAlign w:val="center"/>
                </w:tcPr>
                <w:p w14:paraId="36339804">
                  <w:pPr>
                    <w:keepNext/>
                    <w:topLinePunct/>
                    <w:jc w:val="center"/>
                    <w:textAlignment w:val="center"/>
                    <w:rPr>
                      <w:b/>
                      <w:color w:val="auto"/>
                      <w:szCs w:val="21"/>
                    </w:rPr>
                  </w:pPr>
                  <w:r>
                    <w:rPr>
                      <w:b/>
                      <w:color w:val="auto"/>
                      <w:szCs w:val="21"/>
                    </w:rPr>
                    <w:t>执行排放标准</w:t>
                  </w:r>
                </w:p>
              </w:tc>
            </w:tr>
            <w:tr w14:paraId="4E902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14" w:hRule="atLeast"/>
              </w:trPr>
              <w:tc>
                <w:tcPr>
                  <w:tcW w:w="463" w:type="pct"/>
                  <w:tcBorders>
                    <w:top w:val="single" w:color="auto" w:sz="8" w:space="0"/>
                    <w:left w:val="nil"/>
                    <w:bottom w:val="single" w:color="auto" w:sz="12" w:space="0"/>
                  </w:tcBorders>
                  <w:shd w:val="clear" w:color="auto" w:fill="auto"/>
                  <w:vAlign w:val="center"/>
                </w:tcPr>
                <w:p w14:paraId="0F98D263">
                  <w:pPr>
                    <w:keepNext/>
                    <w:topLinePunct/>
                    <w:jc w:val="center"/>
                    <w:textAlignment w:val="center"/>
                    <w:rPr>
                      <w:color w:val="auto"/>
                      <w:szCs w:val="21"/>
                    </w:rPr>
                  </w:pPr>
                  <w:r>
                    <w:rPr>
                      <w:rFonts w:hint="eastAsia"/>
                      <w:color w:val="auto"/>
                      <w:szCs w:val="21"/>
                    </w:rPr>
                    <w:t>无组织</w:t>
                  </w:r>
                </w:p>
              </w:tc>
              <w:tc>
                <w:tcPr>
                  <w:tcW w:w="683" w:type="pct"/>
                  <w:tcBorders>
                    <w:top w:val="single" w:color="auto" w:sz="8" w:space="0"/>
                    <w:bottom w:val="single" w:color="auto" w:sz="12" w:space="0"/>
                  </w:tcBorders>
                  <w:shd w:val="clear" w:color="auto" w:fill="auto"/>
                  <w:vAlign w:val="center"/>
                </w:tcPr>
                <w:p w14:paraId="512E9800">
                  <w:pPr>
                    <w:keepNext/>
                    <w:topLinePunct/>
                    <w:jc w:val="center"/>
                    <w:textAlignment w:val="center"/>
                    <w:rPr>
                      <w:color w:val="auto"/>
                      <w:szCs w:val="21"/>
                    </w:rPr>
                  </w:pPr>
                  <w:r>
                    <w:rPr>
                      <w:rFonts w:hint="eastAsia"/>
                      <w:color w:val="auto"/>
                      <w:szCs w:val="21"/>
                    </w:rPr>
                    <w:t>厂界</w:t>
                  </w:r>
                </w:p>
              </w:tc>
              <w:tc>
                <w:tcPr>
                  <w:tcW w:w="729" w:type="pct"/>
                  <w:tcBorders>
                    <w:top w:val="single" w:color="auto" w:sz="8" w:space="0"/>
                    <w:bottom w:val="single" w:color="auto" w:sz="12" w:space="0"/>
                  </w:tcBorders>
                  <w:shd w:val="clear" w:color="auto" w:fill="auto"/>
                  <w:vAlign w:val="center"/>
                </w:tcPr>
                <w:p w14:paraId="411C890F">
                  <w:pPr>
                    <w:keepNext/>
                    <w:topLinePunct/>
                    <w:jc w:val="center"/>
                    <w:textAlignment w:val="center"/>
                    <w:rPr>
                      <w:color w:val="auto"/>
                      <w:szCs w:val="21"/>
                    </w:rPr>
                  </w:pPr>
                  <w:r>
                    <w:rPr>
                      <w:rFonts w:hint="eastAsia"/>
                      <w:color w:val="auto"/>
                      <w:szCs w:val="21"/>
                    </w:rPr>
                    <w:t>非甲烷总烃</w:t>
                  </w:r>
                </w:p>
              </w:tc>
              <w:tc>
                <w:tcPr>
                  <w:tcW w:w="582" w:type="pct"/>
                  <w:tcBorders>
                    <w:top w:val="single" w:color="auto" w:sz="8" w:space="0"/>
                    <w:bottom w:val="single" w:color="auto" w:sz="12" w:space="0"/>
                  </w:tcBorders>
                  <w:shd w:val="clear" w:color="auto" w:fill="auto"/>
                  <w:vAlign w:val="center"/>
                </w:tcPr>
                <w:p w14:paraId="559A0541">
                  <w:pPr>
                    <w:keepNext/>
                    <w:topLinePunct/>
                    <w:jc w:val="center"/>
                    <w:textAlignment w:val="center"/>
                    <w:rPr>
                      <w:color w:val="auto"/>
                      <w:szCs w:val="21"/>
                    </w:rPr>
                  </w:pPr>
                  <w:r>
                    <w:rPr>
                      <w:color w:val="auto"/>
                      <w:szCs w:val="21"/>
                    </w:rPr>
                    <w:t>半年一次</w:t>
                  </w:r>
                </w:p>
              </w:tc>
              <w:tc>
                <w:tcPr>
                  <w:tcW w:w="2541" w:type="pct"/>
                  <w:tcBorders>
                    <w:top w:val="single" w:color="auto" w:sz="8" w:space="0"/>
                    <w:bottom w:val="single" w:color="auto" w:sz="12" w:space="0"/>
                    <w:right w:val="nil"/>
                  </w:tcBorders>
                  <w:shd w:val="clear" w:color="auto" w:fill="auto"/>
                  <w:vAlign w:val="center"/>
                </w:tcPr>
                <w:p w14:paraId="4E23BACE">
                  <w:pPr>
                    <w:keepNext/>
                    <w:topLinePunct/>
                    <w:jc w:val="center"/>
                    <w:textAlignment w:val="center"/>
                    <w:rPr>
                      <w:color w:val="auto"/>
                      <w:szCs w:val="21"/>
                    </w:rPr>
                  </w:pPr>
                  <w:r>
                    <w:rPr>
                      <w:color w:val="auto"/>
                      <w:szCs w:val="21"/>
                    </w:rPr>
                    <w:t>《大气污染物综合排放标准》（DB32/4041-2021）表2 VOCs无组织排放限值</w:t>
                  </w:r>
                </w:p>
              </w:tc>
            </w:tr>
          </w:tbl>
          <w:p w14:paraId="2C30489B">
            <w:pPr>
              <w:widowControl/>
              <w:adjustRightInd w:val="0"/>
              <w:snapToGrid w:val="0"/>
              <w:spacing w:line="360" w:lineRule="auto"/>
              <w:ind w:firstLine="482" w:firstLineChars="200"/>
              <w:jc w:val="left"/>
              <w:rPr>
                <w:b/>
                <w:color w:val="auto"/>
                <w:kern w:val="0"/>
                <w:sz w:val="24"/>
              </w:rPr>
            </w:pPr>
            <w:r>
              <w:rPr>
                <w:b/>
                <w:color w:val="auto"/>
                <w:kern w:val="0"/>
                <w:sz w:val="24"/>
              </w:rPr>
              <w:t>1.</w:t>
            </w:r>
            <w:r>
              <w:rPr>
                <w:rFonts w:hint="eastAsia"/>
                <w:b/>
                <w:color w:val="auto"/>
                <w:kern w:val="0"/>
                <w:sz w:val="24"/>
                <w:lang w:val="en-US" w:eastAsia="zh-CN"/>
              </w:rPr>
              <w:t>5</w:t>
            </w:r>
            <w:r>
              <w:rPr>
                <w:b/>
                <w:color w:val="auto"/>
                <w:kern w:val="0"/>
                <w:sz w:val="24"/>
              </w:rPr>
              <w:t>废气排放环境影响分析</w:t>
            </w:r>
          </w:p>
          <w:p w14:paraId="1B52A78E">
            <w:pPr>
              <w:widowControl/>
              <w:adjustRightInd w:val="0"/>
              <w:snapToGrid w:val="0"/>
              <w:spacing w:line="360" w:lineRule="auto"/>
              <w:ind w:firstLine="480" w:firstLineChars="200"/>
              <w:jc w:val="left"/>
              <w:rPr>
                <w:color w:val="auto"/>
                <w:kern w:val="0"/>
                <w:sz w:val="24"/>
              </w:rPr>
            </w:pPr>
            <w:r>
              <w:rPr>
                <w:rFonts w:hint="eastAsia"/>
                <w:color w:val="auto"/>
                <w:kern w:val="0"/>
                <w:sz w:val="24"/>
              </w:rPr>
              <w:t>（1）大气有害物质无组织排放卫生防护距离的设定</w:t>
            </w:r>
          </w:p>
          <w:p w14:paraId="516A587A">
            <w:pPr>
              <w:adjustRightInd w:val="0"/>
              <w:snapToGrid w:val="0"/>
              <w:spacing w:line="360" w:lineRule="auto"/>
              <w:ind w:firstLine="480" w:firstLineChars="200"/>
              <w:rPr>
                <w:bCs/>
                <w:color w:val="auto"/>
                <w:sz w:val="24"/>
              </w:rPr>
            </w:pPr>
            <w:r>
              <w:rPr>
                <w:rFonts w:ascii="宋体" w:hAnsi="宋体"/>
                <w:bCs/>
                <w:color w:val="auto"/>
                <w:sz w:val="24"/>
              </w:rPr>
              <w:t>按照</w:t>
            </w:r>
            <w:r>
              <w:rPr>
                <w:bCs/>
                <w:color w:val="auto"/>
                <w:sz w:val="24"/>
              </w:rPr>
              <w:t>“</w:t>
            </w:r>
            <w:r>
              <w:rPr>
                <w:rFonts w:ascii="宋体" w:hAnsi="宋体"/>
                <w:bCs/>
                <w:color w:val="auto"/>
                <w:sz w:val="24"/>
              </w:rPr>
              <w:t>工程分析</w:t>
            </w:r>
            <w:r>
              <w:rPr>
                <w:bCs/>
                <w:color w:val="auto"/>
                <w:sz w:val="24"/>
              </w:rPr>
              <w:t>”</w:t>
            </w:r>
            <w:r>
              <w:rPr>
                <w:rFonts w:ascii="宋体" w:hAnsi="宋体"/>
                <w:bCs/>
                <w:color w:val="auto"/>
                <w:sz w:val="24"/>
              </w:rPr>
              <w:t>核算的有害气体无组织排放量，根据《大气有害物质无组织排放卫生防护距离推导技术导则》</w:t>
            </w:r>
            <w:r>
              <w:rPr>
                <w:bCs/>
                <w:color w:val="auto"/>
                <w:sz w:val="24"/>
              </w:rPr>
              <w:t>（GB/T39499-2020）</w:t>
            </w:r>
            <w:r>
              <w:rPr>
                <w:rFonts w:ascii="宋体" w:hAnsi="宋体"/>
                <w:bCs/>
                <w:color w:val="auto"/>
                <w:sz w:val="24"/>
              </w:rPr>
              <w:t>的有关规定，当目标企业无组织排放存在多种有毒有害污染物时，基于单个污染物的等标排放量（</w:t>
            </w:r>
            <w:r>
              <w:rPr>
                <w:bCs/>
                <w:color w:val="auto"/>
                <w:sz w:val="24"/>
              </w:rPr>
              <w:t>Q</w:t>
            </w:r>
            <w:r>
              <w:rPr>
                <w:bCs/>
                <w:color w:val="auto"/>
                <w:sz w:val="24"/>
                <w:vertAlign w:val="subscript"/>
              </w:rPr>
              <w:t>c</w:t>
            </w:r>
            <w:r>
              <w:rPr>
                <w:bCs/>
                <w:color w:val="auto"/>
                <w:sz w:val="24"/>
              </w:rPr>
              <w:t>/C</w:t>
            </w:r>
            <w:r>
              <w:rPr>
                <w:bCs/>
                <w:color w:val="auto"/>
                <w:sz w:val="24"/>
                <w:vertAlign w:val="subscript"/>
              </w:rPr>
              <w:t>m</w:t>
            </w:r>
            <w:r>
              <w:rPr>
                <w:rFonts w:ascii="宋体" w:hAnsi="宋体"/>
                <w:bCs/>
                <w:color w:val="auto"/>
                <w:sz w:val="24"/>
              </w:rPr>
              <w:t>）计算结果，优先选择等标排放量最大的污染物</w:t>
            </w:r>
            <w:r>
              <w:rPr>
                <w:bCs/>
                <w:color w:val="auto"/>
                <w:sz w:val="24"/>
              </w:rPr>
              <w:t>1</w:t>
            </w:r>
            <w:r>
              <w:rPr>
                <w:rFonts w:ascii="宋体" w:hAnsi="宋体"/>
                <w:bCs/>
                <w:color w:val="auto"/>
                <w:sz w:val="24"/>
              </w:rPr>
              <w:t>～</w:t>
            </w:r>
            <w:r>
              <w:rPr>
                <w:bCs/>
                <w:color w:val="auto"/>
                <w:sz w:val="24"/>
              </w:rPr>
              <w:t>2</w:t>
            </w:r>
            <w:r>
              <w:rPr>
                <w:rFonts w:ascii="宋体" w:hAnsi="宋体"/>
                <w:bCs/>
                <w:color w:val="auto"/>
                <w:sz w:val="24"/>
              </w:rPr>
              <w:t>种为企业无组织排放的主要特征大气有害物质。当前两种污染物的等标排放量相差在</w:t>
            </w:r>
            <w:r>
              <w:rPr>
                <w:bCs/>
                <w:color w:val="auto"/>
                <w:sz w:val="24"/>
              </w:rPr>
              <w:t>10%</w:t>
            </w:r>
            <w:r>
              <w:rPr>
                <w:rFonts w:ascii="宋体" w:hAnsi="宋体"/>
                <w:bCs/>
                <w:color w:val="auto"/>
                <w:sz w:val="24"/>
              </w:rPr>
              <w:t>以内时，需要同时选择这两种特征大气有害物质分别计算卫生防护距离初值，</w:t>
            </w:r>
            <w:r>
              <w:rPr>
                <w:rFonts w:hint="eastAsia" w:ascii="宋体" w:hAnsi="宋体"/>
                <w:bCs/>
                <w:color w:val="auto"/>
                <w:sz w:val="24"/>
                <w:lang w:val="en-US" w:eastAsia="zh-CN"/>
              </w:rPr>
              <w:t>技改项目</w:t>
            </w:r>
            <w:r>
              <w:rPr>
                <w:rFonts w:ascii="宋体" w:hAnsi="宋体"/>
                <w:bCs/>
                <w:color w:val="auto"/>
                <w:sz w:val="24"/>
              </w:rPr>
              <w:t>无组织污染物等标排放量详见表</w:t>
            </w:r>
            <w:r>
              <w:rPr>
                <w:rFonts w:hint="eastAsia"/>
                <w:bCs/>
                <w:color w:val="auto"/>
                <w:sz w:val="24"/>
                <w:lang w:val="en-US" w:eastAsia="zh-CN"/>
              </w:rPr>
              <w:t>4-3</w:t>
            </w:r>
            <w:r>
              <w:rPr>
                <w:rFonts w:ascii="宋体" w:hAnsi="宋体"/>
                <w:bCs/>
                <w:color w:val="auto"/>
                <w:sz w:val="24"/>
              </w:rPr>
              <w:t>。</w:t>
            </w:r>
          </w:p>
          <w:p w14:paraId="296A934B">
            <w:pPr>
              <w:widowControl/>
              <w:adjustRightInd w:val="0"/>
              <w:snapToGrid w:val="0"/>
              <w:jc w:val="center"/>
              <w:rPr>
                <w:b/>
                <w:bCs/>
                <w:color w:val="auto"/>
                <w:kern w:val="0"/>
                <w:sz w:val="24"/>
              </w:rPr>
            </w:pPr>
            <w:r>
              <w:rPr>
                <w:b/>
                <w:bCs/>
                <w:color w:val="auto"/>
                <w:kern w:val="0"/>
                <w:sz w:val="24"/>
              </w:rPr>
              <w:t>表</w:t>
            </w:r>
            <w:r>
              <w:rPr>
                <w:rFonts w:hint="eastAsia"/>
                <w:b/>
                <w:bCs/>
                <w:color w:val="auto"/>
                <w:kern w:val="0"/>
                <w:sz w:val="24"/>
                <w:lang w:val="en-US" w:eastAsia="zh-CN"/>
              </w:rPr>
              <w:t>4-3  扩建</w:t>
            </w:r>
            <w:r>
              <w:rPr>
                <w:rFonts w:hint="eastAsia"/>
                <w:b/>
                <w:bCs/>
                <w:color w:val="auto"/>
                <w:kern w:val="0"/>
                <w:sz w:val="24"/>
              </w:rPr>
              <w:t>项目</w:t>
            </w:r>
            <w:r>
              <w:rPr>
                <w:b/>
                <w:bCs/>
                <w:color w:val="auto"/>
                <w:kern w:val="0"/>
                <w:sz w:val="24"/>
              </w:rPr>
              <w:t>无组织废气等标排放量计算结果一览表</w:t>
            </w:r>
          </w:p>
          <w:tbl>
            <w:tblPr>
              <w:tblStyle w:val="3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1419"/>
              <w:gridCol w:w="1420"/>
              <w:gridCol w:w="1420"/>
              <w:gridCol w:w="1420"/>
              <w:gridCol w:w="1427"/>
            </w:tblGrid>
            <w:tr w14:paraId="363C9E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pct"/>
                  <w:vAlign w:val="center"/>
                </w:tcPr>
                <w:p w14:paraId="1C05F66F">
                  <w:pPr>
                    <w:adjustRightInd w:val="0"/>
                    <w:snapToGrid w:val="0"/>
                    <w:jc w:val="center"/>
                    <w:rPr>
                      <w:b/>
                      <w:bCs/>
                      <w:color w:val="auto"/>
                      <w:sz w:val="18"/>
                      <w:szCs w:val="18"/>
                    </w:rPr>
                  </w:pPr>
                  <w:r>
                    <w:rPr>
                      <w:rFonts w:ascii="宋体" w:hAnsi="宋体"/>
                      <w:b/>
                      <w:bCs/>
                      <w:color w:val="auto"/>
                      <w:sz w:val="18"/>
                      <w:szCs w:val="18"/>
                    </w:rPr>
                    <w:t>面源</w:t>
                  </w:r>
                </w:p>
              </w:tc>
              <w:tc>
                <w:tcPr>
                  <w:tcW w:w="832" w:type="pct"/>
                  <w:vAlign w:val="center"/>
                </w:tcPr>
                <w:p w14:paraId="016C72D7">
                  <w:pPr>
                    <w:adjustRightInd w:val="0"/>
                    <w:snapToGrid w:val="0"/>
                    <w:jc w:val="center"/>
                    <w:rPr>
                      <w:b/>
                      <w:bCs/>
                      <w:color w:val="auto"/>
                      <w:sz w:val="18"/>
                      <w:szCs w:val="18"/>
                    </w:rPr>
                  </w:pPr>
                  <w:r>
                    <w:rPr>
                      <w:rFonts w:ascii="宋体" w:hAnsi="宋体"/>
                      <w:b/>
                      <w:bCs/>
                      <w:color w:val="auto"/>
                      <w:sz w:val="18"/>
                      <w:szCs w:val="18"/>
                    </w:rPr>
                    <w:t>污染物</w:t>
                  </w:r>
                </w:p>
              </w:tc>
              <w:tc>
                <w:tcPr>
                  <w:tcW w:w="832" w:type="pct"/>
                  <w:vAlign w:val="center"/>
                </w:tcPr>
                <w:p w14:paraId="6E8B1884">
                  <w:pPr>
                    <w:adjustRightInd w:val="0"/>
                    <w:snapToGrid w:val="0"/>
                    <w:jc w:val="center"/>
                    <w:rPr>
                      <w:b/>
                      <w:bCs/>
                      <w:color w:val="auto"/>
                      <w:sz w:val="18"/>
                      <w:szCs w:val="18"/>
                    </w:rPr>
                  </w:pPr>
                  <w:r>
                    <w:rPr>
                      <w:rFonts w:ascii="宋体" w:hAnsi="宋体"/>
                      <w:b/>
                      <w:bCs/>
                      <w:color w:val="auto"/>
                      <w:sz w:val="18"/>
                      <w:szCs w:val="18"/>
                    </w:rPr>
                    <w:t>源强</w:t>
                  </w:r>
                  <w:r>
                    <w:rPr>
                      <w:b/>
                      <w:bCs/>
                      <w:color w:val="auto"/>
                      <w:sz w:val="18"/>
                      <w:szCs w:val="18"/>
                    </w:rPr>
                    <w:t>Q</w:t>
                  </w:r>
                  <w:r>
                    <w:rPr>
                      <w:b/>
                      <w:bCs/>
                      <w:color w:val="auto"/>
                      <w:sz w:val="18"/>
                      <w:szCs w:val="18"/>
                      <w:vertAlign w:val="subscript"/>
                    </w:rPr>
                    <w:t>c</w:t>
                  </w:r>
                  <w:r>
                    <w:rPr>
                      <w:rFonts w:ascii="宋体" w:hAnsi="宋体"/>
                      <w:b/>
                      <w:bCs/>
                      <w:color w:val="auto"/>
                      <w:sz w:val="18"/>
                      <w:szCs w:val="18"/>
                    </w:rPr>
                    <w:t>（</w:t>
                  </w:r>
                  <w:r>
                    <w:rPr>
                      <w:b/>
                      <w:bCs/>
                      <w:color w:val="auto"/>
                      <w:sz w:val="18"/>
                      <w:szCs w:val="18"/>
                    </w:rPr>
                    <w:t>kg/h</w:t>
                  </w:r>
                  <w:r>
                    <w:rPr>
                      <w:rFonts w:ascii="宋体" w:hAnsi="宋体"/>
                      <w:b/>
                      <w:bCs/>
                      <w:color w:val="auto"/>
                      <w:sz w:val="18"/>
                      <w:szCs w:val="18"/>
                    </w:rPr>
                    <w:t>）</w:t>
                  </w:r>
                </w:p>
              </w:tc>
              <w:tc>
                <w:tcPr>
                  <w:tcW w:w="832" w:type="pct"/>
                  <w:vAlign w:val="center"/>
                </w:tcPr>
                <w:p w14:paraId="3EAC5EB2">
                  <w:pPr>
                    <w:adjustRightInd w:val="0"/>
                    <w:snapToGrid w:val="0"/>
                    <w:jc w:val="center"/>
                    <w:rPr>
                      <w:b/>
                      <w:bCs/>
                      <w:color w:val="auto"/>
                      <w:sz w:val="18"/>
                      <w:szCs w:val="18"/>
                    </w:rPr>
                  </w:pPr>
                  <w:r>
                    <w:rPr>
                      <w:rFonts w:ascii="宋体" w:hAnsi="宋体"/>
                      <w:b/>
                      <w:bCs/>
                      <w:color w:val="auto"/>
                      <w:sz w:val="18"/>
                      <w:szCs w:val="18"/>
                    </w:rPr>
                    <w:t>标准限值</w:t>
                  </w:r>
                  <w:r>
                    <w:rPr>
                      <w:b/>
                      <w:bCs/>
                      <w:color w:val="auto"/>
                      <w:sz w:val="18"/>
                      <w:szCs w:val="18"/>
                    </w:rPr>
                    <w:t>C</w:t>
                  </w:r>
                  <w:r>
                    <w:rPr>
                      <w:b/>
                      <w:bCs/>
                      <w:color w:val="auto"/>
                      <w:sz w:val="18"/>
                      <w:szCs w:val="18"/>
                      <w:vertAlign w:val="subscript"/>
                    </w:rPr>
                    <w:t>m</w:t>
                  </w:r>
                  <w:r>
                    <w:rPr>
                      <w:rFonts w:ascii="宋体" w:hAnsi="宋体"/>
                      <w:b/>
                      <w:bCs/>
                      <w:color w:val="auto"/>
                      <w:sz w:val="18"/>
                      <w:szCs w:val="18"/>
                    </w:rPr>
                    <w:t>（</w:t>
                  </w:r>
                  <w:r>
                    <w:rPr>
                      <w:b/>
                      <w:bCs/>
                      <w:color w:val="auto"/>
                      <w:sz w:val="18"/>
                      <w:szCs w:val="18"/>
                    </w:rPr>
                    <w:t>mg/Nm</w:t>
                  </w:r>
                  <w:r>
                    <w:rPr>
                      <w:b/>
                      <w:bCs/>
                      <w:color w:val="auto"/>
                      <w:sz w:val="18"/>
                      <w:szCs w:val="18"/>
                      <w:vertAlign w:val="superscript"/>
                    </w:rPr>
                    <w:t>3</w:t>
                  </w:r>
                  <w:r>
                    <w:rPr>
                      <w:rFonts w:ascii="宋体" w:hAnsi="宋体"/>
                      <w:b/>
                      <w:bCs/>
                      <w:color w:val="auto"/>
                      <w:sz w:val="18"/>
                      <w:szCs w:val="18"/>
                    </w:rPr>
                    <w:t>）</w:t>
                  </w:r>
                </w:p>
              </w:tc>
              <w:tc>
                <w:tcPr>
                  <w:tcW w:w="832" w:type="pct"/>
                  <w:vAlign w:val="center"/>
                </w:tcPr>
                <w:p w14:paraId="7245A6BF">
                  <w:pPr>
                    <w:adjustRightInd w:val="0"/>
                    <w:snapToGrid w:val="0"/>
                    <w:jc w:val="center"/>
                    <w:rPr>
                      <w:b/>
                      <w:bCs/>
                      <w:color w:val="auto"/>
                      <w:sz w:val="18"/>
                      <w:szCs w:val="18"/>
                    </w:rPr>
                  </w:pPr>
                  <w:r>
                    <w:rPr>
                      <w:b/>
                      <w:bCs/>
                      <w:color w:val="auto"/>
                      <w:sz w:val="18"/>
                      <w:szCs w:val="18"/>
                    </w:rPr>
                    <w:t>Q</w:t>
                  </w:r>
                  <w:r>
                    <w:rPr>
                      <w:b/>
                      <w:bCs/>
                      <w:color w:val="auto"/>
                      <w:sz w:val="18"/>
                      <w:szCs w:val="18"/>
                      <w:vertAlign w:val="subscript"/>
                    </w:rPr>
                    <w:t>c</w:t>
                  </w:r>
                  <w:r>
                    <w:rPr>
                      <w:b/>
                      <w:bCs/>
                      <w:color w:val="auto"/>
                      <w:sz w:val="18"/>
                      <w:szCs w:val="18"/>
                    </w:rPr>
                    <w:t xml:space="preserve"> /C</w:t>
                  </w:r>
                  <w:r>
                    <w:rPr>
                      <w:b/>
                      <w:bCs/>
                      <w:color w:val="auto"/>
                      <w:sz w:val="18"/>
                      <w:szCs w:val="18"/>
                      <w:vertAlign w:val="subscript"/>
                    </w:rPr>
                    <w:t>m</w:t>
                  </w:r>
                </w:p>
              </w:tc>
              <w:tc>
                <w:tcPr>
                  <w:tcW w:w="836" w:type="pct"/>
                  <w:vAlign w:val="center"/>
                </w:tcPr>
                <w:p w14:paraId="68779430">
                  <w:pPr>
                    <w:adjustRightInd w:val="0"/>
                    <w:snapToGrid w:val="0"/>
                    <w:jc w:val="center"/>
                    <w:rPr>
                      <w:rFonts w:hint="eastAsia" w:eastAsia="宋体"/>
                      <w:b/>
                      <w:bCs/>
                      <w:color w:val="auto"/>
                      <w:sz w:val="18"/>
                      <w:szCs w:val="18"/>
                      <w:lang w:eastAsia="zh-CN"/>
                    </w:rPr>
                  </w:pPr>
                  <w:r>
                    <w:rPr>
                      <w:rFonts w:hint="eastAsia"/>
                      <w:b/>
                      <w:bCs/>
                      <w:color w:val="auto"/>
                      <w:sz w:val="18"/>
                      <w:szCs w:val="18"/>
                      <w:lang w:eastAsia="zh-CN"/>
                    </w:rPr>
                    <w:t>备注</w:t>
                  </w:r>
                </w:p>
              </w:tc>
            </w:tr>
            <w:tr w14:paraId="0B7722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pct"/>
                  <w:vAlign w:val="center"/>
                </w:tcPr>
                <w:p w14:paraId="0C021CF6">
                  <w:pPr>
                    <w:adjustRightInd w:val="0"/>
                    <w:snapToGrid w:val="0"/>
                    <w:jc w:val="center"/>
                    <w:rPr>
                      <w:rFonts w:hint="default" w:ascii="Times New Roman" w:hAnsi="Times New Roman" w:eastAsia="宋体" w:cs="Times New Roman"/>
                      <w:bCs/>
                      <w:color w:val="auto"/>
                      <w:sz w:val="18"/>
                      <w:szCs w:val="18"/>
                      <w:lang w:eastAsia="zh-CN"/>
                    </w:rPr>
                  </w:pPr>
                  <w:r>
                    <w:rPr>
                      <w:rFonts w:hint="default" w:ascii="Times New Roman" w:hAnsi="Times New Roman" w:eastAsia="宋体" w:cs="Times New Roman"/>
                      <w:color w:val="auto"/>
                      <w:kern w:val="0"/>
                      <w:sz w:val="18"/>
                      <w:szCs w:val="18"/>
                      <w:lang w:eastAsia="zh-CN"/>
                    </w:rPr>
                    <w:t>生产车间</w:t>
                  </w:r>
                </w:p>
              </w:tc>
              <w:tc>
                <w:tcPr>
                  <w:tcW w:w="832" w:type="pct"/>
                  <w:vAlign w:val="center"/>
                </w:tcPr>
                <w:p w14:paraId="261E73BC">
                  <w:pPr>
                    <w:widowControl/>
                    <w:adjustRightInd w:val="0"/>
                    <w:snapToGrid w:val="0"/>
                    <w:jc w:val="center"/>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color w:val="auto"/>
                      <w:kern w:val="0"/>
                      <w:sz w:val="18"/>
                      <w:szCs w:val="18"/>
                      <w:lang w:eastAsia="zh-CN"/>
                    </w:rPr>
                    <w:t>非甲烷总烃</w:t>
                  </w:r>
                </w:p>
              </w:tc>
              <w:tc>
                <w:tcPr>
                  <w:tcW w:w="832" w:type="pct"/>
                  <w:vAlign w:val="center"/>
                </w:tcPr>
                <w:p w14:paraId="10F9BDC1">
                  <w:pPr>
                    <w:adjustRightInd w:val="0"/>
                    <w:snapToGrid w:val="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0.4</w:t>
                  </w:r>
                </w:p>
              </w:tc>
              <w:tc>
                <w:tcPr>
                  <w:tcW w:w="832" w:type="pct"/>
                  <w:vAlign w:val="center"/>
                </w:tcPr>
                <w:p w14:paraId="2A81DEDA">
                  <w:pPr>
                    <w:adjustRightInd w:val="0"/>
                    <w:snapToGrid w:val="0"/>
                    <w:jc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color w:val="auto"/>
                      <w:kern w:val="0"/>
                      <w:sz w:val="18"/>
                      <w:szCs w:val="18"/>
                    </w:rPr>
                    <w:t>2</w:t>
                  </w:r>
                </w:p>
              </w:tc>
              <w:tc>
                <w:tcPr>
                  <w:tcW w:w="832" w:type="pct"/>
                  <w:vAlign w:val="center"/>
                </w:tcPr>
                <w:p w14:paraId="703F131E">
                  <w:pPr>
                    <w:adjustRightInd w:val="0"/>
                    <w:snapToGrid w:val="0"/>
                    <w:jc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0.2</w:t>
                  </w:r>
                </w:p>
              </w:tc>
              <w:tc>
                <w:tcPr>
                  <w:tcW w:w="836" w:type="pct"/>
                  <w:vAlign w:val="center"/>
                </w:tcPr>
                <w:p w14:paraId="491E1568">
                  <w:pPr>
                    <w:adjustRightInd w:val="0"/>
                    <w:snapToGrid w:val="0"/>
                    <w:jc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扩建项目</w:t>
                  </w:r>
                </w:p>
              </w:tc>
            </w:tr>
          </w:tbl>
          <w:p w14:paraId="6104C4D5">
            <w:pPr>
              <w:adjustRightInd w:val="0"/>
              <w:snapToGrid w:val="0"/>
              <w:spacing w:line="360" w:lineRule="auto"/>
              <w:ind w:firstLine="480" w:firstLineChars="200"/>
              <w:rPr>
                <w:rFonts w:hint="eastAsia" w:eastAsia="宋体"/>
                <w:bCs/>
                <w:color w:val="auto"/>
                <w:sz w:val="24"/>
                <w:lang w:eastAsia="zh-CN"/>
              </w:rPr>
            </w:pPr>
            <w:r>
              <w:rPr>
                <w:rFonts w:hint="eastAsia"/>
                <w:bCs/>
                <w:color w:val="auto"/>
                <w:sz w:val="24"/>
                <w:lang w:eastAsia="zh-CN"/>
              </w:rPr>
              <w:t>根据现有项目环评和验收可知：</w:t>
            </w:r>
            <w:r>
              <w:rPr>
                <w:rFonts w:hint="eastAsia"/>
                <w:color w:val="auto"/>
                <w:sz w:val="24"/>
                <w:szCs w:val="21"/>
                <w:lang w:eastAsia="zh-CN"/>
              </w:rPr>
              <w:t>现有</w:t>
            </w:r>
            <w:r>
              <w:rPr>
                <w:color w:val="auto"/>
                <w:sz w:val="24"/>
                <w:szCs w:val="21"/>
              </w:rPr>
              <w:t>项目需以</w:t>
            </w:r>
            <w:r>
              <w:rPr>
                <w:rFonts w:hint="eastAsia"/>
                <w:color w:val="auto"/>
                <w:sz w:val="24"/>
                <w:szCs w:val="21"/>
              </w:rPr>
              <w:t>污水处理站的边界外</w:t>
            </w:r>
            <w:r>
              <w:rPr>
                <w:color w:val="auto"/>
                <w:sz w:val="24"/>
                <w:szCs w:val="21"/>
              </w:rPr>
              <w:t>设置100m卫生防护距离，</w:t>
            </w:r>
            <w:r>
              <w:rPr>
                <w:rFonts w:hint="eastAsia"/>
                <w:color w:val="auto"/>
                <w:sz w:val="24"/>
                <w:szCs w:val="21"/>
              </w:rPr>
              <w:t>以食堂设置5</w:t>
            </w:r>
            <w:r>
              <w:rPr>
                <w:color w:val="auto"/>
                <w:sz w:val="24"/>
                <w:szCs w:val="21"/>
              </w:rPr>
              <w:t>0m</w:t>
            </w:r>
            <w:r>
              <w:rPr>
                <w:rFonts w:hint="eastAsia"/>
                <w:color w:val="auto"/>
                <w:sz w:val="24"/>
                <w:szCs w:val="21"/>
              </w:rPr>
              <w:t>防护距离，以生产厂房设置</w:t>
            </w:r>
            <w:r>
              <w:rPr>
                <w:color w:val="auto"/>
                <w:sz w:val="24"/>
                <w:szCs w:val="21"/>
              </w:rPr>
              <w:t>100m</w:t>
            </w:r>
            <w:r>
              <w:rPr>
                <w:rFonts w:hint="eastAsia"/>
                <w:color w:val="auto"/>
                <w:sz w:val="24"/>
                <w:szCs w:val="21"/>
              </w:rPr>
              <w:t>防护距离，</w:t>
            </w:r>
          </w:p>
          <w:p w14:paraId="58CF3F38">
            <w:pPr>
              <w:adjustRightInd w:val="0"/>
              <w:snapToGrid w:val="0"/>
              <w:spacing w:line="360" w:lineRule="auto"/>
              <w:ind w:firstLine="480" w:firstLineChars="200"/>
              <w:rPr>
                <w:bCs/>
                <w:color w:val="auto"/>
                <w:sz w:val="24"/>
              </w:rPr>
            </w:pPr>
            <w:r>
              <w:rPr>
                <w:rFonts w:hint="eastAsia"/>
                <w:bCs/>
                <w:color w:val="auto"/>
                <w:sz w:val="24"/>
              </w:rPr>
              <w:t>按照</w:t>
            </w:r>
            <w:r>
              <w:rPr>
                <w:bCs/>
                <w:color w:val="auto"/>
                <w:sz w:val="24"/>
              </w:rPr>
              <w:t>“</w:t>
            </w:r>
            <w:r>
              <w:rPr>
                <w:rFonts w:hint="eastAsia"/>
                <w:bCs/>
                <w:color w:val="auto"/>
                <w:sz w:val="24"/>
              </w:rPr>
              <w:t>工程分析</w:t>
            </w:r>
            <w:r>
              <w:rPr>
                <w:bCs/>
                <w:color w:val="auto"/>
                <w:sz w:val="24"/>
              </w:rPr>
              <w:t>”</w:t>
            </w:r>
            <w:r>
              <w:rPr>
                <w:rFonts w:hint="eastAsia"/>
                <w:bCs/>
                <w:color w:val="auto"/>
                <w:sz w:val="24"/>
              </w:rPr>
              <w:t>核算的有害气体无组织排放量，根据</w:t>
            </w:r>
            <w:bookmarkStart w:id="35" w:name="_Hlk72859849"/>
            <w:r>
              <w:rPr>
                <w:rFonts w:hint="eastAsia"/>
                <w:bCs/>
                <w:color w:val="auto"/>
                <w:sz w:val="24"/>
              </w:rPr>
              <w:t>《</w:t>
            </w:r>
            <w:r>
              <w:rPr>
                <w:rFonts w:hint="eastAsia"/>
                <w:color w:val="auto"/>
                <w:kern w:val="0"/>
                <w:sz w:val="24"/>
              </w:rPr>
              <w:t>大气有害物质无组织排放卫生防护距离推导技术导则</w:t>
            </w:r>
            <w:r>
              <w:rPr>
                <w:rFonts w:hint="eastAsia"/>
                <w:bCs/>
                <w:color w:val="auto"/>
                <w:sz w:val="24"/>
              </w:rPr>
              <w:t>》</w:t>
            </w:r>
            <w:r>
              <w:rPr>
                <w:bCs/>
                <w:color w:val="auto"/>
                <w:sz w:val="24"/>
              </w:rPr>
              <w:t>（GB/T39499-2020）</w:t>
            </w:r>
            <w:bookmarkEnd w:id="35"/>
            <w:r>
              <w:rPr>
                <w:rFonts w:hint="eastAsia"/>
                <w:bCs/>
                <w:color w:val="auto"/>
                <w:sz w:val="24"/>
              </w:rPr>
              <w:t>的有关规定，无组织排放有害气体的生产单元（生产区、车间或工段）与敏感区之间应设置卫生防护距离，计算公式如下：</w:t>
            </w:r>
          </w:p>
          <w:p w14:paraId="2D747D7F">
            <w:pPr>
              <w:adjustRightInd w:val="0"/>
              <w:snapToGrid w:val="0"/>
              <w:spacing w:line="360" w:lineRule="auto"/>
              <w:ind w:firstLine="240" w:firstLineChars="100"/>
              <w:jc w:val="center"/>
              <w:rPr>
                <w:color w:val="auto"/>
                <w:position w:val="-30"/>
                <w:sz w:val="24"/>
              </w:rPr>
            </w:pPr>
            <w:r>
              <w:rPr>
                <w:color w:val="auto"/>
                <w:position w:val="-30"/>
                <w:sz w:val="24"/>
              </w:rPr>
              <w:object>
                <v:shape id="_x0000_i1032" o:spt="75" type="#_x0000_t75" style="height:43.45pt;width:136.55pt;" o:ole="t" fillcolor="#6D6D6D" filled="f" o:preferrelative="t" stroked="f" coordsize="21600,21600">
                  <v:path/>
                  <v:fill on="f" focussize="0,0"/>
                  <v:stroke on="f" joinstyle="miter"/>
                  <v:imagedata r:id="rId26" o:title=""/>
                  <o:lock v:ext="edit" aspectratio="t"/>
                  <w10:wrap type="none"/>
                  <w10:anchorlock/>
                </v:shape>
                <o:OLEObject Type="Embed" ProgID="Equation.3" ShapeID="_x0000_i1032" DrawAspect="Content" ObjectID="_1468075732" r:id="rId25">
                  <o:LockedField>false</o:LockedField>
                </o:OLEObject>
              </w:object>
            </w:r>
          </w:p>
          <w:p w14:paraId="1FE1B81A">
            <w:pPr>
              <w:adjustRightInd w:val="0"/>
              <w:snapToGrid w:val="0"/>
              <w:spacing w:line="360" w:lineRule="auto"/>
              <w:ind w:firstLine="240" w:firstLineChars="100"/>
              <w:rPr>
                <w:color w:val="auto"/>
                <w:sz w:val="24"/>
              </w:rPr>
            </w:pPr>
            <w:r>
              <w:rPr>
                <w:rFonts w:hint="eastAsia"/>
                <w:color w:val="auto"/>
                <w:sz w:val="24"/>
              </w:rPr>
              <w:t>式中：</w:t>
            </w:r>
            <w:r>
              <w:rPr>
                <w:color w:val="auto"/>
                <w:sz w:val="24"/>
              </w:rPr>
              <w:t>Q</w:t>
            </w:r>
            <w:r>
              <w:rPr>
                <w:color w:val="auto"/>
                <w:sz w:val="24"/>
                <w:vertAlign w:val="subscript"/>
              </w:rPr>
              <w:t>c</w:t>
            </w:r>
            <w:r>
              <w:rPr>
                <w:color w:val="auto"/>
                <w:sz w:val="24"/>
              </w:rPr>
              <w:t>——</w:t>
            </w:r>
            <w:r>
              <w:rPr>
                <w:rFonts w:hint="eastAsia"/>
                <w:color w:val="auto"/>
                <w:sz w:val="24"/>
              </w:rPr>
              <w:t>大气有害物质的无组织排放量，单位为千克每小时（</w:t>
            </w:r>
            <w:r>
              <w:rPr>
                <w:color w:val="auto"/>
                <w:sz w:val="24"/>
              </w:rPr>
              <w:t>kg/h</w:t>
            </w:r>
            <w:r>
              <w:rPr>
                <w:rFonts w:hint="eastAsia"/>
                <w:color w:val="auto"/>
                <w:sz w:val="24"/>
              </w:rPr>
              <w:t>）；</w:t>
            </w:r>
          </w:p>
          <w:p w14:paraId="121C0564">
            <w:pPr>
              <w:tabs>
                <w:tab w:val="left" w:pos="1140"/>
              </w:tabs>
              <w:adjustRightInd w:val="0"/>
              <w:snapToGrid w:val="0"/>
              <w:spacing w:line="360" w:lineRule="auto"/>
              <w:ind w:firstLine="200"/>
              <w:rPr>
                <w:color w:val="auto"/>
                <w:sz w:val="24"/>
              </w:rPr>
            </w:pPr>
            <w:r>
              <w:rPr>
                <w:color w:val="auto"/>
                <w:sz w:val="24"/>
              </w:rPr>
              <w:tab/>
            </w:r>
            <w:r>
              <w:rPr>
                <w:color w:val="auto"/>
                <w:sz w:val="24"/>
              </w:rPr>
              <w:t>C</w:t>
            </w:r>
            <w:r>
              <w:rPr>
                <w:color w:val="auto"/>
                <w:sz w:val="24"/>
                <w:vertAlign w:val="subscript"/>
              </w:rPr>
              <w:t>m</w:t>
            </w:r>
            <w:r>
              <w:rPr>
                <w:color w:val="auto"/>
                <w:sz w:val="24"/>
              </w:rPr>
              <w:t>——</w:t>
            </w:r>
            <w:r>
              <w:rPr>
                <w:rFonts w:hint="eastAsia"/>
                <w:color w:val="auto"/>
                <w:sz w:val="24"/>
              </w:rPr>
              <w:t>大气有害物质环境空气质量的标准限值，单位为毫克每立方米（</w:t>
            </w:r>
            <w:r>
              <w:rPr>
                <w:color w:val="auto"/>
                <w:sz w:val="24"/>
              </w:rPr>
              <w:t>mg/m</w:t>
            </w:r>
            <w:r>
              <w:rPr>
                <w:color w:val="auto"/>
                <w:sz w:val="24"/>
                <w:vertAlign w:val="superscript"/>
              </w:rPr>
              <w:t>3</w:t>
            </w:r>
            <w:r>
              <w:rPr>
                <w:rFonts w:hint="eastAsia"/>
                <w:color w:val="auto"/>
                <w:sz w:val="24"/>
              </w:rPr>
              <w:t>）；</w:t>
            </w:r>
          </w:p>
          <w:p w14:paraId="7324CCA3">
            <w:pPr>
              <w:tabs>
                <w:tab w:val="left" w:pos="1140"/>
              </w:tabs>
              <w:adjustRightInd w:val="0"/>
              <w:snapToGrid w:val="0"/>
              <w:spacing w:line="360" w:lineRule="auto"/>
              <w:ind w:firstLine="200"/>
              <w:rPr>
                <w:i/>
                <w:color w:val="auto"/>
                <w:sz w:val="24"/>
              </w:rPr>
            </w:pPr>
            <w:r>
              <w:rPr>
                <w:color w:val="auto"/>
                <w:sz w:val="24"/>
              </w:rPr>
              <w:tab/>
            </w:r>
            <w:r>
              <w:rPr>
                <w:i/>
                <w:color w:val="auto"/>
                <w:sz w:val="24"/>
              </w:rPr>
              <w:t>L</w:t>
            </w:r>
            <w:r>
              <w:rPr>
                <w:color w:val="auto"/>
                <w:sz w:val="24"/>
              </w:rPr>
              <w:t>——</w:t>
            </w:r>
            <w:r>
              <w:rPr>
                <w:rFonts w:hint="eastAsia"/>
                <w:color w:val="auto"/>
                <w:sz w:val="24"/>
              </w:rPr>
              <w:t>大气有害物质卫生防护距离初值，单位为米（</w:t>
            </w:r>
            <w:r>
              <w:rPr>
                <w:color w:val="auto"/>
                <w:sz w:val="24"/>
              </w:rPr>
              <w:t>m</w:t>
            </w:r>
            <w:r>
              <w:rPr>
                <w:rFonts w:hint="eastAsia"/>
                <w:color w:val="auto"/>
                <w:sz w:val="24"/>
              </w:rPr>
              <w:t>）；</w:t>
            </w:r>
          </w:p>
          <w:p w14:paraId="0390DD1D">
            <w:pPr>
              <w:tabs>
                <w:tab w:val="left" w:pos="1140"/>
              </w:tabs>
              <w:adjustRightInd w:val="0"/>
              <w:snapToGrid w:val="0"/>
              <w:spacing w:line="360" w:lineRule="auto"/>
              <w:ind w:firstLine="200"/>
              <w:rPr>
                <w:color w:val="auto"/>
                <w:sz w:val="24"/>
              </w:rPr>
            </w:pPr>
            <w:r>
              <w:rPr>
                <w:color w:val="auto"/>
                <w:sz w:val="24"/>
              </w:rPr>
              <w:tab/>
            </w:r>
            <w:r>
              <w:rPr>
                <w:i/>
                <w:color w:val="auto"/>
                <w:sz w:val="24"/>
              </w:rPr>
              <w:sym w:font="Symbol" w:char="0067"/>
            </w:r>
            <w:r>
              <w:rPr>
                <w:color w:val="auto"/>
                <w:sz w:val="24"/>
              </w:rPr>
              <w:t>——</w:t>
            </w:r>
            <w:r>
              <w:rPr>
                <w:rFonts w:hint="eastAsia"/>
                <w:color w:val="auto"/>
                <w:sz w:val="24"/>
              </w:rPr>
              <w:t>大气有害物质无组织排放源所在生产单元的等效半径，单位为米（</w:t>
            </w:r>
            <w:r>
              <w:rPr>
                <w:color w:val="auto"/>
                <w:sz w:val="24"/>
              </w:rPr>
              <w:t>m</w:t>
            </w:r>
            <w:r>
              <w:rPr>
                <w:rFonts w:hint="eastAsia"/>
                <w:color w:val="auto"/>
                <w:sz w:val="24"/>
              </w:rPr>
              <w:t>），</w:t>
            </w:r>
            <w:r>
              <w:rPr>
                <w:i/>
                <w:color w:val="auto"/>
                <w:sz w:val="24"/>
              </w:rPr>
              <w:sym w:font="Symbol" w:char="0067"/>
            </w:r>
            <w:r>
              <w:rPr>
                <w:color w:val="auto"/>
                <w:sz w:val="24"/>
              </w:rPr>
              <w:t xml:space="preserve"> = （</w:t>
            </w:r>
            <w:r>
              <w:rPr>
                <w:i/>
                <w:color w:val="auto"/>
                <w:sz w:val="24"/>
              </w:rPr>
              <w:t>S</w:t>
            </w:r>
            <w:r>
              <w:rPr>
                <w:color w:val="auto"/>
                <w:sz w:val="24"/>
              </w:rPr>
              <w:t>/</w:t>
            </w:r>
            <w:r>
              <w:rPr>
                <w:color w:val="auto"/>
                <w:sz w:val="24"/>
              </w:rPr>
              <w:sym w:font="Symbol" w:char="0070"/>
            </w:r>
            <w:r>
              <w:rPr>
                <w:color w:val="auto"/>
                <w:sz w:val="24"/>
              </w:rPr>
              <w:t>）</w:t>
            </w:r>
            <w:r>
              <w:rPr>
                <w:color w:val="auto"/>
                <w:sz w:val="24"/>
                <w:vertAlign w:val="superscript"/>
              </w:rPr>
              <w:t>0.5</w:t>
            </w:r>
            <w:r>
              <w:rPr>
                <w:color w:val="auto"/>
                <w:sz w:val="24"/>
              </w:rPr>
              <w:t>m</w:t>
            </w:r>
            <w:r>
              <w:rPr>
                <w:rFonts w:hint="eastAsia"/>
                <w:color w:val="auto"/>
                <w:sz w:val="24"/>
              </w:rPr>
              <w:t>；</w:t>
            </w:r>
          </w:p>
          <w:p w14:paraId="3F394129">
            <w:pPr>
              <w:tabs>
                <w:tab w:val="left" w:pos="1140"/>
              </w:tabs>
              <w:adjustRightInd w:val="0"/>
              <w:snapToGrid w:val="0"/>
              <w:spacing w:line="360" w:lineRule="auto"/>
              <w:ind w:firstLine="1080" w:firstLineChars="450"/>
              <w:rPr>
                <w:bCs/>
                <w:color w:val="auto"/>
                <w:sz w:val="24"/>
              </w:rPr>
            </w:pPr>
            <w:r>
              <w:rPr>
                <w:i/>
                <w:color w:val="auto"/>
                <w:sz w:val="24"/>
              </w:rPr>
              <w:t>A</w:t>
            </w:r>
            <w:r>
              <w:rPr>
                <w:rFonts w:hint="eastAsia"/>
                <w:i/>
                <w:color w:val="auto"/>
                <w:sz w:val="24"/>
              </w:rPr>
              <w:t>、</w:t>
            </w:r>
            <w:r>
              <w:rPr>
                <w:i/>
                <w:color w:val="auto"/>
                <w:sz w:val="24"/>
              </w:rPr>
              <w:t>B</w:t>
            </w:r>
            <w:r>
              <w:rPr>
                <w:rFonts w:hint="eastAsia"/>
                <w:i/>
                <w:color w:val="auto"/>
                <w:sz w:val="24"/>
              </w:rPr>
              <w:t>、</w:t>
            </w:r>
            <w:r>
              <w:rPr>
                <w:i/>
                <w:color w:val="auto"/>
                <w:sz w:val="24"/>
              </w:rPr>
              <w:t>C</w:t>
            </w:r>
            <w:r>
              <w:rPr>
                <w:rFonts w:hint="eastAsia"/>
                <w:i/>
                <w:color w:val="auto"/>
                <w:sz w:val="24"/>
              </w:rPr>
              <w:t>、</w:t>
            </w:r>
            <w:r>
              <w:rPr>
                <w:i/>
                <w:color w:val="auto"/>
                <w:sz w:val="24"/>
              </w:rPr>
              <w:t>D</w:t>
            </w:r>
            <w:r>
              <w:rPr>
                <w:color w:val="auto"/>
                <w:sz w:val="24"/>
              </w:rPr>
              <w:t>——</w:t>
            </w:r>
            <w:r>
              <w:rPr>
                <w:rFonts w:hint="eastAsia"/>
                <w:color w:val="auto"/>
                <w:sz w:val="24"/>
              </w:rPr>
              <w:t>卫生防护距离初值计算系数，无因次，</w:t>
            </w:r>
            <w:r>
              <w:rPr>
                <w:rFonts w:hint="eastAsia"/>
                <w:bCs/>
                <w:color w:val="auto"/>
                <w:sz w:val="24"/>
              </w:rPr>
              <w:t>根据工业企业所在地区近</w:t>
            </w:r>
            <w:r>
              <w:rPr>
                <w:bCs/>
                <w:color w:val="auto"/>
                <w:sz w:val="24"/>
              </w:rPr>
              <w:t>5</w:t>
            </w:r>
            <w:r>
              <w:rPr>
                <w:rFonts w:hint="eastAsia"/>
                <w:bCs/>
                <w:color w:val="auto"/>
                <w:sz w:val="24"/>
              </w:rPr>
              <w:t>年平均风速及大气污染源构成类别从下表查取。</w:t>
            </w:r>
          </w:p>
          <w:p w14:paraId="2D093DD7">
            <w:pPr>
              <w:adjustRightInd w:val="0"/>
              <w:snapToGrid w:val="0"/>
              <w:spacing w:line="360" w:lineRule="auto"/>
              <w:ind w:firstLine="480" w:firstLineChars="200"/>
              <w:rPr>
                <w:color w:val="auto"/>
                <w:sz w:val="24"/>
              </w:rPr>
            </w:pPr>
            <w:r>
              <w:rPr>
                <w:rFonts w:hint="eastAsia"/>
                <w:color w:val="auto"/>
                <w:sz w:val="24"/>
                <w:lang w:val="en-US" w:eastAsia="zh-CN"/>
              </w:rPr>
              <w:t>技改项目</w:t>
            </w:r>
            <w:r>
              <w:rPr>
                <w:rFonts w:hint="eastAsia"/>
                <w:color w:val="auto"/>
                <w:sz w:val="24"/>
              </w:rPr>
              <w:t>卫生防护距离计算系数取值见表</w:t>
            </w:r>
            <w:r>
              <w:rPr>
                <w:rFonts w:hint="eastAsia"/>
                <w:color w:val="auto"/>
                <w:sz w:val="24"/>
                <w:lang w:val="en-US" w:eastAsia="zh-CN"/>
              </w:rPr>
              <w:t>4-4</w:t>
            </w:r>
            <w:r>
              <w:rPr>
                <w:rFonts w:hint="eastAsia"/>
                <w:color w:val="auto"/>
                <w:sz w:val="24"/>
              </w:rPr>
              <w:t>。</w:t>
            </w:r>
          </w:p>
          <w:p w14:paraId="2B920EE2">
            <w:pPr>
              <w:adjustRightInd w:val="0"/>
              <w:snapToGrid w:val="0"/>
              <w:jc w:val="center"/>
              <w:rPr>
                <w:b/>
                <w:color w:val="auto"/>
                <w:sz w:val="24"/>
              </w:rPr>
            </w:pPr>
            <w:r>
              <w:rPr>
                <w:rFonts w:hint="eastAsia"/>
                <w:b/>
                <w:color w:val="auto"/>
                <w:sz w:val="24"/>
              </w:rPr>
              <w:t>表</w:t>
            </w:r>
            <w:r>
              <w:rPr>
                <w:rFonts w:hint="eastAsia"/>
                <w:b/>
                <w:color w:val="auto"/>
                <w:sz w:val="24"/>
                <w:lang w:val="en-US" w:eastAsia="zh-CN"/>
              </w:rPr>
              <w:t>4-4</w:t>
            </w:r>
            <w:r>
              <w:rPr>
                <w:rFonts w:hint="eastAsia"/>
                <w:b/>
                <w:color w:val="auto"/>
                <w:sz w:val="24"/>
              </w:rPr>
              <w:t xml:space="preserve">  卫生防护距离计算系数</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933"/>
              <w:gridCol w:w="953"/>
              <w:gridCol w:w="740"/>
              <w:gridCol w:w="744"/>
              <w:gridCol w:w="740"/>
              <w:gridCol w:w="740"/>
              <w:gridCol w:w="740"/>
              <w:gridCol w:w="742"/>
              <w:gridCol w:w="740"/>
              <w:gridCol w:w="740"/>
              <w:gridCol w:w="716"/>
            </w:tblGrid>
            <w:tr w14:paraId="785FE6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47" w:type="pct"/>
                  <w:vMerge w:val="restart"/>
                  <w:tcBorders>
                    <w:top w:val="single" w:color="auto" w:sz="12" w:space="0"/>
                    <w:left w:val="nil"/>
                    <w:bottom w:val="single" w:color="auto" w:sz="4" w:space="0"/>
                    <w:right w:val="single" w:color="auto" w:sz="4" w:space="0"/>
                  </w:tcBorders>
                  <w:vAlign w:val="center"/>
                </w:tcPr>
                <w:p w14:paraId="575B9C29">
                  <w:pPr>
                    <w:adjustRightInd w:val="0"/>
                    <w:snapToGrid w:val="0"/>
                    <w:jc w:val="center"/>
                    <w:rPr>
                      <w:b/>
                      <w:bCs/>
                      <w:snapToGrid w:val="0"/>
                      <w:color w:val="auto"/>
                      <w:sz w:val="18"/>
                      <w:szCs w:val="18"/>
                    </w:rPr>
                  </w:pPr>
                  <w:r>
                    <w:rPr>
                      <w:rFonts w:hint="eastAsia"/>
                      <w:b/>
                      <w:bCs/>
                      <w:snapToGrid w:val="0"/>
                      <w:color w:val="auto"/>
                      <w:sz w:val="18"/>
                      <w:szCs w:val="18"/>
                    </w:rPr>
                    <w:t>卫生防护距离初值计算系数</w:t>
                  </w:r>
                </w:p>
              </w:tc>
              <w:tc>
                <w:tcPr>
                  <w:tcW w:w="559" w:type="pct"/>
                  <w:vMerge w:val="restart"/>
                  <w:tcBorders>
                    <w:top w:val="single" w:color="auto" w:sz="12" w:space="0"/>
                    <w:left w:val="single" w:color="auto" w:sz="4" w:space="0"/>
                    <w:bottom w:val="single" w:color="auto" w:sz="4" w:space="0"/>
                    <w:right w:val="single" w:color="auto" w:sz="4" w:space="0"/>
                  </w:tcBorders>
                  <w:vAlign w:val="center"/>
                </w:tcPr>
                <w:p w14:paraId="25F38DC0">
                  <w:pPr>
                    <w:adjustRightInd w:val="0"/>
                    <w:snapToGrid w:val="0"/>
                    <w:jc w:val="center"/>
                    <w:rPr>
                      <w:b/>
                      <w:bCs/>
                      <w:snapToGrid w:val="0"/>
                      <w:color w:val="auto"/>
                      <w:sz w:val="18"/>
                      <w:szCs w:val="18"/>
                    </w:rPr>
                  </w:pPr>
                  <w:r>
                    <w:rPr>
                      <w:rFonts w:hint="eastAsia"/>
                      <w:b/>
                      <w:bCs/>
                      <w:snapToGrid w:val="0"/>
                      <w:color w:val="auto"/>
                      <w:sz w:val="18"/>
                      <w:szCs w:val="18"/>
                    </w:rPr>
                    <w:t>工业企业所在地区近</w:t>
                  </w:r>
                  <w:r>
                    <w:rPr>
                      <w:b/>
                      <w:bCs/>
                      <w:snapToGrid w:val="0"/>
                      <w:color w:val="auto"/>
                      <w:sz w:val="18"/>
                      <w:szCs w:val="18"/>
                    </w:rPr>
                    <w:t>5</w:t>
                  </w:r>
                  <w:r>
                    <w:rPr>
                      <w:rFonts w:hint="eastAsia"/>
                      <w:b/>
                      <w:bCs/>
                      <w:snapToGrid w:val="0"/>
                      <w:color w:val="auto"/>
                      <w:sz w:val="18"/>
                      <w:szCs w:val="18"/>
                    </w:rPr>
                    <w:t>年平均风速</w:t>
                  </w:r>
                  <w:r>
                    <w:rPr>
                      <w:b/>
                      <w:bCs/>
                      <w:snapToGrid w:val="0"/>
                      <w:color w:val="auto"/>
                      <w:sz w:val="18"/>
                      <w:szCs w:val="18"/>
                    </w:rPr>
                    <w:t>（m/s）</w:t>
                  </w:r>
                </w:p>
              </w:tc>
              <w:tc>
                <w:tcPr>
                  <w:tcW w:w="3894" w:type="pct"/>
                  <w:gridSpan w:val="9"/>
                  <w:tcBorders>
                    <w:top w:val="single" w:color="auto" w:sz="12" w:space="0"/>
                    <w:left w:val="single" w:color="auto" w:sz="4" w:space="0"/>
                    <w:bottom w:val="single" w:color="auto" w:sz="4" w:space="0"/>
                    <w:right w:val="nil"/>
                  </w:tcBorders>
                  <w:vAlign w:val="center"/>
                </w:tcPr>
                <w:p w14:paraId="1A2DE5E7">
                  <w:pPr>
                    <w:adjustRightInd w:val="0"/>
                    <w:snapToGrid w:val="0"/>
                    <w:jc w:val="center"/>
                    <w:rPr>
                      <w:b/>
                      <w:bCs/>
                      <w:snapToGrid w:val="0"/>
                      <w:color w:val="auto"/>
                      <w:sz w:val="18"/>
                      <w:szCs w:val="18"/>
                    </w:rPr>
                  </w:pPr>
                  <w:r>
                    <w:rPr>
                      <w:rFonts w:hint="eastAsia"/>
                      <w:b/>
                      <w:bCs/>
                      <w:snapToGrid w:val="0"/>
                      <w:color w:val="auto"/>
                      <w:sz w:val="18"/>
                      <w:szCs w:val="18"/>
                    </w:rPr>
                    <w:t>卫生防护距离</w:t>
                  </w:r>
                  <w:r>
                    <w:rPr>
                      <w:b/>
                      <w:bCs/>
                      <w:snapToGrid w:val="0"/>
                      <w:color w:val="auto"/>
                      <w:sz w:val="18"/>
                      <w:szCs w:val="18"/>
                    </w:rPr>
                    <w:t>L/m</w:t>
                  </w:r>
                </w:p>
              </w:tc>
            </w:tr>
            <w:tr w14:paraId="4FBDE2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00" w:type="dxa"/>
                  <w:vMerge w:val="continue"/>
                  <w:tcBorders>
                    <w:top w:val="single" w:color="auto" w:sz="12" w:space="0"/>
                    <w:left w:val="nil"/>
                    <w:bottom w:val="single" w:color="auto" w:sz="4" w:space="0"/>
                    <w:right w:val="single" w:color="auto" w:sz="4" w:space="0"/>
                  </w:tcBorders>
                  <w:vAlign w:val="center"/>
                </w:tcPr>
                <w:p w14:paraId="63BC37B8">
                  <w:pPr>
                    <w:widowControl/>
                    <w:jc w:val="left"/>
                    <w:rPr>
                      <w:b/>
                      <w:bCs/>
                      <w:snapToGrid w:val="0"/>
                      <w:color w:val="auto"/>
                      <w:sz w:val="18"/>
                      <w:szCs w:val="18"/>
                    </w:rPr>
                  </w:pPr>
                </w:p>
              </w:tc>
              <w:tc>
                <w:tcPr>
                  <w:tcW w:w="920" w:type="dxa"/>
                  <w:vMerge w:val="continue"/>
                  <w:tcBorders>
                    <w:top w:val="single" w:color="auto" w:sz="12" w:space="0"/>
                    <w:left w:val="single" w:color="auto" w:sz="4" w:space="0"/>
                    <w:bottom w:val="single" w:color="auto" w:sz="4" w:space="0"/>
                    <w:right w:val="single" w:color="auto" w:sz="4" w:space="0"/>
                  </w:tcBorders>
                  <w:vAlign w:val="center"/>
                </w:tcPr>
                <w:p w14:paraId="2D925099">
                  <w:pPr>
                    <w:widowControl/>
                    <w:jc w:val="left"/>
                    <w:rPr>
                      <w:b/>
                      <w:bCs/>
                      <w:snapToGrid w:val="0"/>
                      <w:color w:val="auto"/>
                      <w:sz w:val="18"/>
                      <w:szCs w:val="18"/>
                    </w:rPr>
                  </w:pPr>
                </w:p>
              </w:tc>
              <w:tc>
                <w:tcPr>
                  <w:tcW w:w="1304" w:type="pct"/>
                  <w:gridSpan w:val="3"/>
                  <w:tcBorders>
                    <w:top w:val="single" w:color="auto" w:sz="4" w:space="0"/>
                    <w:left w:val="single" w:color="auto" w:sz="4" w:space="0"/>
                    <w:bottom w:val="single" w:color="auto" w:sz="4" w:space="0"/>
                    <w:right w:val="single" w:color="auto" w:sz="4" w:space="0"/>
                  </w:tcBorders>
                  <w:vAlign w:val="center"/>
                </w:tcPr>
                <w:p w14:paraId="451784C9">
                  <w:pPr>
                    <w:adjustRightInd w:val="0"/>
                    <w:snapToGrid w:val="0"/>
                    <w:jc w:val="center"/>
                    <w:rPr>
                      <w:snapToGrid w:val="0"/>
                      <w:color w:val="auto"/>
                      <w:sz w:val="18"/>
                      <w:szCs w:val="18"/>
                    </w:rPr>
                  </w:pPr>
                  <w:r>
                    <w:rPr>
                      <w:snapToGrid w:val="0"/>
                      <w:color w:val="auto"/>
                      <w:sz w:val="18"/>
                      <w:szCs w:val="18"/>
                    </w:rPr>
                    <w:t>L≤1000</w:t>
                  </w:r>
                </w:p>
              </w:tc>
              <w:tc>
                <w:tcPr>
                  <w:tcW w:w="1303" w:type="pct"/>
                  <w:gridSpan w:val="3"/>
                  <w:tcBorders>
                    <w:top w:val="single" w:color="auto" w:sz="4" w:space="0"/>
                    <w:left w:val="single" w:color="auto" w:sz="4" w:space="0"/>
                    <w:bottom w:val="single" w:color="auto" w:sz="4" w:space="0"/>
                    <w:right w:val="single" w:color="auto" w:sz="4" w:space="0"/>
                  </w:tcBorders>
                  <w:vAlign w:val="center"/>
                </w:tcPr>
                <w:p w14:paraId="4D29AA88">
                  <w:pPr>
                    <w:adjustRightInd w:val="0"/>
                    <w:snapToGrid w:val="0"/>
                    <w:jc w:val="center"/>
                    <w:rPr>
                      <w:snapToGrid w:val="0"/>
                      <w:color w:val="auto"/>
                      <w:sz w:val="18"/>
                      <w:szCs w:val="18"/>
                    </w:rPr>
                  </w:pPr>
                  <w:r>
                    <w:rPr>
                      <w:snapToGrid w:val="0"/>
                      <w:color w:val="auto"/>
                      <w:sz w:val="18"/>
                      <w:szCs w:val="18"/>
                    </w:rPr>
                    <w:t>1000</w:t>
                  </w:r>
                  <w:r>
                    <w:rPr>
                      <w:rFonts w:hint="eastAsia"/>
                      <w:snapToGrid w:val="0"/>
                      <w:color w:val="auto"/>
                      <w:sz w:val="18"/>
                      <w:szCs w:val="18"/>
                    </w:rPr>
                    <w:t>＜</w:t>
                  </w:r>
                  <w:r>
                    <w:rPr>
                      <w:snapToGrid w:val="0"/>
                      <w:color w:val="auto"/>
                      <w:sz w:val="18"/>
                      <w:szCs w:val="18"/>
                    </w:rPr>
                    <w:t>L≤2000</w:t>
                  </w:r>
                </w:p>
              </w:tc>
              <w:tc>
                <w:tcPr>
                  <w:tcW w:w="1287" w:type="pct"/>
                  <w:gridSpan w:val="3"/>
                  <w:tcBorders>
                    <w:top w:val="single" w:color="auto" w:sz="4" w:space="0"/>
                    <w:left w:val="single" w:color="auto" w:sz="4" w:space="0"/>
                    <w:bottom w:val="single" w:color="auto" w:sz="4" w:space="0"/>
                    <w:right w:val="nil"/>
                  </w:tcBorders>
                  <w:vAlign w:val="center"/>
                </w:tcPr>
                <w:p w14:paraId="35ED011A">
                  <w:pPr>
                    <w:adjustRightInd w:val="0"/>
                    <w:snapToGrid w:val="0"/>
                    <w:jc w:val="center"/>
                    <w:rPr>
                      <w:snapToGrid w:val="0"/>
                      <w:color w:val="auto"/>
                      <w:sz w:val="18"/>
                      <w:szCs w:val="18"/>
                    </w:rPr>
                  </w:pPr>
                  <w:r>
                    <w:rPr>
                      <w:snapToGrid w:val="0"/>
                      <w:color w:val="auto"/>
                      <w:sz w:val="18"/>
                      <w:szCs w:val="18"/>
                    </w:rPr>
                    <w:t>L</w:t>
                  </w:r>
                  <w:r>
                    <w:rPr>
                      <w:rFonts w:hint="eastAsia"/>
                      <w:snapToGrid w:val="0"/>
                      <w:color w:val="auto"/>
                      <w:sz w:val="18"/>
                      <w:szCs w:val="18"/>
                    </w:rPr>
                    <w:t>＞</w:t>
                  </w:r>
                  <w:r>
                    <w:rPr>
                      <w:snapToGrid w:val="0"/>
                      <w:color w:val="auto"/>
                      <w:sz w:val="18"/>
                      <w:szCs w:val="18"/>
                    </w:rPr>
                    <w:t>2000</w:t>
                  </w:r>
                </w:p>
              </w:tc>
            </w:tr>
            <w:tr w14:paraId="26AD53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00" w:type="dxa"/>
                  <w:vMerge w:val="continue"/>
                  <w:tcBorders>
                    <w:top w:val="single" w:color="auto" w:sz="12" w:space="0"/>
                    <w:left w:val="nil"/>
                    <w:bottom w:val="single" w:color="auto" w:sz="4" w:space="0"/>
                    <w:right w:val="single" w:color="auto" w:sz="4" w:space="0"/>
                  </w:tcBorders>
                  <w:vAlign w:val="center"/>
                </w:tcPr>
                <w:p w14:paraId="4982F880">
                  <w:pPr>
                    <w:widowControl/>
                    <w:jc w:val="left"/>
                    <w:rPr>
                      <w:b/>
                      <w:bCs/>
                      <w:snapToGrid w:val="0"/>
                      <w:color w:val="auto"/>
                      <w:sz w:val="18"/>
                      <w:szCs w:val="18"/>
                    </w:rPr>
                  </w:pPr>
                </w:p>
              </w:tc>
              <w:tc>
                <w:tcPr>
                  <w:tcW w:w="920" w:type="dxa"/>
                  <w:vMerge w:val="continue"/>
                  <w:tcBorders>
                    <w:top w:val="single" w:color="auto" w:sz="12" w:space="0"/>
                    <w:left w:val="single" w:color="auto" w:sz="4" w:space="0"/>
                    <w:bottom w:val="single" w:color="auto" w:sz="4" w:space="0"/>
                    <w:right w:val="single" w:color="auto" w:sz="4" w:space="0"/>
                  </w:tcBorders>
                  <w:vAlign w:val="center"/>
                </w:tcPr>
                <w:p w14:paraId="12F8D9A6">
                  <w:pPr>
                    <w:widowControl/>
                    <w:jc w:val="left"/>
                    <w:rPr>
                      <w:b/>
                      <w:bCs/>
                      <w:snapToGrid w:val="0"/>
                      <w:color w:val="auto"/>
                      <w:sz w:val="18"/>
                      <w:szCs w:val="18"/>
                    </w:rPr>
                  </w:pPr>
                </w:p>
              </w:tc>
              <w:tc>
                <w:tcPr>
                  <w:tcW w:w="3894" w:type="pct"/>
                  <w:gridSpan w:val="9"/>
                  <w:tcBorders>
                    <w:top w:val="single" w:color="auto" w:sz="4" w:space="0"/>
                    <w:left w:val="single" w:color="auto" w:sz="4" w:space="0"/>
                    <w:bottom w:val="single" w:color="auto" w:sz="4" w:space="0"/>
                    <w:right w:val="nil"/>
                  </w:tcBorders>
                  <w:vAlign w:val="center"/>
                </w:tcPr>
                <w:p w14:paraId="456D1ECA">
                  <w:pPr>
                    <w:adjustRightInd w:val="0"/>
                    <w:snapToGrid w:val="0"/>
                    <w:jc w:val="center"/>
                    <w:rPr>
                      <w:b/>
                      <w:bCs/>
                      <w:snapToGrid w:val="0"/>
                      <w:color w:val="auto"/>
                      <w:sz w:val="18"/>
                      <w:szCs w:val="18"/>
                    </w:rPr>
                  </w:pPr>
                  <w:r>
                    <w:rPr>
                      <w:rFonts w:hint="eastAsia"/>
                      <w:b/>
                      <w:bCs/>
                      <w:snapToGrid w:val="0"/>
                      <w:color w:val="auto"/>
                      <w:sz w:val="18"/>
                      <w:szCs w:val="18"/>
                    </w:rPr>
                    <w:t>工业企业大气污染源构成类别</w:t>
                  </w:r>
                </w:p>
              </w:tc>
            </w:tr>
            <w:tr w14:paraId="434975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00" w:type="dxa"/>
                  <w:vMerge w:val="continue"/>
                  <w:tcBorders>
                    <w:top w:val="single" w:color="auto" w:sz="12" w:space="0"/>
                    <w:left w:val="nil"/>
                    <w:bottom w:val="single" w:color="auto" w:sz="4" w:space="0"/>
                    <w:right w:val="single" w:color="auto" w:sz="4" w:space="0"/>
                  </w:tcBorders>
                  <w:vAlign w:val="center"/>
                </w:tcPr>
                <w:p w14:paraId="0C232C0A">
                  <w:pPr>
                    <w:widowControl/>
                    <w:jc w:val="left"/>
                    <w:rPr>
                      <w:b/>
                      <w:bCs/>
                      <w:snapToGrid w:val="0"/>
                      <w:color w:val="auto"/>
                      <w:sz w:val="18"/>
                      <w:szCs w:val="18"/>
                    </w:rPr>
                  </w:pPr>
                </w:p>
              </w:tc>
              <w:tc>
                <w:tcPr>
                  <w:tcW w:w="920" w:type="dxa"/>
                  <w:vMerge w:val="continue"/>
                  <w:tcBorders>
                    <w:top w:val="single" w:color="auto" w:sz="12" w:space="0"/>
                    <w:left w:val="single" w:color="auto" w:sz="4" w:space="0"/>
                    <w:bottom w:val="single" w:color="auto" w:sz="4" w:space="0"/>
                    <w:right w:val="single" w:color="auto" w:sz="4" w:space="0"/>
                  </w:tcBorders>
                  <w:vAlign w:val="center"/>
                </w:tcPr>
                <w:p w14:paraId="7DCE344F">
                  <w:pPr>
                    <w:widowControl/>
                    <w:jc w:val="left"/>
                    <w:rPr>
                      <w:b/>
                      <w:bCs/>
                      <w:snapToGrid w:val="0"/>
                      <w:color w:val="auto"/>
                      <w:sz w:val="18"/>
                      <w:szCs w:val="18"/>
                    </w:rPr>
                  </w:pPr>
                </w:p>
              </w:tc>
              <w:tc>
                <w:tcPr>
                  <w:tcW w:w="434" w:type="pct"/>
                  <w:tcBorders>
                    <w:top w:val="single" w:color="auto" w:sz="4" w:space="0"/>
                    <w:left w:val="single" w:color="auto" w:sz="4" w:space="0"/>
                    <w:bottom w:val="single" w:color="auto" w:sz="4" w:space="0"/>
                    <w:right w:val="single" w:color="auto" w:sz="4" w:space="0"/>
                  </w:tcBorders>
                  <w:vAlign w:val="center"/>
                </w:tcPr>
                <w:p w14:paraId="46C95FE8">
                  <w:pPr>
                    <w:adjustRightInd w:val="0"/>
                    <w:snapToGrid w:val="0"/>
                    <w:jc w:val="center"/>
                    <w:rPr>
                      <w:snapToGrid w:val="0"/>
                      <w:color w:val="auto"/>
                      <w:sz w:val="18"/>
                      <w:szCs w:val="18"/>
                    </w:rPr>
                  </w:pPr>
                  <w:r>
                    <w:rPr>
                      <w:rFonts w:hint="eastAsia"/>
                      <w:snapToGrid w:val="0"/>
                      <w:color w:val="auto"/>
                      <w:sz w:val="18"/>
                      <w:szCs w:val="18"/>
                    </w:rPr>
                    <w:t>Ⅰ</w:t>
                  </w:r>
                </w:p>
              </w:tc>
              <w:tc>
                <w:tcPr>
                  <w:tcW w:w="436" w:type="pct"/>
                  <w:tcBorders>
                    <w:top w:val="single" w:color="auto" w:sz="4" w:space="0"/>
                    <w:left w:val="single" w:color="auto" w:sz="4" w:space="0"/>
                    <w:bottom w:val="single" w:color="auto" w:sz="4" w:space="0"/>
                    <w:right w:val="single" w:color="auto" w:sz="4" w:space="0"/>
                  </w:tcBorders>
                  <w:vAlign w:val="center"/>
                </w:tcPr>
                <w:p w14:paraId="4AF49D21">
                  <w:pPr>
                    <w:adjustRightInd w:val="0"/>
                    <w:snapToGrid w:val="0"/>
                    <w:jc w:val="center"/>
                    <w:rPr>
                      <w:snapToGrid w:val="0"/>
                      <w:color w:val="auto"/>
                      <w:sz w:val="18"/>
                      <w:szCs w:val="18"/>
                    </w:rPr>
                  </w:pPr>
                  <w:r>
                    <w:rPr>
                      <w:rFonts w:hint="eastAsia"/>
                      <w:snapToGrid w:val="0"/>
                      <w:color w:val="auto"/>
                      <w:sz w:val="18"/>
                      <w:szCs w:val="18"/>
                    </w:rPr>
                    <w:t>Ⅱ</w:t>
                  </w:r>
                </w:p>
              </w:tc>
              <w:tc>
                <w:tcPr>
                  <w:tcW w:w="434" w:type="pct"/>
                  <w:tcBorders>
                    <w:top w:val="single" w:color="auto" w:sz="4" w:space="0"/>
                    <w:left w:val="single" w:color="auto" w:sz="4" w:space="0"/>
                    <w:bottom w:val="single" w:color="auto" w:sz="4" w:space="0"/>
                    <w:right w:val="single" w:color="auto" w:sz="4" w:space="0"/>
                  </w:tcBorders>
                  <w:vAlign w:val="center"/>
                </w:tcPr>
                <w:p w14:paraId="51DE2E45">
                  <w:pPr>
                    <w:adjustRightInd w:val="0"/>
                    <w:snapToGrid w:val="0"/>
                    <w:jc w:val="center"/>
                    <w:rPr>
                      <w:snapToGrid w:val="0"/>
                      <w:color w:val="auto"/>
                      <w:sz w:val="18"/>
                      <w:szCs w:val="18"/>
                    </w:rPr>
                  </w:pPr>
                  <w:r>
                    <w:rPr>
                      <w:rFonts w:hint="eastAsia"/>
                      <w:snapToGrid w:val="0"/>
                      <w:color w:val="auto"/>
                      <w:sz w:val="18"/>
                      <w:szCs w:val="18"/>
                    </w:rPr>
                    <w:t>Ⅲ</w:t>
                  </w:r>
                </w:p>
              </w:tc>
              <w:tc>
                <w:tcPr>
                  <w:tcW w:w="434" w:type="pct"/>
                  <w:tcBorders>
                    <w:top w:val="single" w:color="auto" w:sz="4" w:space="0"/>
                    <w:left w:val="single" w:color="auto" w:sz="4" w:space="0"/>
                    <w:bottom w:val="single" w:color="auto" w:sz="4" w:space="0"/>
                    <w:right w:val="single" w:color="auto" w:sz="4" w:space="0"/>
                  </w:tcBorders>
                  <w:vAlign w:val="center"/>
                </w:tcPr>
                <w:p w14:paraId="6F1B08B9">
                  <w:pPr>
                    <w:adjustRightInd w:val="0"/>
                    <w:snapToGrid w:val="0"/>
                    <w:jc w:val="center"/>
                    <w:rPr>
                      <w:snapToGrid w:val="0"/>
                      <w:color w:val="auto"/>
                      <w:sz w:val="18"/>
                      <w:szCs w:val="18"/>
                    </w:rPr>
                  </w:pPr>
                  <w:r>
                    <w:rPr>
                      <w:rFonts w:hint="eastAsia"/>
                      <w:snapToGrid w:val="0"/>
                      <w:color w:val="auto"/>
                      <w:sz w:val="18"/>
                      <w:szCs w:val="18"/>
                    </w:rPr>
                    <w:t>Ⅰ</w:t>
                  </w:r>
                </w:p>
              </w:tc>
              <w:tc>
                <w:tcPr>
                  <w:tcW w:w="434" w:type="pct"/>
                  <w:tcBorders>
                    <w:top w:val="single" w:color="auto" w:sz="4" w:space="0"/>
                    <w:left w:val="single" w:color="auto" w:sz="4" w:space="0"/>
                    <w:bottom w:val="single" w:color="auto" w:sz="4" w:space="0"/>
                    <w:right w:val="single" w:color="auto" w:sz="4" w:space="0"/>
                  </w:tcBorders>
                  <w:vAlign w:val="center"/>
                </w:tcPr>
                <w:p w14:paraId="063C62DE">
                  <w:pPr>
                    <w:adjustRightInd w:val="0"/>
                    <w:snapToGrid w:val="0"/>
                    <w:jc w:val="center"/>
                    <w:rPr>
                      <w:snapToGrid w:val="0"/>
                      <w:color w:val="auto"/>
                      <w:sz w:val="18"/>
                      <w:szCs w:val="18"/>
                    </w:rPr>
                  </w:pPr>
                  <w:r>
                    <w:rPr>
                      <w:rFonts w:hint="eastAsia"/>
                      <w:snapToGrid w:val="0"/>
                      <w:color w:val="auto"/>
                      <w:sz w:val="18"/>
                      <w:szCs w:val="18"/>
                    </w:rPr>
                    <w:t>Ⅱ</w:t>
                  </w:r>
                </w:p>
              </w:tc>
              <w:tc>
                <w:tcPr>
                  <w:tcW w:w="435" w:type="pct"/>
                  <w:tcBorders>
                    <w:top w:val="single" w:color="auto" w:sz="4" w:space="0"/>
                    <w:left w:val="single" w:color="auto" w:sz="4" w:space="0"/>
                    <w:bottom w:val="single" w:color="auto" w:sz="4" w:space="0"/>
                    <w:right w:val="single" w:color="auto" w:sz="4" w:space="0"/>
                  </w:tcBorders>
                  <w:vAlign w:val="center"/>
                </w:tcPr>
                <w:p w14:paraId="1389497C">
                  <w:pPr>
                    <w:adjustRightInd w:val="0"/>
                    <w:snapToGrid w:val="0"/>
                    <w:jc w:val="center"/>
                    <w:rPr>
                      <w:snapToGrid w:val="0"/>
                      <w:color w:val="auto"/>
                      <w:sz w:val="18"/>
                      <w:szCs w:val="18"/>
                    </w:rPr>
                  </w:pPr>
                  <w:r>
                    <w:rPr>
                      <w:rFonts w:hint="eastAsia"/>
                      <w:snapToGrid w:val="0"/>
                      <w:color w:val="auto"/>
                      <w:sz w:val="18"/>
                      <w:szCs w:val="18"/>
                    </w:rPr>
                    <w:t>Ⅲ</w:t>
                  </w:r>
                </w:p>
              </w:tc>
              <w:tc>
                <w:tcPr>
                  <w:tcW w:w="434" w:type="pct"/>
                  <w:tcBorders>
                    <w:top w:val="single" w:color="auto" w:sz="4" w:space="0"/>
                    <w:left w:val="single" w:color="auto" w:sz="4" w:space="0"/>
                    <w:bottom w:val="single" w:color="auto" w:sz="4" w:space="0"/>
                    <w:right w:val="single" w:color="auto" w:sz="4" w:space="0"/>
                  </w:tcBorders>
                  <w:vAlign w:val="center"/>
                </w:tcPr>
                <w:p w14:paraId="18FC783A">
                  <w:pPr>
                    <w:adjustRightInd w:val="0"/>
                    <w:snapToGrid w:val="0"/>
                    <w:jc w:val="center"/>
                    <w:rPr>
                      <w:snapToGrid w:val="0"/>
                      <w:color w:val="auto"/>
                      <w:sz w:val="18"/>
                      <w:szCs w:val="18"/>
                    </w:rPr>
                  </w:pPr>
                  <w:r>
                    <w:rPr>
                      <w:rFonts w:hint="eastAsia"/>
                      <w:snapToGrid w:val="0"/>
                      <w:color w:val="auto"/>
                      <w:sz w:val="18"/>
                      <w:szCs w:val="18"/>
                    </w:rPr>
                    <w:t>Ⅰ</w:t>
                  </w:r>
                </w:p>
              </w:tc>
              <w:tc>
                <w:tcPr>
                  <w:tcW w:w="434" w:type="pct"/>
                  <w:tcBorders>
                    <w:top w:val="single" w:color="auto" w:sz="4" w:space="0"/>
                    <w:left w:val="single" w:color="auto" w:sz="4" w:space="0"/>
                    <w:bottom w:val="single" w:color="auto" w:sz="4" w:space="0"/>
                    <w:right w:val="single" w:color="auto" w:sz="4" w:space="0"/>
                  </w:tcBorders>
                  <w:vAlign w:val="center"/>
                </w:tcPr>
                <w:p w14:paraId="3A16150D">
                  <w:pPr>
                    <w:adjustRightInd w:val="0"/>
                    <w:snapToGrid w:val="0"/>
                    <w:jc w:val="center"/>
                    <w:rPr>
                      <w:snapToGrid w:val="0"/>
                      <w:color w:val="auto"/>
                      <w:sz w:val="18"/>
                      <w:szCs w:val="18"/>
                    </w:rPr>
                  </w:pPr>
                  <w:r>
                    <w:rPr>
                      <w:rFonts w:hint="eastAsia"/>
                      <w:snapToGrid w:val="0"/>
                      <w:color w:val="auto"/>
                      <w:sz w:val="18"/>
                      <w:szCs w:val="18"/>
                    </w:rPr>
                    <w:t>Ⅱ</w:t>
                  </w:r>
                </w:p>
              </w:tc>
              <w:tc>
                <w:tcPr>
                  <w:tcW w:w="419" w:type="pct"/>
                  <w:tcBorders>
                    <w:top w:val="single" w:color="auto" w:sz="4" w:space="0"/>
                    <w:left w:val="single" w:color="auto" w:sz="4" w:space="0"/>
                    <w:bottom w:val="single" w:color="auto" w:sz="4" w:space="0"/>
                    <w:right w:val="nil"/>
                  </w:tcBorders>
                  <w:vAlign w:val="center"/>
                </w:tcPr>
                <w:p w14:paraId="183BA07C">
                  <w:pPr>
                    <w:adjustRightInd w:val="0"/>
                    <w:snapToGrid w:val="0"/>
                    <w:jc w:val="center"/>
                    <w:rPr>
                      <w:snapToGrid w:val="0"/>
                      <w:color w:val="auto"/>
                      <w:sz w:val="18"/>
                      <w:szCs w:val="18"/>
                    </w:rPr>
                  </w:pPr>
                  <w:r>
                    <w:rPr>
                      <w:rFonts w:hint="eastAsia"/>
                      <w:snapToGrid w:val="0"/>
                      <w:color w:val="auto"/>
                      <w:sz w:val="18"/>
                      <w:szCs w:val="18"/>
                    </w:rPr>
                    <w:t>Ⅲ</w:t>
                  </w:r>
                </w:p>
              </w:tc>
            </w:tr>
            <w:tr w14:paraId="546B91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47" w:type="pct"/>
                  <w:vMerge w:val="restart"/>
                  <w:tcBorders>
                    <w:top w:val="single" w:color="auto" w:sz="4" w:space="0"/>
                    <w:left w:val="nil"/>
                    <w:bottom w:val="single" w:color="auto" w:sz="4" w:space="0"/>
                    <w:right w:val="single" w:color="auto" w:sz="4" w:space="0"/>
                  </w:tcBorders>
                  <w:vAlign w:val="center"/>
                </w:tcPr>
                <w:p w14:paraId="351ED423">
                  <w:pPr>
                    <w:adjustRightInd w:val="0"/>
                    <w:snapToGrid w:val="0"/>
                    <w:jc w:val="center"/>
                    <w:rPr>
                      <w:snapToGrid w:val="0"/>
                      <w:color w:val="auto"/>
                      <w:sz w:val="18"/>
                      <w:szCs w:val="18"/>
                    </w:rPr>
                  </w:pPr>
                  <w:r>
                    <w:rPr>
                      <w:snapToGrid w:val="0"/>
                      <w:color w:val="auto"/>
                      <w:sz w:val="18"/>
                      <w:szCs w:val="18"/>
                    </w:rPr>
                    <w:t>A</w:t>
                  </w:r>
                </w:p>
              </w:tc>
              <w:tc>
                <w:tcPr>
                  <w:tcW w:w="559" w:type="pct"/>
                  <w:tcBorders>
                    <w:top w:val="single" w:color="auto" w:sz="4" w:space="0"/>
                    <w:left w:val="single" w:color="auto" w:sz="4" w:space="0"/>
                    <w:bottom w:val="single" w:color="auto" w:sz="4" w:space="0"/>
                    <w:right w:val="single" w:color="auto" w:sz="4" w:space="0"/>
                  </w:tcBorders>
                  <w:vAlign w:val="center"/>
                </w:tcPr>
                <w:p w14:paraId="055636DD">
                  <w:pPr>
                    <w:adjustRightInd w:val="0"/>
                    <w:snapToGrid w:val="0"/>
                    <w:jc w:val="center"/>
                    <w:rPr>
                      <w:snapToGrid w:val="0"/>
                      <w:color w:val="auto"/>
                      <w:sz w:val="18"/>
                      <w:szCs w:val="18"/>
                    </w:rPr>
                  </w:pPr>
                  <w:r>
                    <w:rPr>
                      <w:snapToGrid w:val="0"/>
                      <w:color w:val="auto"/>
                      <w:sz w:val="18"/>
                      <w:szCs w:val="18"/>
                    </w:rPr>
                    <w:t>&lt;2</w:t>
                  </w:r>
                </w:p>
              </w:tc>
              <w:tc>
                <w:tcPr>
                  <w:tcW w:w="434" w:type="pct"/>
                  <w:tcBorders>
                    <w:top w:val="single" w:color="auto" w:sz="4" w:space="0"/>
                    <w:left w:val="single" w:color="auto" w:sz="4" w:space="0"/>
                    <w:bottom w:val="single" w:color="auto" w:sz="4" w:space="0"/>
                    <w:right w:val="single" w:color="auto" w:sz="4" w:space="0"/>
                  </w:tcBorders>
                  <w:vAlign w:val="center"/>
                </w:tcPr>
                <w:p w14:paraId="59E57F2B">
                  <w:pPr>
                    <w:adjustRightInd w:val="0"/>
                    <w:snapToGrid w:val="0"/>
                    <w:jc w:val="center"/>
                    <w:rPr>
                      <w:snapToGrid w:val="0"/>
                      <w:color w:val="auto"/>
                      <w:sz w:val="18"/>
                      <w:szCs w:val="18"/>
                    </w:rPr>
                  </w:pPr>
                  <w:r>
                    <w:rPr>
                      <w:snapToGrid w:val="0"/>
                      <w:color w:val="auto"/>
                      <w:sz w:val="18"/>
                      <w:szCs w:val="18"/>
                    </w:rPr>
                    <w:t>400</w:t>
                  </w:r>
                </w:p>
              </w:tc>
              <w:tc>
                <w:tcPr>
                  <w:tcW w:w="436" w:type="pct"/>
                  <w:tcBorders>
                    <w:top w:val="single" w:color="auto" w:sz="4" w:space="0"/>
                    <w:left w:val="single" w:color="auto" w:sz="4" w:space="0"/>
                    <w:bottom w:val="single" w:color="auto" w:sz="4" w:space="0"/>
                    <w:right w:val="single" w:color="auto" w:sz="4" w:space="0"/>
                  </w:tcBorders>
                  <w:vAlign w:val="center"/>
                </w:tcPr>
                <w:p w14:paraId="1CD92E01">
                  <w:pPr>
                    <w:adjustRightInd w:val="0"/>
                    <w:snapToGrid w:val="0"/>
                    <w:jc w:val="center"/>
                    <w:rPr>
                      <w:snapToGrid w:val="0"/>
                      <w:color w:val="auto"/>
                      <w:sz w:val="18"/>
                      <w:szCs w:val="18"/>
                    </w:rPr>
                  </w:pPr>
                  <w:r>
                    <w:rPr>
                      <w:snapToGrid w:val="0"/>
                      <w:color w:val="auto"/>
                      <w:sz w:val="18"/>
                      <w:szCs w:val="18"/>
                    </w:rPr>
                    <w:t>400</w:t>
                  </w:r>
                </w:p>
              </w:tc>
              <w:tc>
                <w:tcPr>
                  <w:tcW w:w="434" w:type="pct"/>
                  <w:tcBorders>
                    <w:top w:val="single" w:color="auto" w:sz="4" w:space="0"/>
                    <w:left w:val="single" w:color="auto" w:sz="4" w:space="0"/>
                    <w:bottom w:val="single" w:color="auto" w:sz="4" w:space="0"/>
                    <w:right w:val="single" w:color="auto" w:sz="4" w:space="0"/>
                  </w:tcBorders>
                  <w:vAlign w:val="center"/>
                </w:tcPr>
                <w:p w14:paraId="66B3A5F9">
                  <w:pPr>
                    <w:adjustRightInd w:val="0"/>
                    <w:snapToGrid w:val="0"/>
                    <w:jc w:val="center"/>
                    <w:rPr>
                      <w:snapToGrid w:val="0"/>
                      <w:color w:val="auto"/>
                      <w:sz w:val="18"/>
                      <w:szCs w:val="18"/>
                    </w:rPr>
                  </w:pPr>
                  <w:r>
                    <w:rPr>
                      <w:snapToGrid w:val="0"/>
                      <w:color w:val="auto"/>
                      <w:sz w:val="18"/>
                      <w:szCs w:val="18"/>
                    </w:rPr>
                    <w:t>400</w:t>
                  </w:r>
                </w:p>
              </w:tc>
              <w:tc>
                <w:tcPr>
                  <w:tcW w:w="434" w:type="pct"/>
                  <w:tcBorders>
                    <w:top w:val="single" w:color="auto" w:sz="4" w:space="0"/>
                    <w:left w:val="single" w:color="auto" w:sz="4" w:space="0"/>
                    <w:bottom w:val="single" w:color="auto" w:sz="4" w:space="0"/>
                    <w:right w:val="single" w:color="auto" w:sz="4" w:space="0"/>
                  </w:tcBorders>
                  <w:vAlign w:val="center"/>
                </w:tcPr>
                <w:p w14:paraId="6216CB35">
                  <w:pPr>
                    <w:adjustRightInd w:val="0"/>
                    <w:snapToGrid w:val="0"/>
                    <w:jc w:val="center"/>
                    <w:rPr>
                      <w:snapToGrid w:val="0"/>
                      <w:color w:val="auto"/>
                      <w:sz w:val="18"/>
                      <w:szCs w:val="18"/>
                    </w:rPr>
                  </w:pPr>
                  <w:r>
                    <w:rPr>
                      <w:snapToGrid w:val="0"/>
                      <w:color w:val="auto"/>
                      <w:sz w:val="18"/>
                      <w:szCs w:val="18"/>
                    </w:rPr>
                    <w:t>400</w:t>
                  </w:r>
                </w:p>
              </w:tc>
              <w:tc>
                <w:tcPr>
                  <w:tcW w:w="434" w:type="pct"/>
                  <w:tcBorders>
                    <w:top w:val="single" w:color="auto" w:sz="4" w:space="0"/>
                    <w:left w:val="single" w:color="auto" w:sz="4" w:space="0"/>
                    <w:bottom w:val="single" w:color="auto" w:sz="4" w:space="0"/>
                    <w:right w:val="single" w:color="auto" w:sz="4" w:space="0"/>
                  </w:tcBorders>
                  <w:vAlign w:val="center"/>
                </w:tcPr>
                <w:p w14:paraId="1DDAE440">
                  <w:pPr>
                    <w:adjustRightInd w:val="0"/>
                    <w:snapToGrid w:val="0"/>
                    <w:jc w:val="center"/>
                    <w:rPr>
                      <w:snapToGrid w:val="0"/>
                      <w:color w:val="auto"/>
                      <w:sz w:val="18"/>
                      <w:szCs w:val="18"/>
                    </w:rPr>
                  </w:pPr>
                  <w:r>
                    <w:rPr>
                      <w:snapToGrid w:val="0"/>
                      <w:color w:val="auto"/>
                      <w:sz w:val="18"/>
                      <w:szCs w:val="18"/>
                    </w:rPr>
                    <w:t>400</w:t>
                  </w:r>
                </w:p>
              </w:tc>
              <w:tc>
                <w:tcPr>
                  <w:tcW w:w="435" w:type="pct"/>
                  <w:tcBorders>
                    <w:top w:val="single" w:color="auto" w:sz="4" w:space="0"/>
                    <w:left w:val="single" w:color="auto" w:sz="4" w:space="0"/>
                    <w:bottom w:val="single" w:color="auto" w:sz="4" w:space="0"/>
                    <w:right w:val="single" w:color="auto" w:sz="4" w:space="0"/>
                  </w:tcBorders>
                  <w:vAlign w:val="center"/>
                </w:tcPr>
                <w:p w14:paraId="5F0C5187">
                  <w:pPr>
                    <w:adjustRightInd w:val="0"/>
                    <w:snapToGrid w:val="0"/>
                    <w:jc w:val="center"/>
                    <w:rPr>
                      <w:snapToGrid w:val="0"/>
                      <w:color w:val="auto"/>
                      <w:sz w:val="18"/>
                      <w:szCs w:val="18"/>
                    </w:rPr>
                  </w:pPr>
                  <w:r>
                    <w:rPr>
                      <w:snapToGrid w:val="0"/>
                      <w:color w:val="auto"/>
                      <w:sz w:val="18"/>
                      <w:szCs w:val="18"/>
                    </w:rPr>
                    <w:t>400</w:t>
                  </w:r>
                </w:p>
              </w:tc>
              <w:tc>
                <w:tcPr>
                  <w:tcW w:w="434" w:type="pct"/>
                  <w:tcBorders>
                    <w:top w:val="single" w:color="auto" w:sz="4" w:space="0"/>
                    <w:left w:val="single" w:color="auto" w:sz="4" w:space="0"/>
                    <w:bottom w:val="single" w:color="auto" w:sz="4" w:space="0"/>
                    <w:right w:val="single" w:color="auto" w:sz="4" w:space="0"/>
                  </w:tcBorders>
                  <w:vAlign w:val="center"/>
                </w:tcPr>
                <w:p w14:paraId="5CF81B49">
                  <w:pPr>
                    <w:adjustRightInd w:val="0"/>
                    <w:snapToGrid w:val="0"/>
                    <w:jc w:val="center"/>
                    <w:rPr>
                      <w:snapToGrid w:val="0"/>
                      <w:color w:val="auto"/>
                      <w:sz w:val="18"/>
                      <w:szCs w:val="18"/>
                    </w:rPr>
                  </w:pPr>
                  <w:r>
                    <w:rPr>
                      <w:snapToGrid w:val="0"/>
                      <w:color w:val="auto"/>
                      <w:sz w:val="18"/>
                      <w:szCs w:val="18"/>
                    </w:rPr>
                    <w:t>80</w:t>
                  </w:r>
                </w:p>
              </w:tc>
              <w:tc>
                <w:tcPr>
                  <w:tcW w:w="434" w:type="pct"/>
                  <w:tcBorders>
                    <w:top w:val="single" w:color="auto" w:sz="4" w:space="0"/>
                    <w:left w:val="single" w:color="auto" w:sz="4" w:space="0"/>
                    <w:bottom w:val="single" w:color="auto" w:sz="4" w:space="0"/>
                    <w:right w:val="single" w:color="auto" w:sz="4" w:space="0"/>
                  </w:tcBorders>
                  <w:vAlign w:val="center"/>
                </w:tcPr>
                <w:p w14:paraId="29169892">
                  <w:pPr>
                    <w:adjustRightInd w:val="0"/>
                    <w:snapToGrid w:val="0"/>
                    <w:jc w:val="center"/>
                    <w:rPr>
                      <w:snapToGrid w:val="0"/>
                      <w:color w:val="auto"/>
                      <w:sz w:val="18"/>
                      <w:szCs w:val="18"/>
                    </w:rPr>
                  </w:pPr>
                  <w:r>
                    <w:rPr>
                      <w:snapToGrid w:val="0"/>
                      <w:color w:val="auto"/>
                      <w:sz w:val="18"/>
                      <w:szCs w:val="18"/>
                    </w:rPr>
                    <w:t>80</w:t>
                  </w:r>
                </w:p>
              </w:tc>
              <w:tc>
                <w:tcPr>
                  <w:tcW w:w="419" w:type="pct"/>
                  <w:tcBorders>
                    <w:top w:val="single" w:color="auto" w:sz="4" w:space="0"/>
                    <w:left w:val="single" w:color="auto" w:sz="4" w:space="0"/>
                    <w:bottom w:val="single" w:color="auto" w:sz="4" w:space="0"/>
                    <w:right w:val="nil"/>
                  </w:tcBorders>
                  <w:vAlign w:val="center"/>
                </w:tcPr>
                <w:p w14:paraId="6DB0680D">
                  <w:pPr>
                    <w:adjustRightInd w:val="0"/>
                    <w:snapToGrid w:val="0"/>
                    <w:jc w:val="center"/>
                    <w:rPr>
                      <w:snapToGrid w:val="0"/>
                      <w:color w:val="auto"/>
                      <w:sz w:val="18"/>
                      <w:szCs w:val="18"/>
                    </w:rPr>
                  </w:pPr>
                  <w:r>
                    <w:rPr>
                      <w:snapToGrid w:val="0"/>
                      <w:color w:val="auto"/>
                      <w:sz w:val="18"/>
                      <w:szCs w:val="18"/>
                    </w:rPr>
                    <w:t>80</w:t>
                  </w:r>
                </w:p>
              </w:tc>
            </w:tr>
            <w:tr w14:paraId="5EEE5A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00" w:type="dxa"/>
                  <w:vMerge w:val="continue"/>
                  <w:tcBorders>
                    <w:top w:val="single" w:color="auto" w:sz="4" w:space="0"/>
                    <w:left w:val="nil"/>
                    <w:bottom w:val="single" w:color="auto" w:sz="4" w:space="0"/>
                    <w:right w:val="single" w:color="auto" w:sz="4" w:space="0"/>
                  </w:tcBorders>
                  <w:vAlign w:val="center"/>
                </w:tcPr>
                <w:p w14:paraId="0C43FF71">
                  <w:pPr>
                    <w:widowControl/>
                    <w:jc w:val="left"/>
                    <w:rPr>
                      <w:snapToGrid w:val="0"/>
                      <w:color w:val="auto"/>
                      <w:sz w:val="18"/>
                      <w:szCs w:val="18"/>
                    </w:rPr>
                  </w:pPr>
                </w:p>
              </w:tc>
              <w:tc>
                <w:tcPr>
                  <w:tcW w:w="559" w:type="pct"/>
                  <w:tcBorders>
                    <w:top w:val="single" w:color="auto" w:sz="4" w:space="0"/>
                    <w:left w:val="single" w:color="auto" w:sz="4" w:space="0"/>
                    <w:bottom w:val="single" w:color="auto" w:sz="4" w:space="0"/>
                    <w:right w:val="single" w:color="auto" w:sz="4" w:space="0"/>
                  </w:tcBorders>
                  <w:vAlign w:val="center"/>
                </w:tcPr>
                <w:p w14:paraId="1D9A23B2">
                  <w:pPr>
                    <w:adjustRightInd w:val="0"/>
                    <w:snapToGrid w:val="0"/>
                    <w:jc w:val="center"/>
                    <w:rPr>
                      <w:snapToGrid w:val="0"/>
                      <w:color w:val="auto"/>
                      <w:sz w:val="18"/>
                      <w:szCs w:val="18"/>
                    </w:rPr>
                  </w:pPr>
                  <w:r>
                    <w:rPr>
                      <w:snapToGrid w:val="0"/>
                      <w:color w:val="auto"/>
                      <w:sz w:val="18"/>
                      <w:szCs w:val="18"/>
                    </w:rPr>
                    <w:t>2~4</w:t>
                  </w:r>
                </w:p>
              </w:tc>
              <w:tc>
                <w:tcPr>
                  <w:tcW w:w="434" w:type="pct"/>
                  <w:tcBorders>
                    <w:top w:val="single" w:color="auto" w:sz="4" w:space="0"/>
                    <w:left w:val="single" w:color="auto" w:sz="4" w:space="0"/>
                    <w:bottom w:val="single" w:color="auto" w:sz="4" w:space="0"/>
                    <w:right w:val="single" w:color="auto" w:sz="4" w:space="0"/>
                  </w:tcBorders>
                  <w:vAlign w:val="center"/>
                </w:tcPr>
                <w:p w14:paraId="43758248">
                  <w:pPr>
                    <w:adjustRightInd w:val="0"/>
                    <w:snapToGrid w:val="0"/>
                    <w:jc w:val="center"/>
                    <w:rPr>
                      <w:snapToGrid w:val="0"/>
                      <w:color w:val="auto"/>
                      <w:sz w:val="18"/>
                      <w:szCs w:val="18"/>
                    </w:rPr>
                  </w:pPr>
                  <w:r>
                    <w:rPr>
                      <w:snapToGrid w:val="0"/>
                      <w:color w:val="auto"/>
                      <w:sz w:val="18"/>
                      <w:szCs w:val="18"/>
                    </w:rPr>
                    <w:t>700</w:t>
                  </w:r>
                </w:p>
              </w:tc>
              <w:tc>
                <w:tcPr>
                  <w:tcW w:w="436" w:type="pct"/>
                  <w:tcBorders>
                    <w:top w:val="single" w:color="auto" w:sz="4" w:space="0"/>
                    <w:left w:val="single" w:color="auto" w:sz="4" w:space="0"/>
                    <w:bottom w:val="single" w:color="auto" w:sz="4" w:space="0"/>
                    <w:right w:val="single" w:color="auto" w:sz="4" w:space="0"/>
                  </w:tcBorders>
                  <w:vAlign w:val="center"/>
                </w:tcPr>
                <w:p w14:paraId="43A3BB72">
                  <w:pPr>
                    <w:adjustRightInd w:val="0"/>
                    <w:snapToGrid w:val="0"/>
                    <w:jc w:val="center"/>
                    <w:rPr>
                      <w:snapToGrid w:val="0"/>
                      <w:color w:val="auto"/>
                      <w:sz w:val="18"/>
                      <w:szCs w:val="18"/>
                    </w:rPr>
                  </w:pPr>
                  <w:r>
                    <w:rPr>
                      <w:snapToGrid w:val="0"/>
                      <w:color w:val="auto"/>
                      <w:sz w:val="18"/>
                      <w:szCs w:val="18"/>
                    </w:rPr>
                    <w:t>470*</w:t>
                  </w:r>
                </w:p>
              </w:tc>
              <w:tc>
                <w:tcPr>
                  <w:tcW w:w="434" w:type="pct"/>
                  <w:tcBorders>
                    <w:top w:val="single" w:color="auto" w:sz="4" w:space="0"/>
                    <w:left w:val="single" w:color="auto" w:sz="4" w:space="0"/>
                    <w:bottom w:val="single" w:color="auto" w:sz="4" w:space="0"/>
                    <w:right w:val="single" w:color="auto" w:sz="4" w:space="0"/>
                  </w:tcBorders>
                  <w:vAlign w:val="center"/>
                </w:tcPr>
                <w:p w14:paraId="04BA8EE8">
                  <w:pPr>
                    <w:adjustRightInd w:val="0"/>
                    <w:snapToGrid w:val="0"/>
                    <w:jc w:val="center"/>
                    <w:rPr>
                      <w:snapToGrid w:val="0"/>
                      <w:color w:val="auto"/>
                      <w:sz w:val="18"/>
                      <w:szCs w:val="18"/>
                    </w:rPr>
                  </w:pPr>
                  <w:r>
                    <w:rPr>
                      <w:snapToGrid w:val="0"/>
                      <w:color w:val="auto"/>
                      <w:sz w:val="18"/>
                      <w:szCs w:val="18"/>
                    </w:rPr>
                    <w:t>350</w:t>
                  </w:r>
                </w:p>
              </w:tc>
              <w:tc>
                <w:tcPr>
                  <w:tcW w:w="434" w:type="pct"/>
                  <w:tcBorders>
                    <w:top w:val="single" w:color="auto" w:sz="4" w:space="0"/>
                    <w:left w:val="single" w:color="auto" w:sz="4" w:space="0"/>
                    <w:bottom w:val="single" w:color="auto" w:sz="4" w:space="0"/>
                    <w:right w:val="single" w:color="auto" w:sz="4" w:space="0"/>
                  </w:tcBorders>
                  <w:vAlign w:val="center"/>
                </w:tcPr>
                <w:p w14:paraId="2E7C1321">
                  <w:pPr>
                    <w:adjustRightInd w:val="0"/>
                    <w:snapToGrid w:val="0"/>
                    <w:jc w:val="center"/>
                    <w:rPr>
                      <w:snapToGrid w:val="0"/>
                      <w:color w:val="auto"/>
                      <w:sz w:val="18"/>
                      <w:szCs w:val="18"/>
                    </w:rPr>
                  </w:pPr>
                  <w:r>
                    <w:rPr>
                      <w:snapToGrid w:val="0"/>
                      <w:color w:val="auto"/>
                      <w:sz w:val="18"/>
                      <w:szCs w:val="18"/>
                    </w:rPr>
                    <w:t>700</w:t>
                  </w:r>
                </w:p>
              </w:tc>
              <w:tc>
                <w:tcPr>
                  <w:tcW w:w="434" w:type="pct"/>
                  <w:tcBorders>
                    <w:top w:val="single" w:color="auto" w:sz="4" w:space="0"/>
                    <w:left w:val="single" w:color="auto" w:sz="4" w:space="0"/>
                    <w:bottom w:val="single" w:color="auto" w:sz="4" w:space="0"/>
                    <w:right w:val="single" w:color="auto" w:sz="4" w:space="0"/>
                  </w:tcBorders>
                  <w:vAlign w:val="center"/>
                </w:tcPr>
                <w:p w14:paraId="19D9B8D6">
                  <w:pPr>
                    <w:adjustRightInd w:val="0"/>
                    <w:snapToGrid w:val="0"/>
                    <w:jc w:val="center"/>
                    <w:rPr>
                      <w:snapToGrid w:val="0"/>
                      <w:color w:val="auto"/>
                      <w:sz w:val="18"/>
                      <w:szCs w:val="18"/>
                    </w:rPr>
                  </w:pPr>
                  <w:r>
                    <w:rPr>
                      <w:snapToGrid w:val="0"/>
                      <w:color w:val="auto"/>
                      <w:sz w:val="18"/>
                      <w:szCs w:val="18"/>
                    </w:rPr>
                    <w:t>470</w:t>
                  </w:r>
                </w:p>
              </w:tc>
              <w:tc>
                <w:tcPr>
                  <w:tcW w:w="435" w:type="pct"/>
                  <w:tcBorders>
                    <w:top w:val="single" w:color="auto" w:sz="4" w:space="0"/>
                    <w:left w:val="single" w:color="auto" w:sz="4" w:space="0"/>
                    <w:bottom w:val="single" w:color="auto" w:sz="4" w:space="0"/>
                    <w:right w:val="single" w:color="auto" w:sz="4" w:space="0"/>
                  </w:tcBorders>
                  <w:vAlign w:val="center"/>
                </w:tcPr>
                <w:p w14:paraId="3EC7DAB8">
                  <w:pPr>
                    <w:adjustRightInd w:val="0"/>
                    <w:snapToGrid w:val="0"/>
                    <w:jc w:val="center"/>
                    <w:rPr>
                      <w:snapToGrid w:val="0"/>
                      <w:color w:val="auto"/>
                      <w:sz w:val="18"/>
                      <w:szCs w:val="18"/>
                    </w:rPr>
                  </w:pPr>
                  <w:r>
                    <w:rPr>
                      <w:snapToGrid w:val="0"/>
                      <w:color w:val="auto"/>
                      <w:sz w:val="18"/>
                      <w:szCs w:val="18"/>
                    </w:rPr>
                    <w:t>350</w:t>
                  </w:r>
                </w:p>
              </w:tc>
              <w:tc>
                <w:tcPr>
                  <w:tcW w:w="434" w:type="pct"/>
                  <w:tcBorders>
                    <w:top w:val="single" w:color="auto" w:sz="4" w:space="0"/>
                    <w:left w:val="single" w:color="auto" w:sz="4" w:space="0"/>
                    <w:bottom w:val="single" w:color="auto" w:sz="4" w:space="0"/>
                    <w:right w:val="single" w:color="auto" w:sz="4" w:space="0"/>
                  </w:tcBorders>
                  <w:vAlign w:val="center"/>
                </w:tcPr>
                <w:p w14:paraId="60BC4595">
                  <w:pPr>
                    <w:adjustRightInd w:val="0"/>
                    <w:snapToGrid w:val="0"/>
                    <w:jc w:val="center"/>
                    <w:rPr>
                      <w:snapToGrid w:val="0"/>
                      <w:color w:val="auto"/>
                      <w:sz w:val="18"/>
                      <w:szCs w:val="18"/>
                    </w:rPr>
                  </w:pPr>
                  <w:r>
                    <w:rPr>
                      <w:snapToGrid w:val="0"/>
                      <w:color w:val="auto"/>
                      <w:sz w:val="18"/>
                      <w:szCs w:val="18"/>
                    </w:rPr>
                    <w:t>380</w:t>
                  </w:r>
                </w:p>
              </w:tc>
              <w:tc>
                <w:tcPr>
                  <w:tcW w:w="434" w:type="pct"/>
                  <w:tcBorders>
                    <w:top w:val="single" w:color="auto" w:sz="4" w:space="0"/>
                    <w:left w:val="single" w:color="auto" w:sz="4" w:space="0"/>
                    <w:bottom w:val="single" w:color="auto" w:sz="4" w:space="0"/>
                    <w:right w:val="single" w:color="auto" w:sz="4" w:space="0"/>
                  </w:tcBorders>
                  <w:vAlign w:val="center"/>
                </w:tcPr>
                <w:p w14:paraId="1C73BE1C">
                  <w:pPr>
                    <w:adjustRightInd w:val="0"/>
                    <w:snapToGrid w:val="0"/>
                    <w:jc w:val="center"/>
                    <w:rPr>
                      <w:snapToGrid w:val="0"/>
                      <w:color w:val="auto"/>
                      <w:sz w:val="18"/>
                      <w:szCs w:val="18"/>
                    </w:rPr>
                  </w:pPr>
                  <w:r>
                    <w:rPr>
                      <w:snapToGrid w:val="0"/>
                      <w:color w:val="auto"/>
                      <w:sz w:val="18"/>
                      <w:szCs w:val="18"/>
                    </w:rPr>
                    <w:t>250</w:t>
                  </w:r>
                </w:p>
              </w:tc>
              <w:tc>
                <w:tcPr>
                  <w:tcW w:w="419" w:type="pct"/>
                  <w:tcBorders>
                    <w:top w:val="single" w:color="auto" w:sz="4" w:space="0"/>
                    <w:left w:val="single" w:color="auto" w:sz="4" w:space="0"/>
                    <w:bottom w:val="single" w:color="auto" w:sz="4" w:space="0"/>
                    <w:right w:val="nil"/>
                  </w:tcBorders>
                  <w:vAlign w:val="center"/>
                </w:tcPr>
                <w:p w14:paraId="06604320">
                  <w:pPr>
                    <w:adjustRightInd w:val="0"/>
                    <w:snapToGrid w:val="0"/>
                    <w:jc w:val="center"/>
                    <w:rPr>
                      <w:snapToGrid w:val="0"/>
                      <w:color w:val="auto"/>
                      <w:sz w:val="18"/>
                      <w:szCs w:val="18"/>
                    </w:rPr>
                  </w:pPr>
                  <w:r>
                    <w:rPr>
                      <w:snapToGrid w:val="0"/>
                      <w:color w:val="auto"/>
                      <w:sz w:val="18"/>
                      <w:szCs w:val="18"/>
                    </w:rPr>
                    <w:t>190</w:t>
                  </w:r>
                </w:p>
              </w:tc>
            </w:tr>
            <w:tr w14:paraId="5C2DC7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00" w:type="dxa"/>
                  <w:vMerge w:val="continue"/>
                  <w:tcBorders>
                    <w:top w:val="single" w:color="auto" w:sz="4" w:space="0"/>
                    <w:left w:val="nil"/>
                    <w:bottom w:val="single" w:color="auto" w:sz="4" w:space="0"/>
                    <w:right w:val="single" w:color="auto" w:sz="4" w:space="0"/>
                  </w:tcBorders>
                  <w:vAlign w:val="center"/>
                </w:tcPr>
                <w:p w14:paraId="3781A6F9">
                  <w:pPr>
                    <w:widowControl/>
                    <w:jc w:val="left"/>
                    <w:rPr>
                      <w:snapToGrid w:val="0"/>
                      <w:color w:val="auto"/>
                      <w:sz w:val="18"/>
                      <w:szCs w:val="18"/>
                    </w:rPr>
                  </w:pPr>
                </w:p>
              </w:tc>
              <w:tc>
                <w:tcPr>
                  <w:tcW w:w="559" w:type="pct"/>
                  <w:tcBorders>
                    <w:top w:val="single" w:color="auto" w:sz="4" w:space="0"/>
                    <w:left w:val="single" w:color="auto" w:sz="4" w:space="0"/>
                    <w:bottom w:val="single" w:color="auto" w:sz="4" w:space="0"/>
                    <w:right w:val="single" w:color="auto" w:sz="4" w:space="0"/>
                  </w:tcBorders>
                  <w:vAlign w:val="center"/>
                </w:tcPr>
                <w:p w14:paraId="60A07B8D">
                  <w:pPr>
                    <w:adjustRightInd w:val="0"/>
                    <w:snapToGrid w:val="0"/>
                    <w:jc w:val="center"/>
                    <w:rPr>
                      <w:snapToGrid w:val="0"/>
                      <w:color w:val="auto"/>
                      <w:sz w:val="18"/>
                      <w:szCs w:val="18"/>
                    </w:rPr>
                  </w:pPr>
                  <w:r>
                    <w:rPr>
                      <w:snapToGrid w:val="0"/>
                      <w:color w:val="auto"/>
                      <w:sz w:val="18"/>
                      <w:szCs w:val="18"/>
                    </w:rPr>
                    <w:t>&gt;4</w:t>
                  </w:r>
                </w:p>
              </w:tc>
              <w:tc>
                <w:tcPr>
                  <w:tcW w:w="434" w:type="pct"/>
                  <w:tcBorders>
                    <w:top w:val="single" w:color="auto" w:sz="4" w:space="0"/>
                    <w:left w:val="single" w:color="auto" w:sz="4" w:space="0"/>
                    <w:bottom w:val="single" w:color="auto" w:sz="4" w:space="0"/>
                    <w:right w:val="single" w:color="auto" w:sz="4" w:space="0"/>
                  </w:tcBorders>
                  <w:vAlign w:val="center"/>
                </w:tcPr>
                <w:p w14:paraId="793ADD3B">
                  <w:pPr>
                    <w:adjustRightInd w:val="0"/>
                    <w:snapToGrid w:val="0"/>
                    <w:jc w:val="center"/>
                    <w:rPr>
                      <w:snapToGrid w:val="0"/>
                      <w:color w:val="auto"/>
                      <w:sz w:val="18"/>
                      <w:szCs w:val="18"/>
                    </w:rPr>
                  </w:pPr>
                  <w:r>
                    <w:rPr>
                      <w:snapToGrid w:val="0"/>
                      <w:color w:val="auto"/>
                      <w:sz w:val="18"/>
                      <w:szCs w:val="18"/>
                    </w:rPr>
                    <w:t>530</w:t>
                  </w:r>
                </w:p>
              </w:tc>
              <w:tc>
                <w:tcPr>
                  <w:tcW w:w="436" w:type="pct"/>
                  <w:tcBorders>
                    <w:top w:val="single" w:color="auto" w:sz="4" w:space="0"/>
                    <w:left w:val="single" w:color="auto" w:sz="4" w:space="0"/>
                    <w:bottom w:val="single" w:color="auto" w:sz="4" w:space="0"/>
                    <w:right w:val="single" w:color="auto" w:sz="4" w:space="0"/>
                  </w:tcBorders>
                  <w:vAlign w:val="center"/>
                </w:tcPr>
                <w:p w14:paraId="5D18DD5B">
                  <w:pPr>
                    <w:adjustRightInd w:val="0"/>
                    <w:snapToGrid w:val="0"/>
                    <w:jc w:val="center"/>
                    <w:rPr>
                      <w:snapToGrid w:val="0"/>
                      <w:color w:val="auto"/>
                      <w:sz w:val="18"/>
                      <w:szCs w:val="18"/>
                    </w:rPr>
                  </w:pPr>
                  <w:r>
                    <w:rPr>
                      <w:snapToGrid w:val="0"/>
                      <w:color w:val="auto"/>
                      <w:sz w:val="18"/>
                      <w:szCs w:val="18"/>
                    </w:rPr>
                    <w:t>350</w:t>
                  </w:r>
                </w:p>
              </w:tc>
              <w:tc>
                <w:tcPr>
                  <w:tcW w:w="434" w:type="pct"/>
                  <w:tcBorders>
                    <w:top w:val="single" w:color="auto" w:sz="4" w:space="0"/>
                    <w:left w:val="single" w:color="auto" w:sz="4" w:space="0"/>
                    <w:bottom w:val="single" w:color="auto" w:sz="4" w:space="0"/>
                    <w:right w:val="single" w:color="auto" w:sz="4" w:space="0"/>
                  </w:tcBorders>
                  <w:vAlign w:val="center"/>
                </w:tcPr>
                <w:p w14:paraId="6169FA8F">
                  <w:pPr>
                    <w:adjustRightInd w:val="0"/>
                    <w:snapToGrid w:val="0"/>
                    <w:jc w:val="center"/>
                    <w:rPr>
                      <w:snapToGrid w:val="0"/>
                      <w:color w:val="auto"/>
                      <w:sz w:val="18"/>
                      <w:szCs w:val="18"/>
                    </w:rPr>
                  </w:pPr>
                  <w:r>
                    <w:rPr>
                      <w:snapToGrid w:val="0"/>
                      <w:color w:val="auto"/>
                      <w:sz w:val="18"/>
                      <w:szCs w:val="18"/>
                    </w:rPr>
                    <w:t>260</w:t>
                  </w:r>
                </w:p>
              </w:tc>
              <w:tc>
                <w:tcPr>
                  <w:tcW w:w="434" w:type="pct"/>
                  <w:tcBorders>
                    <w:top w:val="single" w:color="auto" w:sz="4" w:space="0"/>
                    <w:left w:val="single" w:color="auto" w:sz="4" w:space="0"/>
                    <w:bottom w:val="single" w:color="auto" w:sz="4" w:space="0"/>
                    <w:right w:val="single" w:color="auto" w:sz="4" w:space="0"/>
                  </w:tcBorders>
                  <w:vAlign w:val="center"/>
                </w:tcPr>
                <w:p w14:paraId="21B7C986">
                  <w:pPr>
                    <w:adjustRightInd w:val="0"/>
                    <w:snapToGrid w:val="0"/>
                    <w:jc w:val="center"/>
                    <w:rPr>
                      <w:snapToGrid w:val="0"/>
                      <w:color w:val="auto"/>
                      <w:sz w:val="18"/>
                      <w:szCs w:val="18"/>
                    </w:rPr>
                  </w:pPr>
                  <w:r>
                    <w:rPr>
                      <w:snapToGrid w:val="0"/>
                      <w:color w:val="auto"/>
                      <w:sz w:val="18"/>
                      <w:szCs w:val="18"/>
                    </w:rPr>
                    <w:t>530</w:t>
                  </w:r>
                </w:p>
              </w:tc>
              <w:tc>
                <w:tcPr>
                  <w:tcW w:w="434" w:type="pct"/>
                  <w:tcBorders>
                    <w:top w:val="single" w:color="auto" w:sz="4" w:space="0"/>
                    <w:left w:val="single" w:color="auto" w:sz="4" w:space="0"/>
                    <w:bottom w:val="single" w:color="auto" w:sz="4" w:space="0"/>
                    <w:right w:val="single" w:color="auto" w:sz="4" w:space="0"/>
                  </w:tcBorders>
                  <w:vAlign w:val="center"/>
                </w:tcPr>
                <w:p w14:paraId="0D562ECA">
                  <w:pPr>
                    <w:adjustRightInd w:val="0"/>
                    <w:snapToGrid w:val="0"/>
                    <w:jc w:val="center"/>
                    <w:rPr>
                      <w:snapToGrid w:val="0"/>
                      <w:color w:val="auto"/>
                      <w:sz w:val="18"/>
                      <w:szCs w:val="18"/>
                    </w:rPr>
                  </w:pPr>
                  <w:r>
                    <w:rPr>
                      <w:snapToGrid w:val="0"/>
                      <w:color w:val="auto"/>
                      <w:sz w:val="18"/>
                      <w:szCs w:val="18"/>
                    </w:rPr>
                    <w:t>350</w:t>
                  </w:r>
                </w:p>
              </w:tc>
              <w:tc>
                <w:tcPr>
                  <w:tcW w:w="435" w:type="pct"/>
                  <w:tcBorders>
                    <w:top w:val="single" w:color="auto" w:sz="4" w:space="0"/>
                    <w:left w:val="single" w:color="auto" w:sz="4" w:space="0"/>
                    <w:bottom w:val="single" w:color="auto" w:sz="4" w:space="0"/>
                    <w:right w:val="single" w:color="auto" w:sz="4" w:space="0"/>
                  </w:tcBorders>
                  <w:vAlign w:val="center"/>
                </w:tcPr>
                <w:p w14:paraId="01108341">
                  <w:pPr>
                    <w:adjustRightInd w:val="0"/>
                    <w:snapToGrid w:val="0"/>
                    <w:jc w:val="center"/>
                    <w:rPr>
                      <w:snapToGrid w:val="0"/>
                      <w:color w:val="auto"/>
                      <w:sz w:val="18"/>
                      <w:szCs w:val="18"/>
                    </w:rPr>
                  </w:pPr>
                  <w:r>
                    <w:rPr>
                      <w:snapToGrid w:val="0"/>
                      <w:color w:val="auto"/>
                      <w:sz w:val="18"/>
                      <w:szCs w:val="18"/>
                    </w:rPr>
                    <w:t>260</w:t>
                  </w:r>
                </w:p>
              </w:tc>
              <w:tc>
                <w:tcPr>
                  <w:tcW w:w="434" w:type="pct"/>
                  <w:tcBorders>
                    <w:top w:val="single" w:color="auto" w:sz="4" w:space="0"/>
                    <w:left w:val="single" w:color="auto" w:sz="4" w:space="0"/>
                    <w:bottom w:val="single" w:color="auto" w:sz="4" w:space="0"/>
                    <w:right w:val="single" w:color="auto" w:sz="4" w:space="0"/>
                  </w:tcBorders>
                  <w:vAlign w:val="center"/>
                </w:tcPr>
                <w:p w14:paraId="4EA25DA4">
                  <w:pPr>
                    <w:adjustRightInd w:val="0"/>
                    <w:snapToGrid w:val="0"/>
                    <w:jc w:val="center"/>
                    <w:rPr>
                      <w:snapToGrid w:val="0"/>
                      <w:color w:val="auto"/>
                      <w:sz w:val="18"/>
                      <w:szCs w:val="18"/>
                    </w:rPr>
                  </w:pPr>
                  <w:r>
                    <w:rPr>
                      <w:snapToGrid w:val="0"/>
                      <w:color w:val="auto"/>
                      <w:sz w:val="18"/>
                      <w:szCs w:val="18"/>
                    </w:rPr>
                    <w:t>290</w:t>
                  </w:r>
                </w:p>
              </w:tc>
              <w:tc>
                <w:tcPr>
                  <w:tcW w:w="434" w:type="pct"/>
                  <w:tcBorders>
                    <w:top w:val="single" w:color="auto" w:sz="4" w:space="0"/>
                    <w:left w:val="single" w:color="auto" w:sz="4" w:space="0"/>
                    <w:bottom w:val="single" w:color="auto" w:sz="4" w:space="0"/>
                    <w:right w:val="single" w:color="auto" w:sz="4" w:space="0"/>
                  </w:tcBorders>
                  <w:vAlign w:val="center"/>
                </w:tcPr>
                <w:p w14:paraId="2BC655FD">
                  <w:pPr>
                    <w:adjustRightInd w:val="0"/>
                    <w:snapToGrid w:val="0"/>
                    <w:jc w:val="center"/>
                    <w:rPr>
                      <w:snapToGrid w:val="0"/>
                      <w:color w:val="auto"/>
                      <w:sz w:val="18"/>
                      <w:szCs w:val="18"/>
                    </w:rPr>
                  </w:pPr>
                  <w:r>
                    <w:rPr>
                      <w:snapToGrid w:val="0"/>
                      <w:color w:val="auto"/>
                      <w:sz w:val="18"/>
                      <w:szCs w:val="18"/>
                    </w:rPr>
                    <w:t>190</w:t>
                  </w:r>
                </w:p>
              </w:tc>
              <w:tc>
                <w:tcPr>
                  <w:tcW w:w="419" w:type="pct"/>
                  <w:tcBorders>
                    <w:top w:val="single" w:color="auto" w:sz="4" w:space="0"/>
                    <w:left w:val="single" w:color="auto" w:sz="4" w:space="0"/>
                    <w:bottom w:val="single" w:color="auto" w:sz="4" w:space="0"/>
                    <w:right w:val="nil"/>
                  </w:tcBorders>
                  <w:vAlign w:val="center"/>
                </w:tcPr>
                <w:p w14:paraId="41CE4ED6">
                  <w:pPr>
                    <w:adjustRightInd w:val="0"/>
                    <w:snapToGrid w:val="0"/>
                    <w:jc w:val="center"/>
                    <w:rPr>
                      <w:snapToGrid w:val="0"/>
                      <w:color w:val="auto"/>
                      <w:sz w:val="18"/>
                      <w:szCs w:val="18"/>
                    </w:rPr>
                  </w:pPr>
                  <w:r>
                    <w:rPr>
                      <w:snapToGrid w:val="0"/>
                      <w:color w:val="auto"/>
                      <w:sz w:val="18"/>
                      <w:szCs w:val="18"/>
                    </w:rPr>
                    <w:t>110</w:t>
                  </w:r>
                </w:p>
              </w:tc>
            </w:tr>
            <w:tr w14:paraId="1CE32A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47" w:type="pct"/>
                  <w:vMerge w:val="restart"/>
                  <w:tcBorders>
                    <w:top w:val="single" w:color="auto" w:sz="4" w:space="0"/>
                    <w:left w:val="nil"/>
                    <w:bottom w:val="single" w:color="auto" w:sz="4" w:space="0"/>
                    <w:right w:val="single" w:color="auto" w:sz="4" w:space="0"/>
                  </w:tcBorders>
                  <w:vAlign w:val="center"/>
                </w:tcPr>
                <w:p w14:paraId="09182FF4">
                  <w:pPr>
                    <w:adjustRightInd w:val="0"/>
                    <w:snapToGrid w:val="0"/>
                    <w:jc w:val="center"/>
                    <w:rPr>
                      <w:snapToGrid w:val="0"/>
                      <w:color w:val="auto"/>
                      <w:sz w:val="18"/>
                      <w:szCs w:val="18"/>
                    </w:rPr>
                  </w:pPr>
                  <w:r>
                    <w:rPr>
                      <w:snapToGrid w:val="0"/>
                      <w:color w:val="auto"/>
                      <w:sz w:val="18"/>
                      <w:szCs w:val="18"/>
                    </w:rPr>
                    <w:t>B</w:t>
                  </w:r>
                </w:p>
              </w:tc>
              <w:tc>
                <w:tcPr>
                  <w:tcW w:w="559" w:type="pct"/>
                  <w:tcBorders>
                    <w:top w:val="single" w:color="auto" w:sz="4" w:space="0"/>
                    <w:left w:val="single" w:color="auto" w:sz="4" w:space="0"/>
                    <w:bottom w:val="single" w:color="auto" w:sz="4" w:space="0"/>
                    <w:right w:val="single" w:color="auto" w:sz="4" w:space="0"/>
                  </w:tcBorders>
                  <w:vAlign w:val="center"/>
                </w:tcPr>
                <w:p w14:paraId="68DB247D">
                  <w:pPr>
                    <w:adjustRightInd w:val="0"/>
                    <w:snapToGrid w:val="0"/>
                    <w:jc w:val="center"/>
                    <w:rPr>
                      <w:snapToGrid w:val="0"/>
                      <w:color w:val="auto"/>
                      <w:sz w:val="18"/>
                      <w:szCs w:val="18"/>
                    </w:rPr>
                  </w:pPr>
                  <w:r>
                    <w:rPr>
                      <w:snapToGrid w:val="0"/>
                      <w:color w:val="auto"/>
                      <w:sz w:val="18"/>
                      <w:szCs w:val="18"/>
                    </w:rPr>
                    <w:t>&lt;2</w:t>
                  </w:r>
                </w:p>
              </w:tc>
              <w:tc>
                <w:tcPr>
                  <w:tcW w:w="1304" w:type="pct"/>
                  <w:gridSpan w:val="3"/>
                  <w:tcBorders>
                    <w:top w:val="single" w:color="auto" w:sz="4" w:space="0"/>
                    <w:left w:val="single" w:color="auto" w:sz="4" w:space="0"/>
                    <w:bottom w:val="single" w:color="auto" w:sz="4" w:space="0"/>
                    <w:right w:val="single" w:color="auto" w:sz="4" w:space="0"/>
                  </w:tcBorders>
                  <w:vAlign w:val="center"/>
                </w:tcPr>
                <w:p w14:paraId="6AE33822">
                  <w:pPr>
                    <w:adjustRightInd w:val="0"/>
                    <w:snapToGrid w:val="0"/>
                    <w:jc w:val="center"/>
                    <w:rPr>
                      <w:snapToGrid w:val="0"/>
                      <w:color w:val="auto"/>
                      <w:sz w:val="18"/>
                      <w:szCs w:val="18"/>
                    </w:rPr>
                  </w:pPr>
                  <w:r>
                    <w:rPr>
                      <w:snapToGrid w:val="0"/>
                      <w:color w:val="auto"/>
                      <w:sz w:val="18"/>
                      <w:szCs w:val="18"/>
                    </w:rPr>
                    <w:t>0.01</w:t>
                  </w:r>
                </w:p>
              </w:tc>
              <w:tc>
                <w:tcPr>
                  <w:tcW w:w="1303" w:type="pct"/>
                  <w:gridSpan w:val="3"/>
                  <w:tcBorders>
                    <w:top w:val="single" w:color="auto" w:sz="4" w:space="0"/>
                    <w:left w:val="single" w:color="auto" w:sz="4" w:space="0"/>
                    <w:bottom w:val="single" w:color="auto" w:sz="4" w:space="0"/>
                    <w:right w:val="single" w:color="auto" w:sz="4" w:space="0"/>
                  </w:tcBorders>
                  <w:vAlign w:val="center"/>
                </w:tcPr>
                <w:p w14:paraId="6FD77F13">
                  <w:pPr>
                    <w:adjustRightInd w:val="0"/>
                    <w:snapToGrid w:val="0"/>
                    <w:jc w:val="center"/>
                    <w:rPr>
                      <w:snapToGrid w:val="0"/>
                      <w:color w:val="auto"/>
                      <w:sz w:val="18"/>
                      <w:szCs w:val="18"/>
                    </w:rPr>
                  </w:pPr>
                  <w:r>
                    <w:rPr>
                      <w:snapToGrid w:val="0"/>
                      <w:color w:val="auto"/>
                      <w:sz w:val="18"/>
                      <w:szCs w:val="18"/>
                    </w:rPr>
                    <w:t>0.015</w:t>
                  </w:r>
                </w:p>
              </w:tc>
              <w:tc>
                <w:tcPr>
                  <w:tcW w:w="1287" w:type="pct"/>
                  <w:gridSpan w:val="3"/>
                  <w:tcBorders>
                    <w:top w:val="single" w:color="auto" w:sz="4" w:space="0"/>
                    <w:left w:val="single" w:color="auto" w:sz="4" w:space="0"/>
                    <w:bottom w:val="single" w:color="auto" w:sz="4" w:space="0"/>
                    <w:right w:val="nil"/>
                  </w:tcBorders>
                  <w:vAlign w:val="center"/>
                </w:tcPr>
                <w:p w14:paraId="12FA98D1">
                  <w:pPr>
                    <w:adjustRightInd w:val="0"/>
                    <w:snapToGrid w:val="0"/>
                    <w:jc w:val="center"/>
                    <w:rPr>
                      <w:snapToGrid w:val="0"/>
                      <w:color w:val="auto"/>
                      <w:sz w:val="18"/>
                      <w:szCs w:val="18"/>
                    </w:rPr>
                  </w:pPr>
                  <w:r>
                    <w:rPr>
                      <w:snapToGrid w:val="0"/>
                      <w:color w:val="auto"/>
                      <w:sz w:val="18"/>
                      <w:szCs w:val="18"/>
                    </w:rPr>
                    <w:t>0.015</w:t>
                  </w:r>
                </w:p>
              </w:tc>
            </w:tr>
            <w:tr w14:paraId="1AF652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00" w:type="dxa"/>
                  <w:vMerge w:val="continue"/>
                  <w:tcBorders>
                    <w:top w:val="single" w:color="auto" w:sz="4" w:space="0"/>
                    <w:left w:val="nil"/>
                    <w:bottom w:val="single" w:color="auto" w:sz="4" w:space="0"/>
                    <w:right w:val="single" w:color="auto" w:sz="4" w:space="0"/>
                  </w:tcBorders>
                  <w:vAlign w:val="center"/>
                </w:tcPr>
                <w:p w14:paraId="31F90C7F">
                  <w:pPr>
                    <w:widowControl/>
                    <w:jc w:val="left"/>
                    <w:rPr>
                      <w:snapToGrid w:val="0"/>
                      <w:color w:val="auto"/>
                      <w:sz w:val="18"/>
                      <w:szCs w:val="18"/>
                    </w:rPr>
                  </w:pPr>
                </w:p>
              </w:tc>
              <w:tc>
                <w:tcPr>
                  <w:tcW w:w="559" w:type="pct"/>
                  <w:tcBorders>
                    <w:top w:val="single" w:color="auto" w:sz="4" w:space="0"/>
                    <w:left w:val="single" w:color="auto" w:sz="4" w:space="0"/>
                    <w:bottom w:val="single" w:color="auto" w:sz="4" w:space="0"/>
                    <w:right w:val="single" w:color="auto" w:sz="4" w:space="0"/>
                  </w:tcBorders>
                  <w:vAlign w:val="center"/>
                </w:tcPr>
                <w:p w14:paraId="68DE130F">
                  <w:pPr>
                    <w:adjustRightInd w:val="0"/>
                    <w:snapToGrid w:val="0"/>
                    <w:jc w:val="center"/>
                    <w:rPr>
                      <w:snapToGrid w:val="0"/>
                      <w:color w:val="auto"/>
                      <w:sz w:val="18"/>
                      <w:szCs w:val="18"/>
                    </w:rPr>
                  </w:pPr>
                  <w:r>
                    <w:rPr>
                      <w:snapToGrid w:val="0"/>
                      <w:color w:val="auto"/>
                      <w:sz w:val="18"/>
                      <w:szCs w:val="18"/>
                    </w:rPr>
                    <w:t>&gt;2</w:t>
                  </w:r>
                </w:p>
              </w:tc>
              <w:tc>
                <w:tcPr>
                  <w:tcW w:w="1304" w:type="pct"/>
                  <w:gridSpan w:val="3"/>
                  <w:tcBorders>
                    <w:top w:val="single" w:color="auto" w:sz="4" w:space="0"/>
                    <w:left w:val="single" w:color="auto" w:sz="4" w:space="0"/>
                    <w:bottom w:val="single" w:color="auto" w:sz="4" w:space="0"/>
                    <w:right w:val="single" w:color="auto" w:sz="4" w:space="0"/>
                  </w:tcBorders>
                  <w:vAlign w:val="center"/>
                </w:tcPr>
                <w:p w14:paraId="563FBEE6">
                  <w:pPr>
                    <w:adjustRightInd w:val="0"/>
                    <w:snapToGrid w:val="0"/>
                    <w:jc w:val="center"/>
                    <w:rPr>
                      <w:snapToGrid w:val="0"/>
                      <w:color w:val="auto"/>
                      <w:sz w:val="18"/>
                      <w:szCs w:val="18"/>
                    </w:rPr>
                  </w:pPr>
                  <w:r>
                    <w:rPr>
                      <w:snapToGrid w:val="0"/>
                      <w:color w:val="auto"/>
                      <w:sz w:val="18"/>
                      <w:szCs w:val="18"/>
                    </w:rPr>
                    <w:t>0.021*</w:t>
                  </w:r>
                </w:p>
              </w:tc>
              <w:tc>
                <w:tcPr>
                  <w:tcW w:w="1303" w:type="pct"/>
                  <w:gridSpan w:val="3"/>
                  <w:tcBorders>
                    <w:top w:val="single" w:color="auto" w:sz="4" w:space="0"/>
                    <w:left w:val="single" w:color="auto" w:sz="4" w:space="0"/>
                    <w:bottom w:val="single" w:color="auto" w:sz="4" w:space="0"/>
                    <w:right w:val="single" w:color="auto" w:sz="4" w:space="0"/>
                  </w:tcBorders>
                  <w:vAlign w:val="center"/>
                </w:tcPr>
                <w:p w14:paraId="475D2B08">
                  <w:pPr>
                    <w:adjustRightInd w:val="0"/>
                    <w:snapToGrid w:val="0"/>
                    <w:jc w:val="center"/>
                    <w:rPr>
                      <w:snapToGrid w:val="0"/>
                      <w:color w:val="auto"/>
                      <w:sz w:val="18"/>
                      <w:szCs w:val="18"/>
                    </w:rPr>
                  </w:pPr>
                  <w:r>
                    <w:rPr>
                      <w:snapToGrid w:val="0"/>
                      <w:color w:val="auto"/>
                      <w:sz w:val="18"/>
                      <w:szCs w:val="18"/>
                    </w:rPr>
                    <w:t>0.036</w:t>
                  </w:r>
                </w:p>
              </w:tc>
              <w:tc>
                <w:tcPr>
                  <w:tcW w:w="1287" w:type="pct"/>
                  <w:gridSpan w:val="3"/>
                  <w:tcBorders>
                    <w:top w:val="single" w:color="auto" w:sz="4" w:space="0"/>
                    <w:left w:val="single" w:color="auto" w:sz="4" w:space="0"/>
                    <w:bottom w:val="single" w:color="auto" w:sz="4" w:space="0"/>
                    <w:right w:val="nil"/>
                  </w:tcBorders>
                  <w:vAlign w:val="center"/>
                </w:tcPr>
                <w:p w14:paraId="4DAE04E3">
                  <w:pPr>
                    <w:adjustRightInd w:val="0"/>
                    <w:snapToGrid w:val="0"/>
                    <w:jc w:val="center"/>
                    <w:rPr>
                      <w:snapToGrid w:val="0"/>
                      <w:color w:val="auto"/>
                      <w:sz w:val="18"/>
                      <w:szCs w:val="18"/>
                    </w:rPr>
                  </w:pPr>
                  <w:r>
                    <w:rPr>
                      <w:snapToGrid w:val="0"/>
                      <w:color w:val="auto"/>
                      <w:sz w:val="18"/>
                      <w:szCs w:val="18"/>
                    </w:rPr>
                    <w:t>0.036</w:t>
                  </w:r>
                </w:p>
              </w:tc>
            </w:tr>
            <w:tr w14:paraId="1E5DB7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47" w:type="pct"/>
                  <w:vMerge w:val="restart"/>
                  <w:tcBorders>
                    <w:top w:val="single" w:color="auto" w:sz="4" w:space="0"/>
                    <w:left w:val="nil"/>
                    <w:bottom w:val="single" w:color="auto" w:sz="4" w:space="0"/>
                    <w:right w:val="single" w:color="auto" w:sz="4" w:space="0"/>
                  </w:tcBorders>
                  <w:vAlign w:val="center"/>
                </w:tcPr>
                <w:p w14:paraId="329EF527">
                  <w:pPr>
                    <w:adjustRightInd w:val="0"/>
                    <w:snapToGrid w:val="0"/>
                    <w:jc w:val="center"/>
                    <w:rPr>
                      <w:snapToGrid w:val="0"/>
                      <w:color w:val="auto"/>
                      <w:sz w:val="18"/>
                      <w:szCs w:val="18"/>
                    </w:rPr>
                  </w:pPr>
                  <w:r>
                    <w:rPr>
                      <w:snapToGrid w:val="0"/>
                      <w:color w:val="auto"/>
                      <w:sz w:val="18"/>
                      <w:szCs w:val="18"/>
                    </w:rPr>
                    <w:t>C</w:t>
                  </w:r>
                </w:p>
              </w:tc>
              <w:tc>
                <w:tcPr>
                  <w:tcW w:w="559" w:type="pct"/>
                  <w:tcBorders>
                    <w:top w:val="single" w:color="auto" w:sz="4" w:space="0"/>
                    <w:left w:val="single" w:color="auto" w:sz="4" w:space="0"/>
                    <w:bottom w:val="single" w:color="auto" w:sz="4" w:space="0"/>
                    <w:right w:val="single" w:color="auto" w:sz="4" w:space="0"/>
                  </w:tcBorders>
                  <w:vAlign w:val="center"/>
                </w:tcPr>
                <w:p w14:paraId="7331655A">
                  <w:pPr>
                    <w:adjustRightInd w:val="0"/>
                    <w:snapToGrid w:val="0"/>
                    <w:jc w:val="center"/>
                    <w:rPr>
                      <w:snapToGrid w:val="0"/>
                      <w:color w:val="auto"/>
                      <w:sz w:val="18"/>
                      <w:szCs w:val="18"/>
                    </w:rPr>
                  </w:pPr>
                  <w:r>
                    <w:rPr>
                      <w:snapToGrid w:val="0"/>
                      <w:color w:val="auto"/>
                      <w:sz w:val="18"/>
                      <w:szCs w:val="18"/>
                    </w:rPr>
                    <w:t>&lt;2</w:t>
                  </w:r>
                </w:p>
              </w:tc>
              <w:tc>
                <w:tcPr>
                  <w:tcW w:w="1304" w:type="pct"/>
                  <w:gridSpan w:val="3"/>
                  <w:tcBorders>
                    <w:top w:val="single" w:color="auto" w:sz="4" w:space="0"/>
                    <w:left w:val="single" w:color="auto" w:sz="4" w:space="0"/>
                    <w:bottom w:val="single" w:color="auto" w:sz="4" w:space="0"/>
                    <w:right w:val="single" w:color="auto" w:sz="4" w:space="0"/>
                  </w:tcBorders>
                  <w:vAlign w:val="center"/>
                </w:tcPr>
                <w:p w14:paraId="7A8DE9D1">
                  <w:pPr>
                    <w:adjustRightInd w:val="0"/>
                    <w:snapToGrid w:val="0"/>
                    <w:jc w:val="center"/>
                    <w:rPr>
                      <w:snapToGrid w:val="0"/>
                      <w:color w:val="auto"/>
                      <w:sz w:val="18"/>
                      <w:szCs w:val="18"/>
                    </w:rPr>
                  </w:pPr>
                  <w:r>
                    <w:rPr>
                      <w:snapToGrid w:val="0"/>
                      <w:color w:val="auto"/>
                      <w:sz w:val="18"/>
                      <w:szCs w:val="18"/>
                    </w:rPr>
                    <w:t>1.85</w:t>
                  </w:r>
                </w:p>
              </w:tc>
              <w:tc>
                <w:tcPr>
                  <w:tcW w:w="1303" w:type="pct"/>
                  <w:gridSpan w:val="3"/>
                  <w:tcBorders>
                    <w:top w:val="single" w:color="auto" w:sz="4" w:space="0"/>
                    <w:left w:val="single" w:color="auto" w:sz="4" w:space="0"/>
                    <w:bottom w:val="single" w:color="auto" w:sz="4" w:space="0"/>
                    <w:right w:val="single" w:color="auto" w:sz="4" w:space="0"/>
                  </w:tcBorders>
                  <w:vAlign w:val="center"/>
                </w:tcPr>
                <w:p w14:paraId="72428A3D">
                  <w:pPr>
                    <w:adjustRightInd w:val="0"/>
                    <w:snapToGrid w:val="0"/>
                    <w:jc w:val="center"/>
                    <w:rPr>
                      <w:snapToGrid w:val="0"/>
                      <w:color w:val="auto"/>
                      <w:sz w:val="18"/>
                      <w:szCs w:val="18"/>
                    </w:rPr>
                  </w:pPr>
                  <w:r>
                    <w:rPr>
                      <w:snapToGrid w:val="0"/>
                      <w:color w:val="auto"/>
                      <w:sz w:val="18"/>
                      <w:szCs w:val="18"/>
                    </w:rPr>
                    <w:t>1.79</w:t>
                  </w:r>
                </w:p>
              </w:tc>
              <w:tc>
                <w:tcPr>
                  <w:tcW w:w="1287" w:type="pct"/>
                  <w:gridSpan w:val="3"/>
                  <w:tcBorders>
                    <w:top w:val="single" w:color="auto" w:sz="4" w:space="0"/>
                    <w:left w:val="single" w:color="auto" w:sz="4" w:space="0"/>
                    <w:bottom w:val="single" w:color="auto" w:sz="4" w:space="0"/>
                    <w:right w:val="nil"/>
                  </w:tcBorders>
                  <w:vAlign w:val="center"/>
                </w:tcPr>
                <w:p w14:paraId="23BB45CB">
                  <w:pPr>
                    <w:adjustRightInd w:val="0"/>
                    <w:snapToGrid w:val="0"/>
                    <w:jc w:val="center"/>
                    <w:rPr>
                      <w:snapToGrid w:val="0"/>
                      <w:color w:val="auto"/>
                      <w:sz w:val="18"/>
                      <w:szCs w:val="18"/>
                    </w:rPr>
                  </w:pPr>
                  <w:r>
                    <w:rPr>
                      <w:snapToGrid w:val="0"/>
                      <w:color w:val="auto"/>
                      <w:sz w:val="18"/>
                      <w:szCs w:val="18"/>
                    </w:rPr>
                    <w:t>1.79</w:t>
                  </w:r>
                </w:p>
              </w:tc>
            </w:tr>
            <w:tr w14:paraId="0E725F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00" w:type="dxa"/>
                  <w:vMerge w:val="continue"/>
                  <w:tcBorders>
                    <w:top w:val="single" w:color="auto" w:sz="4" w:space="0"/>
                    <w:left w:val="nil"/>
                    <w:bottom w:val="single" w:color="auto" w:sz="4" w:space="0"/>
                    <w:right w:val="single" w:color="auto" w:sz="4" w:space="0"/>
                  </w:tcBorders>
                  <w:vAlign w:val="center"/>
                </w:tcPr>
                <w:p w14:paraId="309FF728">
                  <w:pPr>
                    <w:widowControl/>
                    <w:jc w:val="left"/>
                    <w:rPr>
                      <w:snapToGrid w:val="0"/>
                      <w:color w:val="auto"/>
                      <w:sz w:val="18"/>
                      <w:szCs w:val="18"/>
                    </w:rPr>
                  </w:pPr>
                </w:p>
              </w:tc>
              <w:tc>
                <w:tcPr>
                  <w:tcW w:w="559" w:type="pct"/>
                  <w:tcBorders>
                    <w:top w:val="single" w:color="auto" w:sz="4" w:space="0"/>
                    <w:left w:val="single" w:color="auto" w:sz="4" w:space="0"/>
                    <w:bottom w:val="single" w:color="auto" w:sz="4" w:space="0"/>
                    <w:right w:val="single" w:color="auto" w:sz="4" w:space="0"/>
                  </w:tcBorders>
                  <w:vAlign w:val="center"/>
                </w:tcPr>
                <w:p w14:paraId="45DFF011">
                  <w:pPr>
                    <w:adjustRightInd w:val="0"/>
                    <w:snapToGrid w:val="0"/>
                    <w:jc w:val="center"/>
                    <w:rPr>
                      <w:snapToGrid w:val="0"/>
                      <w:color w:val="auto"/>
                      <w:sz w:val="18"/>
                      <w:szCs w:val="18"/>
                    </w:rPr>
                  </w:pPr>
                  <w:r>
                    <w:rPr>
                      <w:snapToGrid w:val="0"/>
                      <w:color w:val="auto"/>
                      <w:sz w:val="18"/>
                      <w:szCs w:val="18"/>
                    </w:rPr>
                    <w:t>&gt;2</w:t>
                  </w:r>
                </w:p>
              </w:tc>
              <w:tc>
                <w:tcPr>
                  <w:tcW w:w="1304" w:type="pct"/>
                  <w:gridSpan w:val="3"/>
                  <w:tcBorders>
                    <w:top w:val="single" w:color="auto" w:sz="4" w:space="0"/>
                    <w:left w:val="single" w:color="auto" w:sz="4" w:space="0"/>
                    <w:bottom w:val="single" w:color="auto" w:sz="4" w:space="0"/>
                    <w:right w:val="single" w:color="auto" w:sz="4" w:space="0"/>
                  </w:tcBorders>
                  <w:vAlign w:val="center"/>
                </w:tcPr>
                <w:p w14:paraId="5D500A01">
                  <w:pPr>
                    <w:adjustRightInd w:val="0"/>
                    <w:snapToGrid w:val="0"/>
                    <w:jc w:val="center"/>
                    <w:rPr>
                      <w:snapToGrid w:val="0"/>
                      <w:color w:val="auto"/>
                      <w:sz w:val="18"/>
                      <w:szCs w:val="18"/>
                    </w:rPr>
                  </w:pPr>
                  <w:r>
                    <w:rPr>
                      <w:snapToGrid w:val="0"/>
                      <w:color w:val="auto"/>
                      <w:sz w:val="18"/>
                      <w:szCs w:val="18"/>
                    </w:rPr>
                    <w:t>1.85*</w:t>
                  </w:r>
                </w:p>
              </w:tc>
              <w:tc>
                <w:tcPr>
                  <w:tcW w:w="1303" w:type="pct"/>
                  <w:gridSpan w:val="3"/>
                  <w:tcBorders>
                    <w:top w:val="single" w:color="auto" w:sz="4" w:space="0"/>
                    <w:left w:val="single" w:color="auto" w:sz="4" w:space="0"/>
                    <w:bottom w:val="single" w:color="auto" w:sz="4" w:space="0"/>
                    <w:right w:val="single" w:color="auto" w:sz="4" w:space="0"/>
                  </w:tcBorders>
                  <w:vAlign w:val="center"/>
                </w:tcPr>
                <w:p w14:paraId="650ACE81">
                  <w:pPr>
                    <w:adjustRightInd w:val="0"/>
                    <w:snapToGrid w:val="0"/>
                    <w:jc w:val="center"/>
                    <w:rPr>
                      <w:snapToGrid w:val="0"/>
                      <w:color w:val="auto"/>
                      <w:sz w:val="18"/>
                      <w:szCs w:val="18"/>
                    </w:rPr>
                  </w:pPr>
                  <w:r>
                    <w:rPr>
                      <w:snapToGrid w:val="0"/>
                      <w:color w:val="auto"/>
                      <w:sz w:val="18"/>
                      <w:szCs w:val="18"/>
                    </w:rPr>
                    <w:t>1.77</w:t>
                  </w:r>
                </w:p>
              </w:tc>
              <w:tc>
                <w:tcPr>
                  <w:tcW w:w="1287" w:type="pct"/>
                  <w:gridSpan w:val="3"/>
                  <w:tcBorders>
                    <w:top w:val="single" w:color="auto" w:sz="4" w:space="0"/>
                    <w:left w:val="single" w:color="auto" w:sz="4" w:space="0"/>
                    <w:bottom w:val="single" w:color="auto" w:sz="4" w:space="0"/>
                    <w:right w:val="nil"/>
                  </w:tcBorders>
                  <w:vAlign w:val="center"/>
                </w:tcPr>
                <w:p w14:paraId="02AF861C">
                  <w:pPr>
                    <w:adjustRightInd w:val="0"/>
                    <w:snapToGrid w:val="0"/>
                    <w:jc w:val="center"/>
                    <w:rPr>
                      <w:snapToGrid w:val="0"/>
                      <w:color w:val="auto"/>
                      <w:sz w:val="18"/>
                      <w:szCs w:val="18"/>
                    </w:rPr>
                  </w:pPr>
                  <w:r>
                    <w:rPr>
                      <w:snapToGrid w:val="0"/>
                      <w:color w:val="auto"/>
                      <w:sz w:val="18"/>
                      <w:szCs w:val="18"/>
                    </w:rPr>
                    <w:t>1.77</w:t>
                  </w:r>
                </w:p>
              </w:tc>
            </w:tr>
            <w:tr w14:paraId="5BE227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47" w:type="pct"/>
                  <w:vMerge w:val="restart"/>
                  <w:tcBorders>
                    <w:top w:val="single" w:color="auto" w:sz="4" w:space="0"/>
                    <w:left w:val="nil"/>
                    <w:bottom w:val="single" w:color="auto" w:sz="4" w:space="0"/>
                    <w:right w:val="single" w:color="auto" w:sz="4" w:space="0"/>
                  </w:tcBorders>
                  <w:vAlign w:val="center"/>
                </w:tcPr>
                <w:p w14:paraId="0FFE6004">
                  <w:pPr>
                    <w:adjustRightInd w:val="0"/>
                    <w:snapToGrid w:val="0"/>
                    <w:jc w:val="center"/>
                    <w:rPr>
                      <w:snapToGrid w:val="0"/>
                      <w:color w:val="auto"/>
                      <w:sz w:val="18"/>
                      <w:szCs w:val="18"/>
                    </w:rPr>
                  </w:pPr>
                  <w:r>
                    <w:rPr>
                      <w:snapToGrid w:val="0"/>
                      <w:color w:val="auto"/>
                      <w:sz w:val="18"/>
                      <w:szCs w:val="18"/>
                    </w:rPr>
                    <w:t>D</w:t>
                  </w:r>
                </w:p>
              </w:tc>
              <w:tc>
                <w:tcPr>
                  <w:tcW w:w="559" w:type="pct"/>
                  <w:tcBorders>
                    <w:top w:val="single" w:color="auto" w:sz="4" w:space="0"/>
                    <w:left w:val="single" w:color="auto" w:sz="4" w:space="0"/>
                    <w:bottom w:val="single" w:color="auto" w:sz="4" w:space="0"/>
                    <w:right w:val="single" w:color="auto" w:sz="4" w:space="0"/>
                  </w:tcBorders>
                  <w:vAlign w:val="center"/>
                </w:tcPr>
                <w:p w14:paraId="3B94B9DE">
                  <w:pPr>
                    <w:adjustRightInd w:val="0"/>
                    <w:snapToGrid w:val="0"/>
                    <w:jc w:val="center"/>
                    <w:rPr>
                      <w:snapToGrid w:val="0"/>
                      <w:color w:val="auto"/>
                      <w:sz w:val="18"/>
                      <w:szCs w:val="18"/>
                    </w:rPr>
                  </w:pPr>
                  <w:r>
                    <w:rPr>
                      <w:snapToGrid w:val="0"/>
                      <w:color w:val="auto"/>
                      <w:sz w:val="18"/>
                      <w:szCs w:val="18"/>
                    </w:rPr>
                    <w:t>&lt;2</w:t>
                  </w:r>
                </w:p>
              </w:tc>
              <w:tc>
                <w:tcPr>
                  <w:tcW w:w="1304" w:type="pct"/>
                  <w:gridSpan w:val="3"/>
                  <w:tcBorders>
                    <w:top w:val="single" w:color="auto" w:sz="4" w:space="0"/>
                    <w:left w:val="single" w:color="auto" w:sz="4" w:space="0"/>
                    <w:bottom w:val="single" w:color="auto" w:sz="4" w:space="0"/>
                    <w:right w:val="single" w:color="auto" w:sz="4" w:space="0"/>
                  </w:tcBorders>
                  <w:vAlign w:val="center"/>
                </w:tcPr>
                <w:p w14:paraId="12A974AF">
                  <w:pPr>
                    <w:adjustRightInd w:val="0"/>
                    <w:snapToGrid w:val="0"/>
                    <w:jc w:val="center"/>
                    <w:rPr>
                      <w:snapToGrid w:val="0"/>
                      <w:color w:val="auto"/>
                      <w:sz w:val="18"/>
                      <w:szCs w:val="18"/>
                    </w:rPr>
                  </w:pPr>
                  <w:r>
                    <w:rPr>
                      <w:snapToGrid w:val="0"/>
                      <w:color w:val="auto"/>
                      <w:sz w:val="18"/>
                      <w:szCs w:val="18"/>
                    </w:rPr>
                    <w:t>0.78</w:t>
                  </w:r>
                </w:p>
              </w:tc>
              <w:tc>
                <w:tcPr>
                  <w:tcW w:w="1303" w:type="pct"/>
                  <w:gridSpan w:val="3"/>
                  <w:tcBorders>
                    <w:top w:val="single" w:color="auto" w:sz="4" w:space="0"/>
                    <w:left w:val="single" w:color="auto" w:sz="4" w:space="0"/>
                    <w:bottom w:val="single" w:color="auto" w:sz="4" w:space="0"/>
                    <w:right w:val="single" w:color="auto" w:sz="4" w:space="0"/>
                  </w:tcBorders>
                  <w:vAlign w:val="center"/>
                </w:tcPr>
                <w:p w14:paraId="06347F16">
                  <w:pPr>
                    <w:adjustRightInd w:val="0"/>
                    <w:snapToGrid w:val="0"/>
                    <w:jc w:val="center"/>
                    <w:rPr>
                      <w:snapToGrid w:val="0"/>
                      <w:color w:val="auto"/>
                      <w:sz w:val="18"/>
                      <w:szCs w:val="18"/>
                    </w:rPr>
                  </w:pPr>
                  <w:r>
                    <w:rPr>
                      <w:snapToGrid w:val="0"/>
                      <w:color w:val="auto"/>
                      <w:sz w:val="18"/>
                      <w:szCs w:val="18"/>
                    </w:rPr>
                    <w:t>0.78</w:t>
                  </w:r>
                </w:p>
              </w:tc>
              <w:tc>
                <w:tcPr>
                  <w:tcW w:w="1287" w:type="pct"/>
                  <w:gridSpan w:val="3"/>
                  <w:tcBorders>
                    <w:top w:val="single" w:color="auto" w:sz="4" w:space="0"/>
                    <w:left w:val="single" w:color="auto" w:sz="4" w:space="0"/>
                    <w:bottom w:val="single" w:color="auto" w:sz="4" w:space="0"/>
                    <w:right w:val="nil"/>
                  </w:tcBorders>
                  <w:vAlign w:val="center"/>
                </w:tcPr>
                <w:p w14:paraId="5EA11A6F">
                  <w:pPr>
                    <w:adjustRightInd w:val="0"/>
                    <w:snapToGrid w:val="0"/>
                    <w:jc w:val="center"/>
                    <w:rPr>
                      <w:snapToGrid w:val="0"/>
                      <w:color w:val="auto"/>
                      <w:sz w:val="18"/>
                      <w:szCs w:val="18"/>
                    </w:rPr>
                  </w:pPr>
                  <w:r>
                    <w:rPr>
                      <w:snapToGrid w:val="0"/>
                      <w:color w:val="auto"/>
                      <w:sz w:val="18"/>
                      <w:szCs w:val="18"/>
                    </w:rPr>
                    <w:t>0.57</w:t>
                  </w:r>
                </w:p>
              </w:tc>
            </w:tr>
            <w:tr w14:paraId="6A637C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00" w:type="dxa"/>
                  <w:vMerge w:val="continue"/>
                  <w:tcBorders>
                    <w:top w:val="single" w:color="auto" w:sz="4" w:space="0"/>
                    <w:left w:val="nil"/>
                    <w:bottom w:val="single" w:color="auto" w:sz="4" w:space="0"/>
                    <w:right w:val="single" w:color="auto" w:sz="4" w:space="0"/>
                  </w:tcBorders>
                  <w:vAlign w:val="center"/>
                </w:tcPr>
                <w:p w14:paraId="2646EB38">
                  <w:pPr>
                    <w:widowControl/>
                    <w:jc w:val="left"/>
                    <w:rPr>
                      <w:snapToGrid w:val="0"/>
                      <w:color w:val="auto"/>
                      <w:sz w:val="18"/>
                      <w:szCs w:val="18"/>
                    </w:rPr>
                  </w:pPr>
                </w:p>
              </w:tc>
              <w:tc>
                <w:tcPr>
                  <w:tcW w:w="559" w:type="pct"/>
                  <w:tcBorders>
                    <w:top w:val="single" w:color="auto" w:sz="4" w:space="0"/>
                    <w:left w:val="single" w:color="auto" w:sz="4" w:space="0"/>
                    <w:bottom w:val="single" w:color="auto" w:sz="4" w:space="0"/>
                    <w:right w:val="single" w:color="auto" w:sz="4" w:space="0"/>
                  </w:tcBorders>
                  <w:vAlign w:val="center"/>
                </w:tcPr>
                <w:p w14:paraId="5E8A60B8">
                  <w:pPr>
                    <w:adjustRightInd w:val="0"/>
                    <w:snapToGrid w:val="0"/>
                    <w:jc w:val="center"/>
                    <w:rPr>
                      <w:snapToGrid w:val="0"/>
                      <w:color w:val="auto"/>
                      <w:sz w:val="18"/>
                      <w:szCs w:val="18"/>
                    </w:rPr>
                  </w:pPr>
                  <w:r>
                    <w:rPr>
                      <w:snapToGrid w:val="0"/>
                      <w:color w:val="auto"/>
                      <w:sz w:val="18"/>
                      <w:szCs w:val="18"/>
                    </w:rPr>
                    <w:t>&gt;2</w:t>
                  </w:r>
                </w:p>
              </w:tc>
              <w:tc>
                <w:tcPr>
                  <w:tcW w:w="1304" w:type="pct"/>
                  <w:gridSpan w:val="3"/>
                  <w:tcBorders>
                    <w:top w:val="single" w:color="auto" w:sz="4" w:space="0"/>
                    <w:left w:val="single" w:color="auto" w:sz="4" w:space="0"/>
                    <w:bottom w:val="single" w:color="auto" w:sz="4" w:space="0"/>
                    <w:right w:val="single" w:color="auto" w:sz="4" w:space="0"/>
                  </w:tcBorders>
                  <w:vAlign w:val="center"/>
                </w:tcPr>
                <w:p w14:paraId="006140FE">
                  <w:pPr>
                    <w:adjustRightInd w:val="0"/>
                    <w:snapToGrid w:val="0"/>
                    <w:jc w:val="center"/>
                    <w:rPr>
                      <w:snapToGrid w:val="0"/>
                      <w:color w:val="auto"/>
                      <w:sz w:val="18"/>
                      <w:szCs w:val="18"/>
                    </w:rPr>
                  </w:pPr>
                  <w:r>
                    <w:rPr>
                      <w:snapToGrid w:val="0"/>
                      <w:color w:val="auto"/>
                      <w:sz w:val="18"/>
                      <w:szCs w:val="18"/>
                    </w:rPr>
                    <w:t>0.84*</w:t>
                  </w:r>
                </w:p>
              </w:tc>
              <w:tc>
                <w:tcPr>
                  <w:tcW w:w="1303" w:type="pct"/>
                  <w:gridSpan w:val="3"/>
                  <w:tcBorders>
                    <w:top w:val="single" w:color="auto" w:sz="4" w:space="0"/>
                    <w:left w:val="single" w:color="auto" w:sz="4" w:space="0"/>
                    <w:bottom w:val="single" w:color="auto" w:sz="4" w:space="0"/>
                    <w:right w:val="single" w:color="auto" w:sz="4" w:space="0"/>
                  </w:tcBorders>
                  <w:vAlign w:val="center"/>
                </w:tcPr>
                <w:p w14:paraId="3123D077">
                  <w:pPr>
                    <w:adjustRightInd w:val="0"/>
                    <w:snapToGrid w:val="0"/>
                    <w:jc w:val="center"/>
                    <w:rPr>
                      <w:snapToGrid w:val="0"/>
                      <w:color w:val="auto"/>
                      <w:sz w:val="18"/>
                      <w:szCs w:val="18"/>
                    </w:rPr>
                  </w:pPr>
                  <w:r>
                    <w:rPr>
                      <w:snapToGrid w:val="0"/>
                      <w:color w:val="auto"/>
                      <w:sz w:val="18"/>
                      <w:szCs w:val="18"/>
                    </w:rPr>
                    <w:t>0.84</w:t>
                  </w:r>
                </w:p>
              </w:tc>
              <w:tc>
                <w:tcPr>
                  <w:tcW w:w="1287" w:type="pct"/>
                  <w:gridSpan w:val="3"/>
                  <w:tcBorders>
                    <w:top w:val="single" w:color="auto" w:sz="4" w:space="0"/>
                    <w:left w:val="single" w:color="auto" w:sz="4" w:space="0"/>
                    <w:bottom w:val="single" w:color="auto" w:sz="4" w:space="0"/>
                    <w:right w:val="nil"/>
                  </w:tcBorders>
                  <w:vAlign w:val="center"/>
                </w:tcPr>
                <w:p w14:paraId="621AB93C">
                  <w:pPr>
                    <w:adjustRightInd w:val="0"/>
                    <w:snapToGrid w:val="0"/>
                    <w:jc w:val="center"/>
                    <w:rPr>
                      <w:snapToGrid w:val="0"/>
                      <w:color w:val="auto"/>
                      <w:sz w:val="18"/>
                      <w:szCs w:val="18"/>
                    </w:rPr>
                  </w:pPr>
                  <w:r>
                    <w:rPr>
                      <w:snapToGrid w:val="0"/>
                      <w:color w:val="auto"/>
                      <w:sz w:val="18"/>
                      <w:szCs w:val="18"/>
                    </w:rPr>
                    <w:t>0.76</w:t>
                  </w:r>
                </w:p>
              </w:tc>
            </w:tr>
            <w:tr w14:paraId="06A61E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00" w:type="pct"/>
                  <w:gridSpan w:val="11"/>
                  <w:tcBorders>
                    <w:top w:val="single" w:color="auto" w:sz="4" w:space="0"/>
                    <w:left w:val="nil"/>
                    <w:bottom w:val="single" w:color="auto" w:sz="12" w:space="0"/>
                    <w:right w:val="nil"/>
                  </w:tcBorders>
                  <w:vAlign w:val="center"/>
                </w:tcPr>
                <w:p w14:paraId="209DE32C">
                  <w:pPr>
                    <w:adjustRightInd w:val="0"/>
                    <w:snapToGrid w:val="0"/>
                    <w:jc w:val="left"/>
                    <w:rPr>
                      <w:snapToGrid w:val="0"/>
                      <w:color w:val="auto"/>
                      <w:sz w:val="18"/>
                      <w:szCs w:val="18"/>
                    </w:rPr>
                  </w:pPr>
                  <w:r>
                    <w:rPr>
                      <w:rFonts w:hint="eastAsia"/>
                      <w:snapToGrid w:val="0"/>
                      <w:color w:val="auto"/>
                      <w:sz w:val="18"/>
                      <w:szCs w:val="18"/>
                    </w:rPr>
                    <w:t>注：Ⅰ类：与无组织排放源共存的排放同种有害气体的排气筒的排放量，大于或等于标准规定的允许排放量的</w:t>
                  </w:r>
                  <w:r>
                    <w:rPr>
                      <w:snapToGrid w:val="0"/>
                      <w:color w:val="auto"/>
                      <w:sz w:val="18"/>
                      <w:szCs w:val="18"/>
                    </w:rPr>
                    <w:t>1/3</w:t>
                  </w:r>
                  <w:r>
                    <w:rPr>
                      <w:rFonts w:hint="eastAsia"/>
                      <w:snapToGrid w:val="0"/>
                      <w:color w:val="auto"/>
                      <w:sz w:val="18"/>
                      <w:szCs w:val="18"/>
                    </w:rPr>
                    <w:t>者。</w:t>
                  </w:r>
                </w:p>
                <w:p w14:paraId="62A3CEA0">
                  <w:pPr>
                    <w:adjustRightInd w:val="0"/>
                    <w:snapToGrid w:val="0"/>
                    <w:ind w:firstLine="360" w:firstLineChars="200"/>
                    <w:jc w:val="left"/>
                    <w:rPr>
                      <w:snapToGrid w:val="0"/>
                      <w:color w:val="auto"/>
                      <w:sz w:val="18"/>
                      <w:szCs w:val="18"/>
                    </w:rPr>
                  </w:pPr>
                  <w:r>
                    <w:rPr>
                      <w:rFonts w:hint="eastAsia"/>
                      <w:snapToGrid w:val="0"/>
                      <w:color w:val="auto"/>
                      <w:sz w:val="18"/>
                      <w:szCs w:val="18"/>
                    </w:rPr>
                    <w:t>Ⅱ类：与无组织排放源共存的排放同种有害气体的排气筒的排放量，小于标准规定的允许排放量的</w:t>
                  </w:r>
                  <w:r>
                    <w:rPr>
                      <w:snapToGrid w:val="0"/>
                      <w:color w:val="auto"/>
                      <w:sz w:val="18"/>
                      <w:szCs w:val="18"/>
                    </w:rPr>
                    <w:t>1/3</w:t>
                  </w:r>
                  <w:r>
                    <w:rPr>
                      <w:rFonts w:hint="eastAsia"/>
                      <w:snapToGrid w:val="0"/>
                      <w:color w:val="auto"/>
                      <w:sz w:val="18"/>
                      <w:szCs w:val="18"/>
                    </w:rPr>
                    <w:t>，或虽无排放同种大气污染物之排气筒共存，但无组织排放的有害物质的容许浓度指标是按急性反应指标确定者。</w:t>
                  </w:r>
                </w:p>
                <w:p w14:paraId="0A0B5570">
                  <w:pPr>
                    <w:adjustRightInd w:val="0"/>
                    <w:snapToGrid w:val="0"/>
                    <w:ind w:firstLine="360" w:firstLineChars="200"/>
                    <w:jc w:val="left"/>
                    <w:rPr>
                      <w:snapToGrid w:val="0"/>
                      <w:color w:val="auto"/>
                      <w:sz w:val="18"/>
                      <w:szCs w:val="18"/>
                    </w:rPr>
                  </w:pPr>
                  <w:r>
                    <w:rPr>
                      <w:rFonts w:hint="eastAsia"/>
                      <w:snapToGrid w:val="0"/>
                      <w:color w:val="auto"/>
                      <w:sz w:val="18"/>
                      <w:szCs w:val="18"/>
                    </w:rPr>
                    <w:t>Ⅲ类：无排放同种有害物质的排气筒与无组织排放源共存，但无组织排放的有害物质的容许排放是按慢性反应指标确定者。</w:t>
                  </w:r>
                </w:p>
              </w:tc>
            </w:tr>
          </w:tbl>
          <w:p w14:paraId="7F1C29A3">
            <w:pPr>
              <w:adjustRightInd w:val="0"/>
              <w:snapToGrid w:val="0"/>
              <w:rPr>
                <w:snapToGrid w:val="0"/>
                <w:color w:val="auto"/>
                <w:szCs w:val="21"/>
              </w:rPr>
            </w:pPr>
            <w:r>
              <w:rPr>
                <w:rFonts w:hint="eastAsia"/>
                <w:snapToGrid w:val="0"/>
                <w:color w:val="auto"/>
                <w:szCs w:val="21"/>
              </w:rPr>
              <w:t>注：</w:t>
            </w:r>
            <w:r>
              <w:rPr>
                <w:snapToGrid w:val="0"/>
                <w:color w:val="auto"/>
                <w:szCs w:val="21"/>
              </w:rPr>
              <w:t>*</w:t>
            </w:r>
            <w:r>
              <w:rPr>
                <w:rFonts w:hint="eastAsia"/>
                <w:snapToGrid w:val="0"/>
                <w:color w:val="auto"/>
                <w:szCs w:val="21"/>
              </w:rPr>
              <w:t>表示项目取值。</w:t>
            </w:r>
          </w:p>
          <w:p w14:paraId="40A7A312">
            <w:pPr>
              <w:adjustRightInd w:val="0"/>
              <w:snapToGrid w:val="0"/>
              <w:spacing w:beforeLines="50" w:line="312" w:lineRule="auto"/>
              <w:ind w:firstLine="480" w:firstLineChars="200"/>
              <w:rPr>
                <w:color w:val="auto"/>
                <w:sz w:val="24"/>
              </w:rPr>
            </w:pPr>
            <w:r>
              <w:rPr>
                <w:rFonts w:hint="eastAsia"/>
                <w:snapToGrid w:val="0"/>
                <w:color w:val="auto"/>
                <w:sz w:val="24"/>
              </w:rPr>
              <w:t>车间</w:t>
            </w:r>
            <w:r>
              <w:rPr>
                <w:rFonts w:hint="eastAsia"/>
                <w:color w:val="auto"/>
                <w:sz w:val="24"/>
              </w:rPr>
              <w:t>卫生防护距离计算结果详见表</w:t>
            </w:r>
            <w:r>
              <w:rPr>
                <w:rFonts w:hint="eastAsia"/>
                <w:color w:val="auto"/>
                <w:sz w:val="24"/>
                <w:lang w:val="en-US" w:eastAsia="zh-CN"/>
              </w:rPr>
              <w:t>4-5</w:t>
            </w:r>
            <w:r>
              <w:rPr>
                <w:rFonts w:hint="eastAsia"/>
                <w:color w:val="auto"/>
                <w:sz w:val="24"/>
              </w:rPr>
              <w:t>。</w:t>
            </w:r>
          </w:p>
          <w:p w14:paraId="386B5978">
            <w:pPr>
              <w:adjustRightInd w:val="0"/>
              <w:snapToGrid w:val="0"/>
              <w:jc w:val="center"/>
              <w:rPr>
                <w:b/>
                <w:bCs/>
                <w:color w:val="auto"/>
                <w:sz w:val="24"/>
              </w:rPr>
            </w:pPr>
            <w:r>
              <w:rPr>
                <w:rFonts w:hint="eastAsia"/>
                <w:b/>
                <w:bCs/>
                <w:color w:val="auto"/>
                <w:sz w:val="24"/>
              </w:rPr>
              <w:t>表</w:t>
            </w:r>
            <w:r>
              <w:rPr>
                <w:rFonts w:hint="eastAsia"/>
                <w:b/>
                <w:bCs/>
                <w:color w:val="auto"/>
                <w:sz w:val="24"/>
                <w:lang w:val="en-US" w:eastAsia="zh-CN"/>
              </w:rPr>
              <w:t>4-5</w:t>
            </w:r>
            <w:r>
              <w:rPr>
                <w:rFonts w:hint="eastAsia"/>
                <w:b/>
                <w:bCs/>
                <w:color w:val="auto"/>
                <w:sz w:val="24"/>
              </w:rPr>
              <w:t xml:space="preserve">  卫生防护距离计算结果</w:t>
            </w:r>
          </w:p>
          <w:tbl>
            <w:tblPr>
              <w:tblStyle w:val="3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911"/>
              <w:gridCol w:w="884"/>
              <w:gridCol w:w="1544"/>
              <w:gridCol w:w="1392"/>
              <w:gridCol w:w="1174"/>
              <w:gridCol w:w="1581"/>
              <w:gridCol w:w="1042"/>
            </w:tblGrid>
            <w:tr w14:paraId="49A4DD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40" w:hRule="atLeast"/>
              </w:trPr>
              <w:tc>
                <w:tcPr>
                  <w:tcW w:w="1052" w:type="pct"/>
                  <w:gridSpan w:val="2"/>
                  <w:vMerge w:val="restart"/>
                  <w:vAlign w:val="center"/>
                </w:tcPr>
                <w:p w14:paraId="77939B4E">
                  <w:pPr>
                    <w:adjustRightInd w:val="0"/>
                    <w:snapToGrid w:val="0"/>
                    <w:jc w:val="center"/>
                    <w:rPr>
                      <w:b/>
                      <w:bCs/>
                      <w:color w:val="auto"/>
                      <w:sz w:val="18"/>
                      <w:szCs w:val="18"/>
                    </w:rPr>
                  </w:pPr>
                  <w:r>
                    <w:rPr>
                      <w:b/>
                      <w:bCs/>
                      <w:color w:val="auto"/>
                      <w:sz w:val="18"/>
                      <w:szCs w:val="18"/>
                    </w:rPr>
                    <w:t>污染物</w:t>
                  </w:r>
                </w:p>
              </w:tc>
              <w:tc>
                <w:tcPr>
                  <w:tcW w:w="905" w:type="pct"/>
                  <w:vMerge w:val="restart"/>
                  <w:vAlign w:val="center"/>
                </w:tcPr>
                <w:p w14:paraId="7C9F6BD0">
                  <w:pPr>
                    <w:adjustRightInd w:val="0"/>
                    <w:snapToGrid w:val="0"/>
                    <w:jc w:val="center"/>
                    <w:rPr>
                      <w:b/>
                      <w:bCs/>
                      <w:color w:val="auto"/>
                      <w:sz w:val="18"/>
                      <w:szCs w:val="18"/>
                    </w:rPr>
                  </w:pPr>
                  <w:r>
                    <w:rPr>
                      <w:b/>
                      <w:bCs/>
                      <w:color w:val="auto"/>
                      <w:sz w:val="18"/>
                      <w:szCs w:val="18"/>
                    </w:rPr>
                    <w:t>源强Q</w:t>
                  </w:r>
                  <w:r>
                    <w:rPr>
                      <w:b/>
                      <w:bCs/>
                      <w:color w:val="auto"/>
                      <w:sz w:val="18"/>
                      <w:szCs w:val="18"/>
                      <w:vertAlign w:val="subscript"/>
                    </w:rPr>
                    <w:t>c</w:t>
                  </w:r>
                  <w:r>
                    <w:rPr>
                      <w:b/>
                      <w:bCs/>
                      <w:color w:val="auto"/>
                      <w:sz w:val="18"/>
                      <w:szCs w:val="18"/>
                    </w:rPr>
                    <w:t>（kg/h）</w:t>
                  </w:r>
                </w:p>
              </w:tc>
              <w:tc>
                <w:tcPr>
                  <w:tcW w:w="816" w:type="pct"/>
                  <w:vMerge w:val="restart"/>
                  <w:vAlign w:val="center"/>
                </w:tcPr>
                <w:p w14:paraId="7F70576C">
                  <w:pPr>
                    <w:adjustRightInd w:val="0"/>
                    <w:snapToGrid w:val="0"/>
                    <w:jc w:val="center"/>
                    <w:rPr>
                      <w:b/>
                      <w:bCs/>
                      <w:color w:val="auto"/>
                      <w:sz w:val="18"/>
                      <w:szCs w:val="18"/>
                    </w:rPr>
                  </w:pPr>
                  <w:r>
                    <w:rPr>
                      <w:b/>
                      <w:bCs/>
                      <w:color w:val="auto"/>
                      <w:sz w:val="18"/>
                      <w:szCs w:val="18"/>
                    </w:rPr>
                    <w:t>排放源面积</w:t>
                  </w:r>
                </w:p>
                <w:p w14:paraId="6CDB3E19">
                  <w:pPr>
                    <w:adjustRightInd w:val="0"/>
                    <w:snapToGrid w:val="0"/>
                    <w:jc w:val="center"/>
                    <w:rPr>
                      <w:b/>
                      <w:bCs/>
                      <w:color w:val="auto"/>
                      <w:sz w:val="18"/>
                      <w:szCs w:val="18"/>
                    </w:rPr>
                  </w:pPr>
                  <w:r>
                    <w:rPr>
                      <w:b/>
                      <w:bCs/>
                      <w:color w:val="auto"/>
                      <w:sz w:val="18"/>
                      <w:szCs w:val="18"/>
                    </w:rPr>
                    <w:t>（m</w:t>
                  </w:r>
                  <w:r>
                    <w:rPr>
                      <w:b/>
                      <w:bCs/>
                      <w:color w:val="auto"/>
                      <w:sz w:val="18"/>
                      <w:szCs w:val="18"/>
                      <w:vertAlign w:val="superscript"/>
                    </w:rPr>
                    <w:t>2</w:t>
                  </w:r>
                  <w:r>
                    <w:rPr>
                      <w:b/>
                      <w:bCs/>
                      <w:color w:val="auto"/>
                      <w:sz w:val="18"/>
                      <w:szCs w:val="18"/>
                    </w:rPr>
                    <w:t>）</w:t>
                  </w:r>
                </w:p>
              </w:tc>
              <w:tc>
                <w:tcPr>
                  <w:tcW w:w="688" w:type="pct"/>
                  <w:vMerge w:val="restart"/>
                  <w:vAlign w:val="center"/>
                </w:tcPr>
                <w:p w14:paraId="4CBD387B">
                  <w:pPr>
                    <w:adjustRightInd w:val="0"/>
                    <w:snapToGrid w:val="0"/>
                    <w:jc w:val="center"/>
                    <w:rPr>
                      <w:b/>
                      <w:bCs/>
                      <w:color w:val="auto"/>
                      <w:sz w:val="18"/>
                      <w:szCs w:val="18"/>
                    </w:rPr>
                  </w:pPr>
                  <w:r>
                    <w:rPr>
                      <w:b/>
                      <w:bCs/>
                      <w:color w:val="auto"/>
                      <w:sz w:val="18"/>
                      <w:szCs w:val="18"/>
                    </w:rPr>
                    <w:t>标准限值C</w:t>
                  </w:r>
                  <w:r>
                    <w:rPr>
                      <w:b/>
                      <w:bCs/>
                      <w:color w:val="auto"/>
                      <w:sz w:val="18"/>
                      <w:szCs w:val="18"/>
                      <w:vertAlign w:val="subscript"/>
                    </w:rPr>
                    <w:t>m</w:t>
                  </w:r>
                </w:p>
                <w:p w14:paraId="4998F103">
                  <w:pPr>
                    <w:adjustRightInd w:val="0"/>
                    <w:snapToGrid w:val="0"/>
                    <w:jc w:val="center"/>
                    <w:rPr>
                      <w:b/>
                      <w:bCs/>
                      <w:color w:val="auto"/>
                      <w:sz w:val="18"/>
                      <w:szCs w:val="18"/>
                    </w:rPr>
                  </w:pPr>
                  <w:r>
                    <w:rPr>
                      <w:b/>
                      <w:bCs/>
                      <w:color w:val="auto"/>
                      <w:sz w:val="18"/>
                      <w:szCs w:val="18"/>
                    </w:rPr>
                    <w:t>（mg/Nm</w:t>
                  </w:r>
                  <w:r>
                    <w:rPr>
                      <w:b/>
                      <w:bCs/>
                      <w:color w:val="auto"/>
                      <w:sz w:val="18"/>
                      <w:szCs w:val="18"/>
                      <w:vertAlign w:val="superscript"/>
                    </w:rPr>
                    <w:t>3</w:t>
                  </w:r>
                  <w:r>
                    <w:rPr>
                      <w:b/>
                      <w:bCs/>
                      <w:color w:val="auto"/>
                      <w:sz w:val="18"/>
                      <w:szCs w:val="18"/>
                    </w:rPr>
                    <w:t>）</w:t>
                  </w:r>
                </w:p>
              </w:tc>
              <w:tc>
                <w:tcPr>
                  <w:tcW w:w="1538" w:type="pct"/>
                  <w:gridSpan w:val="2"/>
                  <w:vAlign w:val="center"/>
                </w:tcPr>
                <w:p w14:paraId="7D2FB3E7">
                  <w:pPr>
                    <w:adjustRightInd w:val="0"/>
                    <w:snapToGrid w:val="0"/>
                    <w:jc w:val="center"/>
                    <w:rPr>
                      <w:b/>
                      <w:bCs/>
                      <w:color w:val="auto"/>
                      <w:sz w:val="18"/>
                      <w:szCs w:val="18"/>
                    </w:rPr>
                  </w:pPr>
                  <w:r>
                    <w:rPr>
                      <w:b/>
                      <w:bCs/>
                      <w:color w:val="auto"/>
                      <w:sz w:val="18"/>
                      <w:szCs w:val="18"/>
                    </w:rPr>
                    <w:t>卫生防护距离L（m）</w:t>
                  </w:r>
                </w:p>
              </w:tc>
            </w:tr>
            <w:tr w14:paraId="6ADB5E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65" w:hRule="atLeast"/>
              </w:trPr>
              <w:tc>
                <w:tcPr>
                  <w:tcW w:w="1052" w:type="pct"/>
                  <w:gridSpan w:val="2"/>
                  <w:vMerge w:val="continue"/>
                  <w:vAlign w:val="center"/>
                </w:tcPr>
                <w:p w14:paraId="1596B9E4">
                  <w:pPr>
                    <w:adjustRightInd w:val="0"/>
                    <w:snapToGrid w:val="0"/>
                    <w:jc w:val="center"/>
                    <w:rPr>
                      <w:b/>
                      <w:bCs/>
                      <w:color w:val="auto"/>
                      <w:sz w:val="18"/>
                      <w:szCs w:val="18"/>
                    </w:rPr>
                  </w:pPr>
                </w:p>
              </w:tc>
              <w:tc>
                <w:tcPr>
                  <w:tcW w:w="905" w:type="pct"/>
                  <w:vMerge w:val="continue"/>
                  <w:vAlign w:val="center"/>
                </w:tcPr>
                <w:p w14:paraId="4814AB36">
                  <w:pPr>
                    <w:adjustRightInd w:val="0"/>
                    <w:snapToGrid w:val="0"/>
                    <w:jc w:val="center"/>
                    <w:rPr>
                      <w:b/>
                      <w:bCs/>
                      <w:color w:val="auto"/>
                      <w:sz w:val="18"/>
                      <w:szCs w:val="18"/>
                    </w:rPr>
                  </w:pPr>
                </w:p>
              </w:tc>
              <w:tc>
                <w:tcPr>
                  <w:tcW w:w="816" w:type="pct"/>
                  <w:vMerge w:val="continue"/>
                  <w:vAlign w:val="center"/>
                </w:tcPr>
                <w:p w14:paraId="0A89FE42">
                  <w:pPr>
                    <w:adjustRightInd w:val="0"/>
                    <w:snapToGrid w:val="0"/>
                    <w:jc w:val="center"/>
                    <w:rPr>
                      <w:b/>
                      <w:bCs/>
                      <w:color w:val="auto"/>
                      <w:sz w:val="18"/>
                      <w:szCs w:val="18"/>
                    </w:rPr>
                  </w:pPr>
                </w:p>
              </w:tc>
              <w:tc>
                <w:tcPr>
                  <w:tcW w:w="688" w:type="pct"/>
                  <w:vMerge w:val="continue"/>
                  <w:vAlign w:val="center"/>
                </w:tcPr>
                <w:p w14:paraId="047997E3">
                  <w:pPr>
                    <w:adjustRightInd w:val="0"/>
                    <w:snapToGrid w:val="0"/>
                    <w:jc w:val="center"/>
                    <w:rPr>
                      <w:b/>
                      <w:bCs/>
                      <w:color w:val="auto"/>
                      <w:sz w:val="18"/>
                      <w:szCs w:val="18"/>
                    </w:rPr>
                  </w:pPr>
                </w:p>
              </w:tc>
              <w:tc>
                <w:tcPr>
                  <w:tcW w:w="927" w:type="pct"/>
                  <w:vAlign w:val="center"/>
                </w:tcPr>
                <w:p w14:paraId="39FCB022">
                  <w:pPr>
                    <w:adjustRightInd w:val="0"/>
                    <w:snapToGrid w:val="0"/>
                    <w:jc w:val="center"/>
                    <w:rPr>
                      <w:b/>
                      <w:bCs/>
                      <w:color w:val="auto"/>
                      <w:sz w:val="18"/>
                      <w:szCs w:val="18"/>
                    </w:rPr>
                  </w:pPr>
                  <w:r>
                    <w:rPr>
                      <w:b/>
                      <w:bCs/>
                      <w:color w:val="auto"/>
                      <w:sz w:val="18"/>
                      <w:szCs w:val="18"/>
                    </w:rPr>
                    <w:t>计算值</w:t>
                  </w:r>
                </w:p>
              </w:tc>
              <w:tc>
                <w:tcPr>
                  <w:tcW w:w="610" w:type="pct"/>
                  <w:vAlign w:val="center"/>
                </w:tcPr>
                <w:p w14:paraId="2FDD168D">
                  <w:pPr>
                    <w:adjustRightInd w:val="0"/>
                    <w:snapToGrid w:val="0"/>
                    <w:jc w:val="center"/>
                    <w:rPr>
                      <w:b/>
                      <w:bCs/>
                      <w:color w:val="auto"/>
                      <w:sz w:val="18"/>
                      <w:szCs w:val="18"/>
                    </w:rPr>
                  </w:pPr>
                  <w:r>
                    <w:rPr>
                      <w:b/>
                      <w:bCs/>
                      <w:color w:val="auto"/>
                      <w:sz w:val="18"/>
                      <w:szCs w:val="18"/>
                    </w:rPr>
                    <w:t>取值</w:t>
                  </w:r>
                </w:p>
              </w:tc>
            </w:tr>
            <w:tr w14:paraId="1320CD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534" w:type="pct"/>
                  <w:vAlign w:val="center"/>
                </w:tcPr>
                <w:p w14:paraId="19A46670">
                  <w:pPr>
                    <w:adjustRightInd w:val="0"/>
                    <w:snapToGrid w:val="0"/>
                    <w:jc w:val="center"/>
                    <w:rPr>
                      <w:rFonts w:hint="eastAsia" w:eastAsia="宋体"/>
                      <w:color w:val="auto"/>
                      <w:sz w:val="18"/>
                      <w:szCs w:val="18"/>
                      <w:lang w:eastAsia="zh-CN"/>
                    </w:rPr>
                  </w:pPr>
                  <w:r>
                    <w:rPr>
                      <w:rFonts w:hint="eastAsia"/>
                      <w:bCs/>
                      <w:color w:val="auto"/>
                      <w:sz w:val="18"/>
                      <w:szCs w:val="18"/>
                      <w:lang w:eastAsia="zh-CN"/>
                    </w:rPr>
                    <w:t>生产车间</w:t>
                  </w:r>
                </w:p>
              </w:tc>
              <w:tc>
                <w:tcPr>
                  <w:tcW w:w="517" w:type="pct"/>
                  <w:vAlign w:val="center"/>
                </w:tcPr>
                <w:p w14:paraId="1D3D8952">
                  <w:pPr>
                    <w:jc w:val="center"/>
                    <w:rPr>
                      <w:rFonts w:hint="eastAsia" w:eastAsia="宋体"/>
                      <w:color w:val="auto"/>
                      <w:sz w:val="18"/>
                      <w:szCs w:val="18"/>
                      <w:lang w:val="en-US" w:eastAsia="zh-CN"/>
                    </w:rPr>
                  </w:pPr>
                  <w:r>
                    <w:rPr>
                      <w:rFonts w:hint="eastAsia" w:ascii="Times New Roman" w:hAnsi="Times New Roman" w:eastAsia="宋体" w:cs="Times New Roman"/>
                      <w:color w:val="auto"/>
                      <w:kern w:val="0"/>
                      <w:sz w:val="18"/>
                      <w:szCs w:val="18"/>
                      <w:lang w:eastAsia="zh-CN"/>
                    </w:rPr>
                    <w:t>非甲烷总烃</w:t>
                  </w:r>
                </w:p>
              </w:tc>
              <w:tc>
                <w:tcPr>
                  <w:tcW w:w="905" w:type="pct"/>
                  <w:vAlign w:val="center"/>
                </w:tcPr>
                <w:p w14:paraId="55B0DDDA">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0.4</w:t>
                  </w:r>
                </w:p>
              </w:tc>
              <w:tc>
                <w:tcPr>
                  <w:tcW w:w="816" w:type="pct"/>
                  <w:vAlign w:val="center"/>
                </w:tcPr>
                <w:p w14:paraId="0D86FF15">
                  <w:pPr>
                    <w:adjustRightInd w:val="0"/>
                    <w:snapToGrid w:val="0"/>
                    <w:jc w:val="center"/>
                    <w:rPr>
                      <w:rFonts w:hint="default" w:eastAsia="宋体"/>
                      <w:bCs/>
                      <w:color w:val="auto"/>
                      <w:sz w:val="18"/>
                      <w:szCs w:val="18"/>
                      <w:lang w:val="en-US" w:eastAsia="zh-CN"/>
                    </w:rPr>
                  </w:pPr>
                  <w:r>
                    <w:rPr>
                      <w:rFonts w:hint="eastAsia"/>
                      <w:color w:val="auto"/>
                      <w:sz w:val="18"/>
                      <w:szCs w:val="18"/>
                      <w:lang w:val="en-US" w:eastAsia="zh-CN"/>
                    </w:rPr>
                    <w:t>3800</w:t>
                  </w:r>
                </w:p>
              </w:tc>
              <w:tc>
                <w:tcPr>
                  <w:tcW w:w="688" w:type="pct"/>
                  <w:vAlign w:val="center"/>
                </w:tcPr>
                <w:p w14:paraId="604A9957">
                  <w:pPr>
                    <w:adjustRightInd w:val="0"/>
                    <w:snapToGrid w:val="0"/>
                    <w:jc w:val="center"/>
                    <w:rPr>
                      <w:rFonts w:hint="default" w:eastAsia="宋体"/>
                      <w:bCs/>
                      <w:color w:val="auto"/>
                      <w:sz w:val="18"/>
                      <w:szCs w:val="18"/>
                      <w:lang w:val="en-US" w:eastAsia="zh-CN"/>
                    </w:rPr>
                  </w:pPr>
                  <w:r>
                    <w:rPr>
                      <w:rFonts w:hint="eastAsia"/>
                      <w:bCs/>
                      <w:color w:val="auto"/>
                      <w:sz w:val="18"/>
                      <w:szCs w:val="18"/>
                      <w:lang w:val="en-US" w:eastAsia="zh-CN"/>
                    </w:rPr>
                    <w:t>0.2</w:t>
                  </w:r>
                </w:p>
              </w:tc>
              <w:tc>
                <w:tcPr>
                  <w:tcW w:w="927" w:type="pct"/>
                  <w:vAlign w:val="center"/>
                </w:tcPr>
                <w:p w14:paraId="4B1F69E6">
                  <w:pPr>
                    <w:adjustRightInd w:val="0"/>
                    <w:snapToGrid w:val="0"/>
                    <w:jc w:val="center"/>
                    <w:rPr>
                      <w:rFonts w:hint="default" w:eastAsia="宋体"/>
                      <w:bCs/>
                      <w:color w:val="auto"/>
                      <w:sz w:val="18"/>
                      <w:szCs w:val="18"/>
                      <w:lang w:val="en-US" w:eastAsia="zh-CN"/>
                    </w:rPr>
                  </w:pPr>
                  <w:r>
                    <w:rPr>
                      <w:rFonts w:hint="eastAsia"/>
                      <w:bCs/>
                      <w:color w:val="auto"/>
                      <w:sz w:val="18"/>
                      <w:szCs w:val="18"/>
                      <w:lang w:val="en-US" w:eastAsia="zh-CN"/>
                    </w:rPr>
                    <w:t>71.176</w:t>
                  </w:r>
                </w:p>
              </w:tc>
              <w:tc>
                <w:tcPr>
                  <w:tcW w:w="610" w:type="pct"/>
                  <w:vAlign w:val="center"/>
                </w:tcPr>
                <w:p w14:paraId="234FCBB4">
                  <w:pPr>
                    <w:adjustRightInd w:val="0"/>
                    <w:snapToGrid w:val="0"/>
                    <w:jc w:val="center"/>
                    <w:rPr>
                      <w:rFonts w:hint="default" w:eastAsia="宋体"/>
                      <w:bCs/>
                      <w:color w:val="auto"/>
                      <w:sz w:val="18"/>
                      <w:szCs w:val="18"/>
                      <w:lang w:val="en-US" w:eastAsia="zh-CN"/>
                    </w:rPr>
                  </w:pPr>
                  <w:r>
                    <w:rPr>
                      <w:rFonts w:hint="eastAsia"/>
                      <w:bCs/>
                      <w:color w:val="auto"/>
                      <w:sz w:val="18"/>
                      <w:szCs w:val="18"/>
                      <w:lang w:val="en-US" w:eastAsia="zh-CN"/>
                    </w:rPr>
                    <w:t>100</w:t>
                  </w:r>
                </w:p>
              </w:tc>
            </w:tr>
          </w:tbl>
          <w:p w14:paraId="751175CA">
            <w:pPr>
              <w:adjustRightInd w:val="0"/>
              <w:snapToGrid w:val="0"/>
              <w:spacing w:beforeLines="50" w:line="360" w:lineRule="auto"/>
              <w:ind w:firstLine="480" w:firstLineChars="200"/>
              <w:rPr>
                <w:color w:val="auto"/>
                <w:kern w:val="0"/>
                <w:sz w:val="24"/>
                <w:szCs w:val="20"/>
              </w:rPr>
            </w:pPr>
            <w:r>
              <w:rPr>
                <w:rFonts w:hint="eastAsia"/>
                <w:color w:val="auto"/>
                <w:sz w:val="24"/>
              </w:rPr>
              <w:t>根据卫生防护距离的计算结果，</w:t>
            </w:r>
            <w:r>
              <w:rPr>
                <w:rFonts w:hint="eastAsia"/>
                <w:color w:val="auto"/>
                <w:sz w:val="24"/>
                <w:lang w:eastAsia="zh-CN"/>
              </w:rPr>
              <w:t>扩建后，不影响原卫生防护距离，</w:t>
            </w:r>
            <w:r>
              <w:rPr>
                <w:rFonts w:hint="eastAsia"/>
                <w:color w:val="auto"/>
                <w:sz w:val="24"/>
                <w:szCs w:val="21"/>
              </w:rPr>
              <w:t>污水处理站的边界外</w:t>
            </w:r>
            <w:r>
              <w:rPr>
                <w:color w:val="auto"/>
                <w:sz w:val="24"/>
                <w:szCs w:val="21"/>
              </w:rPr>
              <w:t>设置100m卫生防护距离，</w:t>
            </w:r>
            <w:r>
              <w:rPr>
                <w:rFonts w:hint="eastAsia"/>
                <w:color w:val="auto"/>
                <w:sz w:val="24"/>
                <w:szCs w:val="21"/>
              </w:rPr>
              <w:t>以食堂设置5</w:t>
            </w:r>
            <w:r>
              <w:rPr>
                <w:color w:val="auto"/>
                <w:sz w:val="24"/>
                <w:szCs w:val="21"/>
              </w:rPr>
              <w:t>0m</w:t>
            </w:r>
            <w:r>
              <w:rPr>
                <w:rFonts w:hint="eastAsia"/>
                <w:color w:val="auto"/>
                <w:sz w:val="24"/>
                <w:szCs w:val="21"/>
              </w:rPr>
              <w:t>防护距离，以生产厂房设置</w:t>
            </w:r>
            <w:r>
              <w:rPr>
                <w:color w:val="auto"/>
                <w:sz w:val="24"/>
                <w:szCs w:val="21"/>
              </w:rPr>
              <w:t>100m</w:t>
            </w:r>
            <w:r>
              <w:rPr>
                <w:rFonts w:hint="eastAsia"/>
                <w:color w:val="auto"/>
                <w:sz w:val="24"/>
                <w:szCs w:val="21"/>
              </w:rPr>
              <w:t>防护距离</w:t>
            </w:r>
            <w:r>
              <w:rPr>
                <w:color w:val="auto"/>
                <w:sz w:val="24"/>
                <w:szCs w:val="24"/>
              </w:rPr>
              <w:t>形成的包络线范围</w:t>
            </w:r>
            <w:r>
              <w:rPr>
                <w:rFonts w:hint="eastAsia"/>
                <w:color w:val="auto"/>
                <w:sz w:val="24"/>
                <w:szCs w:val="24"/>
                <w:lang w:eastAsia="zh-CN"/>
              </w:rPr>
              <w:t>，</w:t>
            </w:r>
            <w:r>
              <w:rPr>
                <w:rFonts w:hint="eastAsia"/>
                <w:color w:val="auto"/>
                <w:kern w:val="0"/>
                <w:sz w:val="24"/>
                <w:szCs w:val="20"/>
              </w:rPr>
              <w:t>目前此范围内无居民区等环境敏感目标。</w:t>
            </w:r>
            <w:r>
              <w:rPr>
                <w:rFonts w:hint="eastAsia"/>
                <w:color w:val="auto"/>
                <w:kern w:val="0"/>
                <w:sz w:val="24"/>
                <w:szCs w:val="20"/>
                <w:lang w:val="en-US" w:eastAsia="zh-CN"/>
              </w:rPr>
              <w:t>技改项目</w:t>
            </w:r>
            <w:r>
              <w:rPr>
                <w:rFonts w:hint="eastAsia"/>
                <w:color w:val="auto"/>
                <w:kern w:val="0"/>
                <w:sz w:val="24"/>
                <w:szCs w:val="20"/>
              </w:rPr>
              <w:t>建成后，该范围内不得新建居民区等环境敏感目标</w:t>
            </w:r>
            <w:r>
              <w:rPr>
                <w:color w:val="auto"/>
                <w:kern w:val="0"/>
                <w:sz w:val="24"/>
                <w:szCs w:val="20"/>
              </w:rPr>
              <w:t>。</w:t>
            </w:r>
          </w:p>
          <w:p w14:paraId="1654939E">
            <w:pPr>
              <w:widowControl/>
              <w:adjustRightInd w:val="0"/>
              <w:snapToGrid w:val="0"/>
              <w:spacing w:line="360" w:lineRule="auto"/>
              <w:ind w:firstLine="480" w:firstLineChars="200"/>
              <w:jc w:val="left"/>
              <w:rPr>
                <w:color w:val="auto"/>
                <w:kern w:val="0"/>
                <w:sz w:val="24"/>
              </w:rPr>
            </w:pPr>
            <w:r>
              <w:rPr>
                <w:rFonts w:hint="eastAsia"/>
                <w:color w:val="auto"/>
                <w:kern w:val="0"/>
                <w:sz w:val="24"/>
              </w:rPr>
              <w:t>（</w:t>
            </w:r>
            <w:r>
              <w:rPr>
                <w:color w:val="auto"/>
                <w:kern w:val="0"/>
                <w:sz w:val="24"/>
              </w:rPr>
              <w:t>2</w:t>
            </w:r>
            <w:r>
              <w:rPr>
                <w:rFonts w:hint="eastAsia"/>
                <w:color w:val="auto"/>
                <w:kern w:val="0"/>
                <w:sz w:val="24"/>
              </w:rPr>
              <w:t>）结论</w:t>
            </w:r>
          </w:p>
          <w:p w14:paraId="55E8ACE3">
            <w:pPr>
              <w:widowControl/>
              <w:adjustRightInd w:val="0"/>
              <w:snapToGrid w:val="0"/>
              <w:spacing w:line="360" w:lineRule="auto"/>
              <w:ind w:firstLine="480" w:firstLineChars="200"/>
              <w:rPr>
                <w:rFonts w:hint="eastAsia"/>
                <w:color w:val="auto"/>
                <w:sz w:val="24"/>
              </w:rPr>
            </w:pPr>
            <w:r>
              <w:rPr>
                <w:rFonts w:hint="eastAsia"/>
                <w:color w:val="auto"/>
                <w:kern w:val="0"/>
                <w:sz w:val="24"/>
              </w:rPr>
              <w:t>综上所述，</w:t>
            </w:r>
            <w:r>
              <w:rPr>
                <w:rFonts w:hint="eastAsia"/>
                <w:color w:val="auto"/>
                <w:kern w:val="0"/>
                <w:sz w:val="24"/>
                <w:lang w:eastAsia="zh-CN"/>
              </w:rPr>
              <w:t>技改</w:t>
            </w:r>
            <w:r>
              <w:rPr>
                <w:rFonts w:hint="eastAsia"/>
                <w:color w:val="auto"/>
                <w:kern w:val="0"/>
                <w:sz w:val="24"/>
              </w:rPr>
              <w:t>项目</w:t>
            </w:r>
            <w:r>
              <w:rPr>
                <w:rFonts w:hint="eastAsia"/>
                <w:color w:val="auto"/>
                <w:sz w:val="24"/>
              </w:rPr>
              <w:t>按照</w:t>
            </w:r>
            <w:r>
              <w:rPr>
                <w:color w:val="auto"/>
                <w:sz w:val="24"/>
              </w:rPr>
              <w:t>“</w:t>
            </w:r>
            <w:r>
              <w:rPr>
                <w:rFonts w:hint="eastAsia"/>
                <w:color w:val="auto"/>
                <w:sz w:val="24"/>
              </w:rPr>
              <w:t>应收尽收、分质收集</w:t>
            </w:r>
            <w:r>
              <w:rPr>
                <w:color w:val="auto"/>
                <w:sz w:val="24"/>
              </w:rPr>
              <w:t>”</w:t>
            </w:r>
            <w:r>
              <w:rPr>
                <w:rFonts w:hint="eastAsia"/>
                <w:color w:val="auto"/>
                <w:sz w:val="24"/>
              </w:rPr>
              <w:t>的原则</w:t>
            </w:r>
            <w:r>
              <w:rPr>
                <w:rFonts w:hint="eastAsia"/>
                <w:color w:val="auto"/>
                <w:sz w:val="24"/>
                <w:lang w:eastAsia="zh-CN"/>
              </w:rPr>
              <w:t>，</w:t>
            </w:r>
            <w:r>
              <w:rPr>
                <w:rFonts w:hint="eastAsia"/>
                <w:color w:val="auto"/>
                <w:kern w:val="0"/>
                <w:sz w:val="24"/>
              </w:rPr>
              <w:t>未被收集的无组织废气排放量较小，经大气稀释扩散后对大气环境影响较小，周围环境空气质量可维持现状。企业</w:t>
            </w:r>
            <w:r>
              <w:rPr>
                <w:rFonts w:hint="eastAsia"/>
                <w:color w:val="auto"/>
                <w:sz w:val="24"/>
              </w:rPr>
              <w:t>卫生防护距离内</w:t>
            </w:r>
            <w:r>
              <w:rPr>
                <w:rFonts w:hint="eastAsia"/>
                <w:color w:val="auto"/>
                <w:kern w:val="0"/>
                <w:sz w:val="24"/>
                <w:szCs w:val="20"/>
              </w:rPr>
              <w:t>无</w:t>
            </w:r>
            <w:r>
              <w:rPr>
                <w:color w:val="auto"/>
                <w:kern w:val="0"/>
                <w:sz w:val="24"/>
                <w:szCs w:val="20"/>
              </w:rPr>
              <w:t>居民等</w:t>
            </w:r>
            <w:r>
              <w:rPr>
                <w:rFonts w:hint="eastAsia"/>
                <w:color w:val="auto"/>
                <w:kern w:val="0"/>
                <w:sz w:val="24"/>
                <w:szCs w:val="20"/>
              </w:rPr>
              <w:t>大气环境保护目标</w:t>
            </w:r>
            <w:r>
              <w:rPr>
                <w:rFonts w:hint="eastAsia"/>
                <w:color w:val="auto"/>
                <w:sz w:val="24"/>
              </w:rPr>
              <w:t>，项目建成后，该范围内不得新建居民等环境敏感目标。</w:t>
            </w:r>
          </w:p>
          <w:p w14:paraId="7201F6DE">
            <w:pPr>
              <w:widowControl/>
              <w:adjustRightInd w:val="0"/>
              <w:snapToGrid w:val="0"/>
              <w:spacing w:line="360" w:lineRule="auto"/>
              <w:rPr>
                <w:rFonts w:hint="default" w:ascii="Times New Roman" w:hAnsi="Times New Roman" w:cs="Times New Roman"/>
                <w:b/>
                <w:color w:val="auto"/>
                <w:kern w:val="0"/>
                <w:sz w:val="24"/>
              </w:rPr>
            </w:pPr>
            <w:r>
              <w:rPr>
                <w:rFonts w:hint="default" w:ascii="Times New Roman" w:hAnsi="Times New Roman" w:cs="Times New Roman"/>
                <w:b/>
                <w:color w:val="auto"/>
                <w:kern w:val="0"/>
                <w:sz w:val="24"/>
              </w:rPr>
              <w:t>2.废水</w:t>
            </w:r>
          </w:p>
          <w:p w14:paraId="11043D37">
            <w:pPr>
              <w:widowControl/>
              <w:autoSpaceDE w:val="0"/>
              <w:autoSpaceDN w:val="0"/>
              <w:adjustRightInd w:val="0"/>
              <w:snapToGrid w:val="0"/>
              <w:spacing w:line="360" w:lineRule="auto"/>
              <w:ind w:firstLine="482" w:firstLineChars="200"/>
              <w:jc w:val="left"/>
              <w:rPr>
                <w:rFonts w:hint="default" w:ascii="Times New Roman" w:hAnsi="Times New Roman" w:cs="Times New Roman" w:eastAsiaTheme="minorEastAsia"/>
                <w:b/>
                <w:color w:val="auto"/>
                <w:kern w:val="0"/>
                <w:sz w:val="24"/>
              </w:rPr>
            </w:pPr>
            <w:r>
              <w:rPr>
                <w:rFonts w:hint="default" w:ascii="Times New Roman" w:hAnsi="Times New Roman" w:cs="Times New Roman" w:eastAsiaTheme="minorEastAsia"/>
                <w:b/>
                <w:color w:val="auto"/>
                <w:kern w:val="0"/>
                <w:sz w:val="24"/>
              </w:rPr>
              <w:t>2.1废水产生环节及源强分析</w:t>
            </w:r>
          </w:p>
          <w:p w14:paraId="28EFF5B1">
            <w:pPr>
              <w:spacing w:line="360" w:lineRule="auto"/>
              <w:ind w:firstLine="482" w:firstLineChars="200"/>
              <w:rPr>
                <w:b/>
                <w:color w:val="auto"/>
                <w:sz w:val="24"/>
              </w:rPr>
            </w:pPr>
            <w:r>
              <w:rPr>
                <w:b/>
                <w:color w:val="auto"/>
                <w:sz w:val="24"/>
              </w:rPr>
              <w:t>1、废水污染物排放源及源强核算</w:t>
            </w:r>
          </w:p>
          <w:p w14:paraId="6C9C3800">
            <w:pPr>
              <w:spacing w:line="360" w:lineRule="auto"/>
              <w:ind w:firstLine="480" w:firstLineChars="200"/>
              <w:rPr>
                <w:color w:val="auto"/>
                <w:sz w:val="24"/>
              </w:rPr>
            </w:pPr>
            <w:r>
              <w:rPr>
                <w:color w:val="auto"/>
                <w:sz w:val="24"/>
              </w:rPr>
              <w:t>本项目主要产生的废水为生活污水</w:t>
            </w:r>
            <w:r>
              <w:rPr>
                <w:rFonts w:hint="eastAsia"/>
                <w:color w:val="auto"/>
                <w:sz w:val="24"/>
              </w:rPr>
              <w:t>和食堂废水、</w:t>
            </w:r>
            <w:r>
              <w:rPr>
                <w:color w:val="auto"/>
                <w:sz w:val="24"/>
              </w:rPr>
              <w:t>生产废水</w:t>
            </w:r>
            <w:r>
              <w:rPr>
                <w:rFonts w:hint="eastAsia"/>
                <w:color w:val="auto"/>
                <w:sz w:val="24"/>
                <w:lang w:eastAsia="zh-CN"/>
              </w:rPr>
              <w:t>（生产时清洗废水、</w:t>
            </w:r>
            <w:r>
              <w:rPr>
                <w:color w:val="auto"/>
                <w:sz w:val="24"/>
              </w:rPr>
              <w:t>设备清洗</w:t>
            </w:r>
            <w:r>
              <w:rPr>
                <w:rFonts w:hint="eastAsia"/>
                <w:color w:val="auto"/>
                <w:sz w:val="24"/>
                <w:lang w:eastAsia="zh-CN"/>
              </w:rPr>
              <w:t>废水、地面清洁废水）</w:t>
            </w:r>
            <w:r>
              <w:rPr>
                <w:rFonts w:hint="eastAsia"/>
                <w:color w:val="auto"/>
                <w:sz w:val="24"/>
              </w:rPr>
              <w:t>及蒸汽冷凝水</w:t>
            </w:r>
            <w:r>
              <w:rPr>
                <w:color w:val="auto"/>
                <w:sz w:val="24"/>
              </w:rPr>
              <w:t>。</w:t>
            </w:r>
            <w:r>
              <w:rPr>
                <w:rFonts w:hint="eastAsia"/>
                <w:color w:val="auto"/>
                <w:sz w:val="24"/>
              </w:rPr>
              <w:t>蒸汽冷凝水回用于生产，冲洗废水包括</w:t>
            </w:r>
            <w:r>
              <w:rPr>
                <w:color w:val="auto"/>
                <w:sz w:val="24"/>
              </w:rPr>
              <w:t>设备清洗废水、生产车间地面清洁废水</w:t>
            </w:r>
            <w:r>
              <w:rPr>
                <w:rFonts w:hint="eastAsia"/>
                <w:color w:val="auto"/>
                <w:sz w:val="24"/>
              </w:rPr>
              <w:t>。</w:t>
            </w:r>
          </w:p>
          <w:p w14:paraId="245245A4">
            <w:pPr>
              <w:adjustRightInd w:val="0"/>
              <w:snapToGrid w:val="0"/>
              <w:spacing w:line="360" w:lineRule="auto"/>
              <w:ind w:firstLine="480" w:firstLineChars="200"/>
              <w:rPr>
                <w:color w:val="auto"/>
                <w:sz w:val="24"/>
              </w:rPr>
            </w:pPr>
            <w:r>
              <w:rPr>
                <w:color w:val="auto"/>
                <w:sz w:val="24"/>
              </w:rPr>
              <w:t>（1）生活污水和食堂废水</w:t>
            </w:r>
          </w:p>
          <w:p w14:paraId="23E0C732">
            <w:pPr>
              <w:spacing w:line="360" w:lineRule="auto"/>
              <w:ind w:firstLine="480" w:firstLineChars="200"/>
              <w:rPr>
                <w:color w:val="auto"/>
                <w:sz w:val="24"/>
              </w:rPr>
            </w:pPr>
            <w:r>
              <w:rPr>
                <w:rFonts w:hint="eastAsia"/>
                <w:color w:val="auto"/>
                <w:sz w:val="24"/>
              </w:rPr>
              <w:t>生活污水经化粪池处理后，食堂废水经隔油池处理后</w:t>
            </w:r>
            <w:r>
              <w:rPr>
                <w:color w:val="auto"/>
                <w:sz w:val="24"/>
              </w:rPr>
              <w:t>排入厂区污水站，</w:t>
            </w:r>
            <w:r>
              <w:rPr>
                <w:rFonts w:hint="eastAsia"/>
                <w:color w:val="auto"/>
                <w:sz w:val="24"/>
              </w:rPr>
              <w:t>经厂内污水处理站</w:t>
            </w:r>
            <w:r>
              <w:rPr>
                <w:color w:val="auto"/>
                <w:sz w:val="24"/>
              </w:rPr>
              <w:t>处理达标后接管至涟水经济开发区西区污水处理厂集中处置，尾水排放至公兴河。</w:t>
            </w:r>
          </w:p>
          <w:p w14:paraId="0C3DBEC8">
            <w:pPr>
              <w:jc w:val="center"/>
              <w:rPr>
                <w:b/>
                <w:color w:val="auto"/>
                <w:sz w:val="24"/>
              </w:rPr>
            </w:pPr>
            <w:r>
              <w:rPr>
                <w:b/>
                <w:color w:val="auto"/>
                <w:sz w:val="24"/>
              </w:rPr>
              <w:t xml:space="preserve">表4-6 </w:t>
            </w:r>
            <w:r>
              <w:rPr>
                <w:rFonts w:hint="eastAsia"/>
                <w:b/>
                <w:color w:val="auto"/>
                <w:sz w:val="24"/>
              </w:rPr>
              <w:t>生活污水和食堂废水</w:t>
            </w:r>
            <w:r>
              <w:rPr>
                <w:b/>
                <w:color w:val="auto"/>
                <w:sz w:val="24"/>
              </w:rPr>
              <w:t>污染源源强产生情况一览表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1"/>
              <w:gridCol w:w="899"/>
              <w:gridCol w:w="1055"/>
              <w:gridCol w:w="1353"/>
              <w:gridCol w:w="1215"/>
              <w:gridCol w:w="1203"/>
              <w:gridCol w:w="1552"/>
            </w:tblGrid>
            <w:tr w14:paraId="6F084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729" w:type="pct"/>
                  <w:tcBorders>
                    <w:top w:val="single" w:color="auto" w:sz="12" w:space="0"/>
                    <w:left w:val="nil"/>
                  </w:tcBorders>
                  <w:shd w:val="clear" w:color="auto" w:fill="auto"/>
                  <w:vAlign w:val="center"/>
                </w:tcPr>
                <w:p w14:paraId="6B59C08B">
                  <w:pPr>
                    <w:jc w:val="center"/>
                    <w:rPr>
                      <w:b/>
                      <w:color w:val="auto"/>
                      <w:szCs w:val="21"/>
                    </w:rPr>
                  </w:pPr>
                  <w:r>
                    <w:rPr>
                      <w:b/>
                      <w:color w:val="auto"/>
                      <w:szCs w:val="21"/>
                    </w:rPr>
                    <w:t>工序</w:t>
                  </w:r>
                </w:p>
              </w:tc>
              <w:tc>
                <w:tcPr>
                  <w:tcW w:w="528" w:type="pct"/>
                  <w:tcBorders>
                    <w:top w:val="single" w:color="auto" w:sz="12" w:space="0"/>
                  </w:tcBorders>
                  <w:shd w:val="clear" w:color="auto" w:fill="auto"/>
                  <w:vAlign w:val="center"/>
                </w:tcPr>
                <w:p w14:paraId="7CA58EE6">
                  <w:pPr>
                    <w:jc w:val="center"/>
                    <w:rPr>
                      <w:b/>
                      <w:color w:val="auto"/>
                      <w:szCs w:val="21"/>
                    </w:rPr>
                  </w:pPr>
                  <w:r>
                    <w:rPr>
                      <w:b/>
                      <w:color w:val="auto"/>
                      <w:szCs w:val="21"/>
                    </w:rPr>
                    <w:t>污染源</w:t>
                  </w:r>
                </w:p>
              </w:tc>
              <w:tc>
                <w:tcPr>
                  <w:tcW w:w="619" w:type="pct"/>
                  <w:tcBorders>
                    <w:top w:val="single" w:color="auto" w:sz="12" w:space="0"/>
                  </w:tcBorders>
                  <w:shd w:val="clear" w:color="auto" w:fill="auto"/>
                  <w:vAlign w:val="center"/>
                </w:tcPr>
                <w:p w14:paraId="1AB20D08">
                  <w:pPr>
                    <w:jc w:val="center"/>
                    <w:rPr>
                      <w:b/>
                      <w:color w:val="auto"/>
                      <w:szCs w:val="21"/>
                    </w:rPr>
                  </w:pPr>
                  <w:r>
                    <w:rPr>
                      <w:b/>
                      <w:color w:val="auto"/>
                      <w:szCs w:val="21"/>
                    </w:rPr>
                    <w:t>废水产生量</w:t>
                  </w:r>
                  <w:r>
                    <w:rPr>
                      <w:b/>
                      <w:bCs/>
                      <w:color w:val="auto"/>
                      <w:szCs w:val="21"/>
                    </w:rPr>
                    <w:t>（t/a）</w:t>
                  </w:r>
                </w:p>
              </w:tc>
              <w:tc>
                <w:tcPr>
                  <w:tcW w:w="794" w:type="pct"/>
                  <w:tcBorders>
                    <w:top w:val="single" w:color="auto" w:sz="12" w:space="0"/>
                  </w:tcBorders>
                  <w:shd w:val="clear" w:color="auto" w:fill="auto"/>
                  <w:vAlign w:val="center"/>
                </w:tcPr>
                <w:p w14:paraId="3C571A93">
                  <w:pPr>
                    <w:jc w:val="center"/>
                    <w:rPr>
                      <w:b/>
                      <w:color w:val="auto"/>
                      <w:szCs w:val="21"/>
                    </w:rPr>
                  </w:pPr>
                  <w:r>
                    <w:rPr>
                      <w:b/>
                      <w:color w:val="auto"/>
                      <w:szCs w:val="21"/>
                    </w:rPr>
                    <w:t>污染物名称</w:t>
                  </w:r>
                </w:p>
              </w:tc>
              <w:tc>
                <w:tcPr>
                  <w:tcW w:w="713" w:type="pct"/>
                  <w:tcBorders>
                    <w:top w:val="single" w:color="auto" w:sz="12" w:space="0"/>
                  </w:tcBorders>
                  <w:shd w:val="clear" w:color="auto" w:fill="auto"/>
                  <w:vAlign w:val="center"/>
                </w:tcPr>
                <w:p w14:paraId="04E0DC4E">
                  <w:pPr>
                    <w:jc w:val="center"/>
                    <w:rPr>
                      <w:b/>
                      <w:color w:val="auto"/>
                      <w:szCs w:val="21"/>
                    </w:rPr>
                  </w:pPr>
                  <w:r>
                    <w:rPr>
                      <w:b/>
                      <w:color w:val="auto"/>
                      <w:szCs w:val="21"/>
                    </w:rPr>
                    <w:t>浓度</w:t>
                  </w:r>
                </w:p>
                <w:p w14:paraId="6414C5B4">
                  <w:pPr>
                    <w:jc w:val="center"/>
                    <w:rPr>
                      <w:b/>
                      <w:color w:val="auto"/>
                      <w:szCs w:val="21"/>
                    </w:rPr>
                  </w:pPr>
                  <w:r>
                    <w:rPr>
                      <w:b/>
                      <w:bCs/>
                      <w:color w:val="auto"/>
                      <w:szCs w:val="21"/>
                    </w:rPr>
                    <w:t>（mg/L）</w:t>
                  </w:r>
                </w:p>
              </w:tc>
              <w:tc>
                <w:tcPr>
                  <w:tcW w:w="706" w:type="pct"/>
                  <w:tcBorders>
                    <w:top w:val="single" w:color="auto" w:sz="12" w:space="0"/>
                  </w:tcBorders>
                  <w:shd w:val="clear" w:color="auto" w:fill="auto"/>
                  <w:vAlign w:val="center"/>
                </w:tcPr>
                <w:p w14:paraId="3F321FA1">
                  <w:pPr>
                    <w:jc w:val="center"/>
                    <w:rPr>
                      <w:b/>
                      <w:color w:val="auto"/>
                      <w:szCs w:val="21"/>
                    </w:rPr>
                  </w:pPr>
                  <w:r>
                    <w:rPr>
                      <w:b/>
                      <w:color w:val="auto"/>
                      <w:szCs w:val="21"/>
                    </w:rPr>
                    <w:t>产生量（</w:t>
                  </w:r>
                  <w:r>
                    <w:rPr>
                      <w:b/>
                      <w:bCs/>
                      <w:color w:val="auto"/>
                      <w:szCs w:val="21"/>
                    </w:rPr>
                    <w:t>t/a</w:t>
                  </w:r>
                  <w:r>
                    <w:rPr>
                      <w:b/>
                      <w:color w:val="auto"/>
                      <w:szCs w:val="21"/>
                    </w:rPr>
                    <w:t>）</w:t>
                  </w:r>
                </w:p>
              </w:tc>
              <w:tc>
                <w:tcPr>
                  <w:tcW w:w="911" w:type="pct"/>
                  <w:tcBorders>
                    <w:top w:val="single" w:color="auto" w:sz="12" w:space="0"/>
                    <w:right w:val="nil"/>
                  </w:tcBorders>
                  <w:vAlign w:val="center"/>
                </w:tcPr>
                <w:p w14:paraId="55F3FB8D">
                  <w:pPr>
                    <w:jc w:val="center"/>
                    <w:rPr>
                      <w:b/>
                      <w:color w:val="auto"/>
                      <w:szCs w:val="21"/>
                    </w:rPr>
                  </w:pPr>
                  <w:r>
                    <w:rPr>
                      <w:b/>
                      <w:color w:val="auto"/>
                      <w:szCs w:val="21"/>
                    </w:rPr>
                    <w:t>去向</w:t>
                  </w:r>
                </w:p>
              </w:tc>
            </w:tr>
            <w:tr w14:paraId="04BEC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729" w:type="pct"/>
                  <w:vMerge w:val="restart"/>
                  <w:tcBorders>
                    <w:top w:val="single" w:color="auto" w:sz="12" w:space="0"/>
                    <w:left w:val="nil"/>
                  </w:tcBorders>
                  <w:shd w:val="clear" w:color="auto" w:fill="auto"/>
                  <w:vAlign w:val="center"/>
                </w:tcPr>
                <w:p w14:paraId="44C3A4F4">
                  <w:pPr>
                    <w:jc w:val="center"/>
                    <w:rPr>
                      <w:color w:val="auto"/>
                      <w:szCs w:val="21"/>
                    </w:rPr>
                  </w:pPr>
                  <w:r>
                    <w:rPr>
                      <w:color w:val="auto"/>
                      <w:szCs w:val="21"/>
                    </w:rPr>
                    <w:t>职工生活</w:t>
                  </w:r>
                </w:p>
              </w:tc>
              <w:tc>
                <w:tcPr>
                  <w:tcW w:w="528" w:type="pct"/>
                  <w:vMerge w:val="restart"/>
                  <w:tcBorders>
                    <w:top w:val="single" w:color="auto" w:sz="12" w:space="0"/>
                  </w:tcBorders>
                  <w:shd w:val="clear" w:color="auto" w:fill="auto"/>
                  <w:vAlign w:val="center"/>
                </w:tcPr>
                <w:p w14:paraId="044228C4">
                  <w:pPr>
                    <w:jc w:val="center"/>
                    <w:rPr>
                      <w:color w:val="auto"/>
                      <w:szCs w:val="21"/>
                    </w:rPr>
                  </w:pPr>
                  <w:r>
                    <w:rPr>
                      <w:color w:val="auto"/>
                      <w:szCs w:val="21"/>
                    </w:rPr>
                    <w:t>职工生活废水</w:t>
                  </w:r>
                </w:p>
              </w:tc>
              <w:tc>
                <w:tcPr>
                  <w:tcW w:w="619" w:type="pct"/>
                  <w:vMerge w:val="restart"/>
                  <w:tcBorders>
                    <w:top w:val="single" w:color="auto" w:sz="12" w:space="0"/>
                  </w:tcBorders>
                  <w:shd w:val="clear" w:color="auto" w:fill="auto"/>
                  <w:vAlign w:val="center"/>
                </w:tcPr>
                <w:p w14:paraId="59C9ED43">
                  <w:pPr>
                    <w:jc w:val="center"/>
                    <w:rPr>
                      <w:rFonts w:hint="default" w:eastAsia="宋体"/>
                      <w:color w:val="auto"/>
                      <w:szCs w:val="21"/>
                      <w:lang w:val="en-US" w:eastAsia="zh-CN"/>
                    </w:rPr>
                  </w:pPr>
                  <w:r>
                    <w:rPr>
                      <w:rFonts w:hint="eastAsia"/>
                      <w:color w:val="auto"/>
                      <w:szCs w:val="21"/>
                      <w:lang w:val="en-US" w:eastAsia="zh-CN"/>
                    </w:rPr>
                    <w:t>1728</w:t>
                  </w:r>
                </w:p>
              </w:tc>
              <w:tc>
                <w:tcPr>
                  <w:tcW w:w="794" w:type="pct"/>
                  <w:tcBorders>
                    <w:top w:val="single" w:color="auto" w:sz="12" w:space="0"/>
                  </w:tcBorders>
                  <w:shd w:val="clear" w:color="auto" w:fill="auto"/>
                  <w:vAlign w:val="center"/>
                </w:tcPr>
                <w:p w14:paraId="0F06FB3D">
                  <w:pPr>
                    <w:jc w:val="center"/>
                    <w:rPr>
                      <w:color w:val="auto"/>
                      <w:szCs w:val="21"/>
                    </w:rPr>
                  </w:pPr>
                  <w:r>
                    <w:rPr>
                      <w:color w:val="auto"/>
                      <w:szCs w:val="21"/>
                    </w:rPr>
                    <w:t>COD</w:t>
                  </w:r>
                </w:p>
              </w:tc>
              <w:tc>
                <w:tcPr>
                  <w:tcW w:w="713" w:type="pct"/>
                  <w:tcBorders>
                    <w:top w:val="single" w:color="auto" w:sz="12" w:space="0"/>
                  </w:tcBorders>
                  <w:shd w:val="clear" w:color="auto" w:fill="auto"/>
                  <w:vAlign w:val="center"/>
                </w:tcPr>
                <w:p w14:paraId="3A2211FE">
                  <w:pPr>
                    <w:jc w:val="center"/>
                    <w:rPr>
                      <w:color w:val="auto"/>
                      <w:szCs w:val="21"/>
                    </w:rPr>
                  </w:pPr>
                  <w:r>
                    <w:rPr>
                      <w:color w:val="auto"/>
                      <w:szCs w:val="21"/>
                    </w:rPr>
                    <w:t>400</w:t>
                  </w:r>
                </w:p>
              </w:tc>
              <w:tc>
                <w:tcPr>
                  <w:tcW w:w="706" w:type="pct"/>
                  <w:tcBorders>
                    <w:top w:val="single" w:color="auto" w:sz="12" w:space="0"/>
                  </w:tcBorders>
                  <w:shd w:val="clear" w:color="auto" w:fill="auto"/>
                  <w:vAlign w:val="center"/>
                </w:tcPr>
                <w:p w14:paraId="15FC2F6D">
                  <w:pPr>
                    <w:jc w:val="center"/>
                    <w:rPr>
                      <w:rFonts w:hint="default" w:eastAsia="宋体"/>
                      <w:color w:val="auto"/>
                      <w:szCs w:val="21"/>
                      <w:lang w:val="en-US" w:eastAsia="zh-CN"/>
                    </w:rPr>
                  </w:pPr>
                  <w:r>
                    <w:rPr>
                      <w:color w:val="auto"/>
                      <w:szCs w:val="21"/>
                    </w:rPr>
                    <w:t>0.</w:t>
                  </w:r>
                  <w:r>
                    <w:rPr>
                      <w:rFonts w:hint="eastAsia"/>
                      <w:color w:val="auto"/>
                      <w:szCs w:val="21"/>
                      <w:lang w:val="en-US" w:eastAsia="zh-CN"/>
                    </w:rPr>
                    <w:t>6912</w:t>
                  </w:r>
                </w:p>
              </w:tc>
              <w:tc>
                <w:tcPr>
                  <w:tcW w:w="911" w:type="pct"/>
                  <w:vMerge w:val="restart"/>
                  <w:tcBorders>
                    <w:top w:val="single" w:color="auto" w:sz="12" w:space="0"/>
                    <w:right w:val="nil"/>
                  </w:tcBorders>
                  <w:vAlign w:val="center"/>
                </w:tcPr>
                <w:p w14:paraId="3C68939B">
                  <w:pPr>
                    <w:jc w:val="center"/>
                    <w:rPr>
                      <w:color w:val="auto"/>
                      <w:szCs w:val="21"/>
                    </w:rPr>
                  </w:pPr>
                  <w:r>
                    <w:rPr>
                      <w:rFonts w:hint="eastAsia"/>
                      <w:color w:val="auto"/>
                      <w:szCs w:val="21"/>
                    </w:rPr>
                    <w:t>经化粪池处理后</w:t>
                  </w:r>
                  <w:r>
                    <w:rPr>
                      <w:color w:val="auto"/>
                      <w:szCs w:val="21"/>
                    </w:rPr>
                    <w:t>排入厂区污水处理站处置</w:t>
                  </w:r>
                </w:p>
              </w:tc>
            </w:tr>
            <w:tr w14:paraId="396FD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9" w:type="pct"/>
                  <w:vMerge w:val="continue"/>
                  <w:tcBorders>
                    <w:left w:val="nil"/>
                  </w:tcBorders>
                  <w:shd w:val="clear" w:color="auto" w:fill="auto"/>
                  <w:vAlign w:val="center"/>
                </w:tcPr>
                <w:p w14:paraId="0D6F8768">
                  <w:pPr>
                    <w:jc w:val="center"/>
                    <w:rPr>
                      <w:color w:val="auto"/>
                      <w:szCs w:val="21"/>
                    </w:rPr>
                  </w:pPr>
                </w:p>
              </w:tc>
              <w:tc>
                <w:tcPr>
                  <w:tcW w:w="528" w:type="pct"/>
                  <w:vMerge w:val="continue"/>
                  <w:shd w:val="clear" w:color="auto" w:fill="auto"/>
                  <w:vAlign w:val="center"/>
                </w:tcPr>
                <w:p w14:paraId="39A77EA2">
                  <w:pPr>
                    <w:jc w:val="center"/>
                    <w:rPr>
                      <w:color w:val="auto"/>
                      <w:szCs w:val="21"/>
                    </w:rPr>
                  </w:pPr>
                </w:p>
              </w:tc>
              <w:tc>
                <w:tcPr>
                  <w:tcW w:w="619" w:type="pct"/>
                  <w:vMerge w:val="continue"/>
                  <w:shd w:val="clear" w:color="auto" w:fill="auto"/>
                  <w:vAlign w:val="center"/>
                </w:tcPr>
                <w:p w14:paraId="61E5B958">
                  <w:pPr>
                    <w:jc w:val="center"/>
                    <w:rPr>
                      <w:color w:val="auto"/>
                      <w:szCs w:val="21"/>
                    </w:rPr>
                  </w:pPr>
                </w:p>
              </w:tc>
              <w:tc>
                <w:tcPr>
                  <w:tcW w:w="794" w:type="pct"/>
                  <w:shd w:val="clear" w:color="auto" w:fill="auto"/>
                  <w:vAlign w:val="center"/>
                </w:tcPr>
                <w:p w14:paraId="3609800E">
                  <w:pPr>
                    <w:jc w:val="center"/>
                    <w:rPr>
                      <w:color w:val="auto"/>
                      <w:szCs w:val="21"/>
                    </w:rPr>
                  </w:pPr>
                  <w:r>
                    <w:rPr>
                      <w:rFonts w:hint="eastAsia"/>
                      <w:color w:val="auto"/>
                      <w:szCs w:val="21"/>
                    </w:rPr>
                    <w:t>B</w:t>
                  </w:r>
                  <w:r>
                    <w:rPr>
                      <w:color w:val="auto"/>
                      <w:szCs w:val="21"/>
                    </w:rPr>
                    <w:t>OD</w:t>
                  </w:r>
                  <w:r>
                    <w:rPr>
                      <w:color w:val="auto"/>
                      <w:szCs w:val="21"/>
                      <w:vertAlign w:val="subscript"/>
                    </w:rPr>
                    <w:t>5</w:t>
                  </w:r>
                </w:p>
              </w:tc>
              <w:tc>
                <w:tcPr>
                  <w:tcW w:w="713" w:type="pct"/>
                  <w:shd w:val="clear" w:color="auto" w:fill="auto"/>
                  <w:vAlign w:val="center"/>
                </w:tcPr>
                <w:p w14:paraId="08EB3B80">
                  <w:pPr>
                    <w:jc w:val="center"/>
                    <w:rPr>
                      <w:color w:val="auto"/>
                      <w:szCs w:val="21"/>
                    </w:rPr>
                  </w:pPr>
                  <w:r>
                    <w:rPr>
                      <w:rFonts w:hint="eastAsia"/>
                      <w:color w:val="auto"/>
                      <w:szCs w:val="21"/>
                    </w:rPr>
                    <w:t>3</w:t>
                  </w:r>
                  <w:r>
                    <w:rPr>
                      <w:color w:val="auto"/>
                      <w:szCs w:val="21"/>
                    </w:rPr>
                    <w:t>00</w:t>
                  </w:r>
                </w:p>
              </w:tc>
              <w:tc>
                <w:tcPr>
                  <w:tcW w:w="706" w:type="pct"/>
                  <w:shd w:val="clear" w:color="auto" w:fill="auto"/>
                  <w:vAlign w:val="center"/>
                </w:tcPr>
                <w:p w14:paraId="6340A2BC">
                  <w:pPr>
                    <w:jc w:val="center"/>
                    <w:rPr>
                      <w:rFonts w:hint="default" w:eastAsia="宋体"/>
                      <w:color w:val="auto"/>
                      <w:szCs w:val="21"/>
                      <w:lang w:val="en-US" w:eastAsia="zh-CN"/>
                    </w:rPr>
                  </w:pPr>
                  <w:r>
                    <w:rPr>
                      <w:rFonts w:hint="eastAsia"/>
                      <w:color w:val="auto"/>
                      <w:szCs w:val="21"/>
                    </w:rPr>
                    <w:t>0.</w:t>
                  </w:r>
                  <w:r>
                    <w:rPr>
                      <w:rFonts w:hint="eastAsia"/>
                      <w:color w:val="auto"/>
                      <w:szCs w:val="21"/>
                      <w:lang w:val="en-US" w:eastAsia="zh-CN"/>
                    </w:rPr>
                    <w:t>5184</w:t>
                  </w:r>
                </w:p>
              </w:tc>
              <w:tc>
                <w:tcPr>
                  <w:tcW w:w="911" w:type="pct"/>
                  <w:vMerge w:val="continue"/>
                  <w:tcBorders>
                    <w:right w:val="nil"/>
                  </w:tcBorders>
                  <w:vAlign w:val="center"/>
                </w:tcPr>
                <w:p w14:paraId="201AC479">
                  <w:pPr>
                    <w:jc w:val="center"/>
                    <w:rPr>
                      <w:color w:val="auto"/>
                      <w:szCs w:val="21"/>
                    </w:rPr>
                  </w:pPr>
                </w:p>
              </w:tc>
            </w:tr>
            <w:tr w14:paraId="77371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9" w:type="pct"/>
                  <w:vMerge w:val="continue"/>
                  <w:tcBorders>
                    <w:left w:val="nil"/>
                  </w:tcBorders>
                  <w:shd w:val="clear" w:color="auto" w:fill="auto"/>
                  <w:vAlign w:val="center"/>
                </w:tcPr>
                <w:p w14:paraId="2AF0ED50">
                  <w:pPr>
                    <w:jc w:val="center"/>
                    <w:rPr>
                      <w:color w:val="auto"/>
                      <w:szCs w:val="21"/>
                    </w:rPr>
                  </w:pPr>
                </w:p>
              </w:tc>
              <w:tc>
                <w:tcPr>
                  <w:tcW w:w="528" w:type="pct"/>
                  <w:vMerge w:val="continue"/>
                  <w:shd w:val="clear" w:color="auto" w:fill="auto"/>
                  <w:vAlign w:val="center"/>
                </w:tcPr>
                <w:p w14:paraId="3C263B7C">
                  <w:pPr>
                    <w:jc w:val="center"/>
                    <w:rPr>
                      <w:color w:val="auto"/>
                      <w:szCs w:val="21"/>
                    </w:rPr>
                  </w:pPr>
                </w:p>
              </w:tc>
              <w:tc>
                <w:tcPr>
                  <w:tcW w:w="619" w:type="pct"/>
                  <w:vMerge w:val="continue"/>
                  <w:shd w:val="clear" w:color="auto" w:fill="auto"/>
                  <w:vAlign w:val="center"/>
                </w:tcPr>
                <w:p w14:paraId="1E97BFEF">
                  <w:pPr>
                    <w:jc w:val="center"/>
                    <w:rPr>
                      <w:color w:val="auto"/>
                      <w:szCs w:val="21"/>
                    </w:rPr>
                  </w:pPr>
                </w:p>
              </w:tc>
              <w:tc>
                <w:tcPr>
                  <w:tcW w:w="794" w:type="pct"/>
                  <w:shd w:val="clear" w:color="auto" w:fill="auto"/>
                  <w:vAlign w:val="center"/>
                </w:tcPr>
                <w:p w14:paraId="1F8CCEF7">
                  <w:pPr>
                    <w:jc w:val="center"/>
                    <w:rPr>
                      <w:color w:val="auto"/>
                      <w:szCs w:val="21"/>
                    </w:rPr>
                  </w:pPr>
                  <w:r>
                    <w:rPr>
                      <w:rFonts w:hint="eastAsia"/>
                      <w:color w:val="auto"/>
                      <w:szCs w:val="21"/>
                    </w:rPr>
                    <w:t>S</w:t>
                  </w:r>
                  <w:r>
                    <w:rPr>
                      <w:color w:val="auto"/>
                      <w:szCs w:val="21"/>
                    </w:rPr>
                    <w:t>S</w:t>
                  </w:r>
                </w:p>
              </w:tc>
              <w:tc>
                <w:tcPr>
                  <w:tcW w:w="713" w:type="pct"/>
                  <w:shd w:val="clear" w:color="auto" w:fill="auto"/>
                  <w:vAlign w:val="center"/>
                </w:tcPr>
                <w:p w14:paraId="0CC5994A">
                  <w:pPr>
                    <w:jc w:val="center"/>
                    <w:rPr>
                      <w:color w:val="auto"/>
                      <w:szCs w:val="21"/>
                    </w:rPr>
                  </w:pPr>
                  <w:r>
                    <w:rPr>
                      <w:rFonts w:hint="eastAsia"/>
                      <w:color w:val="auto"/>
                      <w:szCs w:val="21"/>
                    </w:rPr>
                    <w:t>40</w:t>
                  </w:r>
                  <w:r>
                    <w:rPr>
                      <w:color w:val="auto"/>
                      <w:szCs w:val="21"/>
                    </w:rPr>
                    <w:t>0</w:t>
                  </w:r>
                </w:p>
              </w:tc>
              <w:tc>
                <w:tcPr>
                  <w:tcW w:w="706" w:type="pct"/>
                  <w:shd w:val="clear" w:color="auto" w:fill="auto"/>
                  <w:vAlign w:val="center"/>
                </w:tcPr>
                <w:p w14:paraId="702DD961">
                  <w:pPr>
                    <w:jc w:val="center"/>
                    <w:rPr>
                      <w:rFonts w:hint="default" w:eastAsia="宋体"/>
                      <w:color w:val="auto"/>
                      <w:szCs w:val="21"/>
                      <w:lang w:val="en-US" w:eastAsia="zh-CN"/>
                    </w:rPr>
                  </w:pPr>
                  <w:r>
                    <w:rPr>
                      <w:rFonts w:hint="eastAsia"/>
                      <w:color w:val="auto"/>
                      <w:szCs w:val="21"/>
                    </w:rPr>
                    <w:t>0</w:t>
                  </w:r>
                  <w:r>
                    <w:rPr>
                      <w:color w:val="auto"/>
                      <w:szCs w:val="21"/>
                    </w:rPr>
                    <w:t>.</w:t>
                  </w:r>
                  <w:r>
                    <w:rPr>
                      <w:rFonts w:hint="eastAsia"/>
                      <w:color w:val="auto"/>
                      <w:szCs w:val="21"/>
                      <w:lang w:val="en-US" w:eastAsia="zh-CN"/>
                    </w:rPr>
                    <w:t>6912</w:t>
                  </w:r>
                </w:p>
              </w:tc>
              <w:tc>
                <w:tcPr>
                  <w:tcW w:w="911" w:type="pct"/>
                  <w:vMerge w:val="continue"/>
                  <w:tcBorders>
                    <w:right w:val="nil"/>
                  </w:tcBorders>
                  <w:vAlign w:val="center"/>
                </w:tcPr>
                <w:p w14:paraId="390129B5">
                  <w:pPr>
                    <w:jc w:val="center"/>
                    <w:rPr>
                      <w:color w:val="auto"/>
                      <w:szCs w:val="21"/>
                    </w:rPr>
                  </w:pPr>
                </w:p>
              </w:tc>
            </w:tr>
            <w:tr w14:paraId="4EFB4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9" w:type="pct"/>
                  <w:vMerge w:val="continue"/>
                  <w:tcBorders>
                    <w:left w:val="nil"/>
                  </w:tcBorders>
                  <w:shd w:val="clear" w:color="auto" w:fill="auto"/>
                  <w:vAlign w:val="center"/>
                </w:tcPr>
                <w:p w14:paraId="59A1D591">
                  <w:pPr>
                    <w:jc w:val="center"/>
                    <w:rPr>
                      <w:color w:val="auto"/>
                      <w:szCs w:val="21"/>
                    </w:rPr>
                  </w:pPr>
                </w:p>
              </w:tc>
              <w:tc>
                <w:tcPr>
                  <w:tcW w:w="528" w:type="pct"/>
                  <w:vMerge w:val="continue"/>
                  <w:shd w:val="clear" w:color="auto" w:fill="auto"/>
                  <w:vAlign w:val="center"/>
                </w:tcPr>
                <w:p w14:paraId="4B2FD9AC">
                  <w:pPr>
                    <w:jc w:val="center"/>
                    <w:rPr>
                      <w:color w:val="auto"/>
                      <w:szCs w:val="21"/>
                    </w:rPr>
                  </w:pPr>
                </w:p>
              </w:tc>
              <w:tc>
                <w:tcPr>
                  <w:tcW w:w="619" w:type="pct"/>
                  <w:vMerge w:val="continue"/>
                  <w:shd w:val="clear" w:color="auto" w:fill="auto"/>
                  <w:vAlign w:val="center"/>
                </w:tcPr>
                <w:p w14:paraId="1588B1C6">
                  <w:pPr>
                    <w:jc w:val="center"/>
                    <w:rPr>
                      <w:color w:val="auto"/>
                      <w:szCs w:val="21"/>
                    </w:rPr>
                  </w:pPr>
                </w:p>
              </w:tc>
              <w:tc>
                <w:tcPr>
                  <w:tcW w:w="794" w:type="pct"/>
                  <w:shd w:val="clear" w:color="auto" w:fill="auto"/>
                  <w:vAlign w:val="center"/>
                </w:tcPr>
                <w:p w14:paraId="5E8BDD94">
                  <w:pPr>
                    <w:jc w:val="center"/>
                    <w:rPr>
                      <w:color w:val="auto"/>
                      <w:szCs w:val="21"/>
                    </w:rPr>
                  </w:pPr>
                  <w:r>
                    <w:rPr>
                      <w:color w:val="auto"/>
                      <w:szCs w:val="21"/>
                    </w:rPr>
                    <w:t>氨氮</w:t>
                  </w:r>
                </w:p>
              </w:tc>
              <w:tc>
                <w:tcPr>
                  <w:tcW w:w="713" w:type="pct"/>
                  <w:shd w:val="clear" w:color="auto" w:fill="auto"/>
                  <w:vAlign w:val="center"/>
                </w:tcPr>
                <w:p w14:paraId="17E5375C">
                  <w:pPr>
                    <w:jc w:val="center"/>
                    <w:rPr>
                      <w:color w:val="auto"/>
                      <w:szCs w:val="21"/>
                    </w:rPr>
                  </w:pPr>
                  <w:r>
                    <w:rPr>
                      <w:color w:val="auto"/>
                      <w:szCs w:val="21"/>
                    </w:rPr>
                    <w:t>35</w:t>
                  </w:r>
                </w:p>
              </w:tc>
              <w:tc>
                <w:tcPr>
                  <w:tcW w:w="706" w:type="pct"/>
                  <w:shd w:val="clear" w:color="auto" w:fill="auto"/>
                  <w:vAlign w:val="center"/>
                </w:tcPr>
                <w:p w14:paraId="5EC342B4">
                  <w:pPr>
                    <w:jc w:val="center"/>
                    <w:rPr>
                      <w:rFonts w:hint="default" w:eastAsia="宋体"/>
                      <w:color w:val="auto"/>
                      <w:szCs w:val="21"/>
                      <w:lang w:val="en-US" w:eastAsia="zh-CN"/>
                    </w:rPr>
                  </w:pPr>
                  <w:r>
                    <w:rPr>
                      <w:color w:val="auto"/>
                      <w:szCs w:val="21"/>
                    </w:rPr>
                    <w:t>0.0</w:t>
                  </w:r>
                  <w:r>
                    <w:rPr>
                      <w:rFonts w:hint="eastAsia"/>
                      <w:color w:val="auto"/>
                      <w:szCs w:val="21"/>
                      <w:lang w:val="en-US" w:eastAsia="zh-CN"/>
                    </w:rPr>
                    <w:t>605</w:t>
                  </w:r>
                </w:p>
              </w:tc>
              <w:tc>
                <w:tcPr>
                  <w:tcW w:w="911" w:type="pct"/>
                  <w:vMerge w:val="continue"/>
                  <w:tcBorders>
                    <w:right w:val="nil"/>
                  </w:tcBorders>
                  <w:vAlign w:val="center"/>
                </w:tcPr>
                <w:p w14:paraId="54B3BA40">
                  <w:pPr>
                    <w:jc w:val="center"/>
                    <w:rPr>
                      <w:color w:val="auto"/>
                      <w:szCs w:val="21"/>
                    </w:rPr>
                  </w:pPr>
                </w:p>
              </w:tc>
            </w:tr>
            <w:tr w14:paraId="1CB98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9" w:type="pct"/>
                  <w:vMerge w:val="continue"/>
                  <w:tcBorders>
                    <w:left w:val="nil"/>
                  </w:tcBorders>
                  <w:shd w:val="clear" w:color="auto" w:fill="auto"/>
                  <w:vAlign w:val="center"/>
                </w:tcPr>
                <w:p w14:paraId="629675B9">
                  <w:pPr>
                    <w:jc w:val="center"/>
                    <w:rPr>
                      <w:color w:val="auto"/>
                      <w:szCs w:val="21"/>
                    </w:rPr>
                  </w:pPr>
                </w:p>
              </w:tc>
              <w:tc>
                <w:tcPr>
                  <w:tcW w:w="528" w:type="pct"/>
                  <w:vMerge w:val="continue"/>
                  <w:shd w:val="clear" w:color="auto" w:fill="auto"/>
                  <w:vAlign w:val="center"/>
                </w:tcPr>
                <w:p w14:paraId="6E312B04">
                  <w:pPr>
                    <w:jc w:val="center"/>
                    <w:rPr>
                      <w:color w:val="auto"/>
                      <w:szCs w:val="21"/>
                    </w:rPr>
                  </w:pPr>
                </w:p>
              </w:tc>
              <w:tc>
                <w:tcPr>
                  <w:tcW w:w="619" w:type="pct"/>
                  <w:vMerge w:val="continue"/>
                  <w:shd w:val="clear" w:color="auto" w:fill="auto"/>
                  <w:vAlign w:val="center"/>
                </w:tcPr>
                <w:p w14:paraId="425676EA">
                  <w:pPr>
                    <w:jc w:val="center"/>
                    <w:rPr>
                      <w:color w:val="auto"/>
                      <w:szCs w:val="21"/>
                    </w:rPr>
                  </w:pPr>
                </w:p>
              </w:tc>
              <w:tc>
                <w:tcPr>
                  <w:tcW w:w="794" w:type="pct"/>
                  <w:shd w:val="clear" w:color="auto" w:fill="auto"/>
                  <w:vAlign w:val="center"/>
                </w:tcPr>
                <w:p w14:paraId="2CD9D5E5">
                  <w:pPr>
                    <w:jc w:val="center"/>
                    <w:rPr>
                      <w:color w:val="auto"/>
                      <w:szCs w:val="21"/>
                    </w:rPr>
                  </w:pPr>
                  <w:r>
                    <w:rPr>
                      <w:color w:val="auto"/>
                      <w:szCs w:val="21"/>
                    </w:rPr>
                    <w:t>总氮</w:t>
                  </w:r>
                </w:p>
              </w:tc>
              <w:tc>
                <w:tcPr>
                  <w:tcW w:w="713" w:type="pct"/>
                  <w:shd w:val="clear" w:color="auto" w:fill="auto"/>
                  <w:vAlign w:val="center"/>
                </w:tcPr>
                <w:p w14:paraId="35BFED98">
                  <w:pPr>
                    <w:jc w:val="center"/>
                    <w:rPr>
                      <w:color w:val="auto"/>
                      <w:szCs w:val="21"/>
                    </w:rPr>
                  </w:pPr>
                  <w:r>
                    <w:rPr>
                      <w:color w:val="auto"/>
                      <w:szCs w:val="21"/>
                    </w:rPr>
                    <w:t>40</w:t>
                  </w:r>
                </w:p>
              </w:tc>
              <w:tc>
                <w:tcPr>
                  <w:tcW w:w="706" w:type="pct"/>
                  <w:shd w:val="clear" w:color="auto" w:fill="auto"/>
                  <w:vAlign w:val="center"/>
                </w:tcPr>
                <w:p w14:paraId="3BEB1171">
                  <w:pPr>
                    <w:jc w:val="center"/>
                    <w:rPr>
                      <w:color w:val="auto"/>
                      <w:szCs w:val="21"/>
                    </w:rPr>
                  </w:pPr>
                  <w:r>
                    <w:rPr>
                      <w:color w:val="auto"/>
                      <w:szCs w:val="21"/>
                    </w:rPr>
                    <w:t>0.058</w:t>
                  </w:r>
                </w:p>
              </w:tc>
              <w:tc>
                <w:tcPr>
                  <w:tcW w:w="911" w:type="pct"/>
                  <w:vMerge w:val="continue"/>
                  <w:tcBorders>
                    <w:right w:val="nil"/>
                  </w:tcBorders>
                  <w:vAlign w:val="center"/>
                </w:tcPr>
                <w:p w14:paraId="0131DE90">
                  <w:pPr>
                    <w:jc w:val="center"/>
                    <w:rPr>
                      <w:color w:val="auto"/>
                      <w:szCs w:val="21"/>
                    </w:rPr>
                  </w:pPr>
                </w:p>
              </w:tc>
            </w:tr>
            <w:tr w14:paraId="33302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9" w:type="pct"/>
                  <w:vMerge w:val="continue"/>
                  <w:tcBorders>
                    <w:left w:val="nil"/>
                  </w:tcBorders>
                  <w:shd w:val="clear" w:color="auto" w:fill="auto"/>
                  <w:vAlign w:val="center"/>
                </w:tcPr>
                <w:p w14:paraId="6E2002AD">
                  <w:pPr>
                    <w:jc w:val="center"/>
                    <w:rPr>
                      <w:color w:val="auto"/>
                      <w:szCs w:val="21"/>
                    </w:rPr>
                  </w:pPr>
                </w:p>
              </w:tc>
              <w:tc>
                <w:tcPr>
                  <w:tcW w:w="528" w:type="pct"/>
                  <w:vMerge w:val="continue"/>
                  <w:shd w:val="clear" w:color="auto" w:fill="auto"/>
                  <w:vAlign w:val="center"/>
                </w:tcPr>
                <w:p w14:paraId="1F20BE69">
                  <w:pPr>
                    <w:jc w:val="center"/>
                    <w:rPr>
                      <w:color w:val="auto"/>
                      <w:szCs w:val="21"/>
                    </w:rPr>
                  </w:pPr>
                </w:p>
              </w:tc>
              <w:tc>
                <w:tcPr>
                  <w:tcW w:w="619" w:type="pct"/>
                  <w:vMerge w:val="continue"/>
                  <w:shd w:val="clear" w:color="auto" w:fill="auto"/>
                  <w:vAlign w:val="center"/>
                </w:tcPr>
                <w:p w14:paraId="0AD1FD18">
                  <w:pPr>
                    <w:jc w:val="center"/>
                    <w:rPr>
                      <w:color w:val="auto"/>
                      <w:szCs w:val="21"/>
                    </w:rPr>
                  </w:pPr>
                </w:p>
              </w:tc>
              <w:tc>
                <w:tcPr>
                  <w:tcW w:w="794" w:type="pct"/>
                  <w:shd w:val="clear" w:color="auto" w:fill="auto"/>
                  <w:vAlign w:val="center"/>
                </w:tcPr>
                <w:p w14:paraId="25F26167">
                  <w:pPr>
                    <w:jc w:val="center"/>
                    <w:rPr>
                      <w:color w:val="auto"/>
                      <w:szCs w:val="21"/>
                    </w:rPr>
                  </w:pPr>
                  <w:r>
                    <w:rPr>
                      <w:color w:val="auto"/>
                      <w:szCs w:val="21"/>
                    </w:rPr>
                    <w:t>总磷</w:t>
                  </w:r>
                </w:p>
              </w:tc>
              <w:tc>
                <w:tcPr>
                  <w:tcW w:w="713" w:type="pct"/>
                  <w:shd w:val="clear" w:color="auto" w:fill="auto"/>
                  <w:vAlign w:val="center"/>
                </w:tcPr>
                <w:p w14:paraId="49A981EA">
                  <w:pPr>
                    <w:jc w:val="center"/>
                    <w:rPr>
                      <w:color w:val="auto"/>
                      <w:szCs w:val="21"/>
                    </w:rPr>
                  </w:pPr>
                  <w:r>
                    <w:rPr>
                      <w:color w:val="auto"/>
                      <w:szCs w:val="21"/>
                    </w:rPr>
                    <w:t>5</w:t>
                  </w:r>
                </w:p>
              </w:tc>
              <w:tc>
                <w:tcPr>
                  <w:tcW w:w="706" w:type="pct"/>
                  <w:shd w:val="clear" w:color="auto" w:fill="auto"/>
                  <w:vAlign w:val="center"/>
                </w:tcPr>
                <w:p w14:paraId="17EA140C">
                  <w:pPr>
                    <w:jc w:val="center"/>
                    <w:rPr>
                      <w:rFonts w:hint="default" w:eastAsia="宋体"/>
                      <w:color w:val="auto"/>
                      <w:szCs w:val="21"/>
                      <w:lang w:val="en-US" w:eastAsia="zh-CN"/>
                    </w:rPr>
                  </w:pPr>
                  <w:r>
                    <w:rPr>
                      <w:color w:val="auto"/>
                      <w:szCs w:val="21"/>
                    </w:rPr>
                    <w:t>0.00</w:t>
                  </w:r>
                  <w:r>
                    <w:rPr>
                      <w:rFonts w:hint="eastAsia"/>
                      <w:color w:val="auto"/>
                      <w:szCs w:val="21"/>
                      <w:lang w:val="en-US" w:eastAsia="zh-CN"/>
                    </w:rPr>
                    <w:t>86</w:t>
                  </w:r>
                </w:p>
              </w:tc>
              <w:tc>
                <w:tcPr>
                  <w:tcW w:w="911" w:type="pct"/>
                  <w:vMerge w:val="continue"/>
                  <w:tcBorders>
                    <w:right w:val="nil"/>
                  </w:tcBorders>
                  <w:vAlign w:val="center"/>
                </w:tcPr>
                <w:p w14:paraId="7D0F5807">
                  <w:pPr>
                    <w:jc w:val="center"/>
                    <w:rPr>
                      <w:color w:val="auto"/>
                      <w:szCs w:val="21"/>
                    </w:rPr>
                  </w:pPr>
                </w:p>
              </w:tc>
            </w:tr>
            <w:tr w14:paraId="5B754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9" w:type="pct"/>
                  <w:vMerge w:val="restart"/>
                  <w:tcBorders>
                    <w:left w:val="nil"/>
                  </w:tcBorders>
                  <w:shd w:val="clear" w:color="auto" w:fill="auto"/>
                  <w:vAlign w:val="center"/>
                </w:tcPr>
                <w:p w14:paraId="5BAD4C3F">
                  <w:pPr>
                    <w:jc w:val="center"/>
                    <w:rPr>
                      <w:color w:val="auto"/>
                      <w:szCs w:val="21"/>
                    </w:rPr>
                  </w:pPr>
                  <w:r>
                    <w:rPr>
                      <w:color w:val="auto"/>
                      <w:szCs w:val="21"/>
                    </w:rPr>
                    <w:t>食堂</w:t>
                  </w:r>
                </w:p>
              </w:tc>
              <w:tc>
                <w:tcPr>
                  <w:tcW w:w="528" w:type="pct"/>
                  <w:vMerge w:val="restart"/>
                  <w:shd w:val="clear" w:color="auto" w:fill="auto"/>
                  <w:vAlign w:val="center"/>
                </w:tcPr>
                <w:p w14:paraId="552B2D1F">
                  <w:pPr>
                    <w:jc w:val="center"/>
                    <w:rPr>
                      <w:color w:val="auto"/>
                      <w:szCs w:val="21"/>
                    </w:rPr>
                  </w:pPr>
                  <w:r>
                    <w:rPr>
                      <w:color w:val="auto"/>
                      <w:szCs w:val="21"/>
                    </w:rPr>
                    <w:t>食堂废水</w:t>
                  </w:r>
                </w:p>
              </w:tc>
              <w:tc>
                <w:tcPr>
                  <w:tcW w:w="619" w:type="pct"/>
                  <w:vMerge w:val="restart"/>
                  <w:shd w:val="clear" w:color="auto" w:fill="auto"/>
                  <w:vAlign w:val="center"/>
                </w:tcPr>
                <w:p w14:paraId="579407F6">
                  <w:pPr>
                    <w:jc w:val="center"/>
                    <w:rPr>
                      <w:rFonts w:hint="default" w:eastAsia="宋体"/>
                      <w:color w:val="auto"/>
                      <w:szCs w:val="21"/>
                      <w:lang w:val="en-US" w:eastAsia="zh-CN"/>
                    </w:rPr>
                  </w:pPr>
                  <w:bookmarkStart w:id="36" w:name="OLE_LINK2"/>
                  <w:r>
                    <w:rPr>
                      <w:rFonts w:hint="eastAsia"/>
                      <w:color w:val="auto"/>
                      <w:szCs w:val="21"/>
                      <w:lang w:val="en-US" w:eastAsia="zh-CN"/>
                    </w:rPr>
                    <w:t>1152</w:t>
                  </w:r>
                  <w:bookmarkEnd w:id="36"/>
                </w:p>
              </w:tc>
              <w:tc>
                <w:tcPr>
                  <w:tcW w:w="794" w:type="pct"/>
                  <w:shd w:val="clear" w:color="auto" w:fill="auto"/>
                  <w:vAlign w:val="center"/>
                </w:tcPr>
                <w:p w14:paraId="44A8C4AE">
                  <w:pPr>
                    <w:jc w:val="center"/>
                    <w:rPr>
                      <w:color w:val="auto"/>
                      <w:szCs w:val="21"/>
                    </w:rPr>
                  </w:pPr>
                  <w:r>
                    <w:rPr>
                      <w:color w:val="auto"/>
                      <w:szCs w:val="21"/>
                    </w:rPr>
                    <w:t>COD</w:t>
                  </w:r>
                </w:p>
              </w:tc>
              <w:tc>
                <w:tcPr>
                  <w:tcW w:w="713" w:type="pct"/>
                  <w:shd w:val="clear" w:color="auto" w:fill="auto"/>
                  <w:vAlign w:val="center"/>
                </w:tcPr>
                <w:p w14:paraId="481681D4">
                  <w:pPr>
                    <w:jc w:val="center"/>
                    <w:rPr>
                      <w:color w:val="auto"/>
                      <w:szCs w:val="21"/>
                    </w:rPr>
                  </w:pPr>
                  <w:r>
                    <w:rPr>
                      <w:color w:val="auto"/>
                      <w:szCs w:val="21"/>
                    </w:rPr>
                    <w:t>400</w:t>
                  </w:r>
                </w:p>
              </w:tc>
              <w:tc>
                <w:tcPr>
                  <w:tcW w:w="706" w:type="pct"/>
                  <w:shd w:val="clear" w:color="auto" w:fill="auto"/>
                  <w:vAlign w:val="center"/>
                </w:tcPr>
                <w:p w14:paraId="1FA81613">
                  <w:pPr>
                    <w:jc w:val="center"/>
                    <w:rPr>
                      <w:rFonts w:hint="default" w:eastAsia="宋体"/>
                      <w:color w:val="auto"/>
                      <w:sz w:val="22"/>
                      <w:szCs w:val="22"/>
                      <w:lang w:val="en-US" w:eastAsia="zh-CN"/>
                    </w:rPr>
                  </w:pPr>
                  <w:bookmarkStart w:id="37" w:name="OLE_LINK3"/>
                  <w:r>
                    <w:rPr>
                      <w:color w:val="auto"/>
                      <w:sz w:val="22"/>
                      <w:szCs w:val="22"/>
                    </w:rPr>
                    <w:t>0.</w:t>
                  </w:r>
                  <w:r>
                    <w:rPr>
                      <w:rFonts w:hint="eastAsia"/>
                      <w:color w:val="auto"/>
                      <w:sz w:val="22"/>
                      <w:szCs w:val="22"/>
                      <w:lang w:val="en-US" w:eastAsia="zh-CN"/>
                    </w:rPr>
                    <w:t>4608</w:t>
                  </w:r>
                  <w:bookmarkEnd w:id="37"/>
                </w:p>
              </w:tc>
              <w:tc>
                <w:tcPr>
                  <w:tcW w:w="911" w:type="pct"/>
                  <w:vMerge w:val="restart"/>
                  <w:tcBorders>
                    <w:right w:val="nil"/>
                  </w:tcBorders>
                  <w:vAlign w:val="center"/>
                </w:tcPr>
                <w:p w14:paraId="5B07BCF5">
                  <w:pPr>
                    <w:jc w:val="center"/>
                    <w:rPr>
                      <w:color w:val="auto"/>
                      <w:szCs w:val="21"/>
                    </w:rPr>
                  </w:pPr>
                  <w:r>
                    <w:rPr>
                      <w:rFonts w:hint="eastAsia"/>
                      <w:color w:val="auto"/>
                      <w:szCs w:val="21"/>
                    </w:rPr>
                    <w:t>经隔油池处理后</w:t>
                  </w:r>
                  <w:r>
                    <w:rPr>
                      <w:color w:val="auto"/>
                      <w:szCs w:val="21"/>
                    </w:rPr>
                    <w:t>排入厂区污水处理站处置</w:t>
                  </w:r>
                </w:p>
              </w:tc>
            </w:tr>
            <w:tr w14:paraId="4383D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9" w:type="pct"/>
                  <w:vMerge w:val="continue"/>
                  <w:tcBorders>
                    <w:left w:val="nil"/>
                  </w:tcBorders>
                  <w:shd w:val="clear" w:color="auto" w:fill="auto"/>
                  <w:vAlign w:val="center"/>
                </w:tcPr>
                <w:p w14:paraId="41AB791E">
                  <w:pPr>
                    <w:jc w:val="center"/>
                    <w:rPr>
                      <w:color w:val="auto"/>
                      <w:szCs w:val="21"/>
                    </w:rPr>
                  </w:pPr>
                </w:p>
              </w:tc>
              <w:tc>
                <w:tcPr>
                  <w:tcW w:w="528" w:type="pct"/>
                  <w:vMerge w:val="continue"/>
                  <w:shd w:val="clear" w:color="auto" w:fill="auto"/>
                  <w:vAlign w:val="center"/>
                </w:tcPr>
                <w:p w14:paraId="7CB1BB39">
                  <w:pPr>
                    <w:jc w:val="center"/>
                    <w:rPr>
                      <w:color w:val="auto"/>
                      <w:szCs w:val="21"/>
                    </w:rPr>
                  </w:pPr>
                </w:p>
              </w:tc>
              <w:tc>
                <w:tcPr>
                  <w:tcW w:w="619" w:type="pct"/>
                  <w:vMerge w:val="continue"/>
                  <w:shd w:val="clear" w:color="auto" w:fill="auto"/>
                  <w:vAlign w:val="center"/>
                </w:tcPr>
                <w:p w14:paraId="3420AC8E">
                  <w:pPr>
                    <w:jc w:val="center"/>
                    <w:rPr>
                      <w:color w:val="auto"/>
                      <w:szCs w:val="21"/>
                    </w:rPr>
                  </w:pPr>
                </w:p>
              </w:tc>
              <w:tc>
                <w:tcPr>
                  <w:tcW w:w="794" w:type="pct"/>
                  <w:shd w:val="clear" w:color="auto" w:fill="auto"/>
                  <w:vAlign w:val="center"/>
                </w:tcPr>
                <w:p w14:paraId="1106FCA5">
                  <w:pPr>
                    <w:jc w:val="center"/>
                    <w:rPr>
                      <w:color w:val="auto"/>
                      <w:szCs w:val="21"/>
                    </w:rPr>
                  </w:pPr>
                  <w:r>
                    <w:rPr>
                      <w:rFonts w:hint="eastAsia"/>
                      <w:color w:val="auto"/>
                      <w:szCs w:val="21"/>
                    </w:rPr>
                    <w:t>B</w:t>
                  </w:r>
                  <w:r>
                    <w:rPr>
                      <w:color w:val="auto"/>
                      <w:szCs w:val="21"/>
                    </w:rPr>
                    <w:t>OD</w:t>
                  </w:r>
                  <w:r>
                    <w:rPr>
                      <w:color w:val="auto"/>
                      <w:szCs w:val="21"/>
                      <w:vertAlign w:val="subscript"/>
                    </w:rPr>
                    <w:t>5</w:t>
                  </w:r>
                </w:p>
              </w:tc>
              <w:tc>
                <w:tcPr>
                  <w:tcW w:w="713" w:type="pct"/>
                  <w:shd w:val="clear" w:color="auto" w:fill="auto"/>
                  <w:vAlign w:val="center"/>
                </w:tcPr>
                <w:p w14:paraId="0D23095D">
                  <w:pPr>
                    <w:jc w:val="center"/>
                    <w:rPr>
                      <w:color w:val="auto"/>
                      <w:szCs w:val="21"/>
                    </w:rPr>
                  </w:pPr>
                  <w:r>
                    <w:rPr>
                      <w:rFonts w:hint="eastAsia"/>
                      <w:color w:val="auto"/>
                      <w:szCs w:val="21"/>
                    </w:rPr>
                    <w:t>3</w:t>
                  </w:r>
                  <w:r>
                    <w:rPr>
                      <w:color w:val="auto"/>
                      <w:szCs w:val="21"/>
                    </w:rPr>
                    <w:t>00</w:t>
                  </w:r>
                </w:p>
              </w:tc>
              <w:tc>
                <w:tcPr>
                  <w:tcW w:w="706" w:type="pct"/>
                  <w:shd w:val="clear" w:color="auto" w:fill="auto"/>
                  <w:vAlign w:val="center"/>
                </w:tcPr>
                <w:p w14:paraId="36CB0546">
                  <w:pPr>
                    <w:jc w:val="center"/>
                    <w:rPr>
                      <w:rFonts w:hint="default" w:eastAsia="宋体"/>
                      <w:color w:val="auto"/>
                      <w:sz w:val="22"/>
                      <w:szCs w:val="22"/>
                      <w:lang w:val="en-US" w:eastAsia="zh-CN"/>
                    </w:rPr>
                  </w:pPr>
                  <w:r>
                    <w:rPr>
                      <w:rFonts w:hint="eastAsia"/>
                      <w:color w:val="auto"/>
                      <w:sz w:val="22"/>
                      <w:szCs w:val="22"/>
                    </w:rPr>
                    <w:t>0</w:t>
                  </w:r>
                  <w:r>
                    <w:rPr>
                      <w:color w:val="auto"/>
                      <w:sz w:val="22"/>
                      <w:szCs w:val="22"/>
                    </w:rPr>
                    <w:t>.</w:t>
                  </w:r>
                  <w:r>
                    <w:rPr>
                      <w:rFonts w:hint="eastAsia"/>
                      <w:color w:val="auto"/>
                      <w:sz w:val="22"/>
                      <w:szCs w:val="22"/>
                      <w:lang w:val="en-US" w:eastAsia="zh-CN"/>
                    </w:rPr>
                    <w:t>3456</w:t>
                  </w:r>
                </w:p>
              </w:tc>
              <w:tc>
                <w:tcPr>
                  <w:tcW w:w="911" w:type="pct"/>
                  <w:vMerge w:val="continue"/>
                  <w:tcBorders>
                    <w:right w:val="nil"/>
                  </w:tcBorders>
                  <w:vAlign w:val="center"/>
                </w:tcPr>
                <w:p w14:paraId="5D8A46DA">
                  <w:pPr>
                    <w:jc w:val="center"/>
                    <w:rPr>
                      <w:color w:val="auto"/>
                      <w:szCs w:val="21"/>
                    </w:rPr>
                  </w:pPr>
                </w:p>
              </w:tc>
            </w:tr>
            <w:tr w14:paraId="2C085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9" w:type="pct"/>
                  <w:vMerge w:val="continue"/>
                  <w:tcBorders>
                    <w:left w:val="nil"/>
                  </w:tcBorders>
                  <w:shd w:val="clear" w:color="auto" w:fill="auto"/>
                  <w:vAlign w:val="center"/>
                </w:tcPr>
                <w:p w14:paraId="7F92CE5D">
                  <w:pPr>
                    <w:jc w:val="center"/>
                    <w:rPr>
                      <w:color w:val="auto"/>
                      <w:szCs w:val="21"/>
                    </w:rPr>
                  </w:pPr>
                </w:p>
              </w:tc>
              <w:tc>
                <w:tcPr>
                  <w:tcW w:w="528" w:type="pct"/>
                  <w:vMerge w:val="continue"/>
                  <w:shd w:val="clear" w:color="auto" w:fill="auto"/>
                  <w:vAlign w:val="center"/>
                </w:tcPr>
                <w:p w14:paraId="7DA86AAB">
                  <w:pPr>
                    <w:jc w:val="center"/>
                    <w:rPr>
                      <w:color w:val="auto"/>
                      <w:szCs w:val="21"/>
                    </w:rPr>
                  </w:pPr>
                </w:p>
              </w:tc>
              <w:tc>
                <w:tcPr>
                  <w:tcW w:w="619" w:type="pct"/>
                  <w:vMerge w:val="continue"/>
                  <w:shd w:val="clear" w:color="auto" w:fill="auto"/>
                  <w:vAlign w:val="center"/>
                </w:tcPr>
                <w:p w14:paraId="0287B0B6">
                  <w:pPr>
                    <w:jc w:val="center"/>
                    <w:rPr>
                      <w:color w:val="auto"/>
                      <w:szCs w:val="21"/>
                    </w:rPr>
                  </w:pPr>
                </w:p>
              </w:tc>
              <w:tc>
                <w:tcPr>
                  <w:tcW w:w="794" w:type="pct"/>
                  <w:shd w:val="clear" w:color="auto" w:fill="auto"/>
                  <w:vAlign w:val="center"/>
                </w:tcPr>
                <w:p w14:paraId="5A9694A4">
                  <w:pPr>
                    <w:jc w:val="center"/>
                    <w:rPr>
                      <w:color w:val="auto"/>
                      <w:szCs w:val="21"/>
                    </w:rPr>
                  </w:pPr>
                  <w:r>
                    <w:rPr>
                      <w:rFonts w:hint="eastAsia"/>
                      <w:color w:val="auto"/>
                      <w:szCs w:val="21"/>
                    </w:rPr>
                    <w:t>S</w:t>
                  </w:r>
                  <w:r>
                    <w:rPr>
                      <w:color w:val="auto"/>
                      <w:szCs w:val="21"/>
                    </w:rPr>
                    <w:t>S</w:t>
                  </w:r>
                </w:p>
              </w:tc>
              <w:tc>
                <w:tcPr>
                  <w:tcW w:w="713" w:type="pct"/>
                  <w:shd w:val="clear" w:color="auto" w:fill="auto"/>
                  <w:vAlign w:val="center"/>
                </w:tcPr>
                <w:p w14:paraId="7A469F93">
                  <w:pPr>
                    <w:jc w:val="center"/>
                    <w:rPr>
                      <w:color w:val="auto"/>
                      <w:szCs w:val="21"/>
                    </w:rPr>
                  </w:pPr>
                  <w:r>
                    <w:rPr>
                      <w:rFonts w:hint="eastAsia"/>
                      <w:color w:val="auto"/>
                      <w:szCs w:val="21"/>
                    </w:rPr>
                    <w:t>4</w:t>
                  </w:r>
                  <w:r>
                    <w:rPr>
                      <w:color w:val="auto"/>
                      <w:szCs w:val="21"/>
                    </w:rPr>
                    <w:t>00</w:t>
                  </w:r>
                </w:p>
              </w:tc>
              <w:tc>
                <w:tcPr>
                  <w:tcW w:w="706" w:type="pct"/>
                  <w:shd w:val="clear" w:color="auto" w:fill="auto"/>
                  <w:vAlign w:val="center"/>
                </w:tcPr>
                <w:p w14:paraId="7E660EEA">
                  <w:pPr>
                    <w:jc w:val="center"/>
                    <w:rPr>
                      <w:color w:val="auto"/>
                      <w:sz w:val="22"/>
                      <w:szCs w:val="22"/>
                    </w:rPr>
                  </w:pPr>
                  <w:r>
                    <w:rPr>
                      <w:color w:val="auto"/>
                      <w:sz w:val="22"/>
                      <w:szCs w:val="22"/>
                    </w:rPr>
                    <w:t>0.</w:t>
                  </w:r>
                  <w:r>
                    <w:rPr>
                      <w:rFonts w:hint="eastAsia"/>
                      <w:color w:val="auto"/>
                      <w:sz w:val="22"/>
                      <w:szCs w:val="22"/>
                      <w:lang w:val="en-US" w:eastAsia="zh-CN"/>
                    </w:rPr>
                    <w:t>4608</w:t>
                  </w:r>
                </w:p>
              </w:tc>
              <w:tc>
                <w:tcPr>
                  <w:tcW w:w="911" w:type="pct"/>
                  <w:vMerge w:val="continue"/>
                  <w:tcBorders>
                    <w:right w:val="nil"/>
                  </w:tcBorders>
                  <w:vAlign w:val="center"/>
                </w:tcPr>
                <w:p w14:paraId="6258EF9F">
                  <w:pPr>
                    <w:jc w:val="center"/>
                    <w:rPr>
                      <w:color w:val="auto"/>
                      <w:szCs w:val="21"/>
                    </w:rPr>
                  </w:pPr>
                </w:p>
              </w:tc>
            </w:tr>
            <w:tr w14:paraId="74537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9" w:type="pct"/>
                  <w:vMerge w:val="continue"/>
                  <w:tcBorders>
                    <w:left w:val="nil"/>
                  </w:tcBorders>
                  <w:shd w:val="clear" w:color="auto" w:fill="auto"/>
                  <w:vAlign w:val="center"/>
                </w:tcPr>
                <w:p w14:paraId="19E7A631">
                  <w:pPr>
                    <w:jc w:val="center"/>
                    <w:rPr>
                      <w:color w:val="auto"/>
                      <w:szCs w:val="21"/>
                    </w:rPr>
                  </w:pPr>
                </w:p>
              </w:tc>
              <w:tc>
                <w:tcPr>
                  <w:tcW w:w="528" w:type="pct"/>
                  <w:vMerge w:val="continue"/>
                  <w:shd w:val="clear" w:color="auto" w:fill="auto"/>
                  <w:vAlign w:val="center"/>
                </w:tcPr>
                <w:p w14:paraId="59FB10A6">
                  <w:pPr>
                    <w:jc w:val="center"/>
                    <w:rPr>
                      <w:color w:val="auto"/>
                      <w:szCs w:val="21"/>
                    </w:rPr>
                  </w:pPr>
                </w:p>
              </w:tc>
              <w:tc>
                <w:tcPr>
                  <w:tcW w:w="619" w:type="pct"/>
                  <w:vMerge w:val="continue"/>
                  <w:shd w:val="clear" w:color="auto" w:fill="auto"/>
                  <w:vAlign w:val="center"/>
                </w:tcPr>
                <w:p w14:paraId="0DF30577">
                  <w:pPr>
                    <w:jc w:val="center"/>
                    <w:rPr>
                      <w:color w:val="auto"/>
                      <w:szCs w:val="21"/>
                    </w:rPr>
                  </w:pPr>
                </w:p>
              </w:tc>
              <w:tc>
                <w:tcPr>
                  <w:tcW w:w="794" w:type="pct"/>
                  <w:shd w:val="clear" w:color="auto" w:fill="auto"/>
                  <w:vAlign w:val="center"/>
                </w:tcPr>
                <w:p w14:paraId="2A2F1557">
                  <w:pPr>
                    <w:jc w:val="center"/>
                    <w:rPr>
                      <w:color w:val="auto"/>
                      <w:szCs w:val="21"/>
                    </w:rPr>
                  </w:pPr>
                  <w:r>
                    <w:rPr>
                      <w:color w:val="auto"/>
                      <w:szCs w:val="21"/>
                    </w:rPr>
                    <w:t>氨氮</w:t>
                  </w:r>
                </w:p>
              </w:tc>
              <w:tc>
                <w:tcPr>
                  <w:tcW w:w="713" w:type="pct"/>
                  <w:shd w:val="clear" w:color="auto" w:fill="auto"/>
                  <w:vAlign w:val="center"/>
                </w:tcPr>
                <w:p w14:paraId="0B00726B">
                  <w:pPr>
                    <w:jc w:val="center"/>
                    <w:rPr>
                      <w:color w:val="auto"/>
                      <w:szCs w:val="21"/>
                    </w:rPr>
                  </w:pPr>
                  <w:r>
                    <w:rPr>
                      <w:color w:val="auto"/>
                      <w:szCs w:val="21"/>
                    </w:rPr>
                    <w:t>35</w:t>
                  </w:r>
                </w:p>
              </w:tc>
              <w:tc>
                <w:tcPr>
                  <w:tcW w:w="706" w:type="pct"/>
                  <w:shd w:val="clear" w:color="auto" w:fill="auto"/>
                  <w:vAlign w:val="center"/>
                </w:tcPr>
                <w:p w14:paraId="44CDCECB">
                  <w:pPr>
                    <w:jc w:val="center"/>
                    <w:rPr>
                      <w:rFonts w:hint="default" w:eastAsia="宋体"/>
                      <w:color w:val="auto"/>
                      <w:sz w:val="22"/>
                      <w:szCs w:val="22"/>
                      <w:lang w:val="en-US" w:eastAsia="zh-CN"/>
                    </w:rPr>
                  </w:pPr>
                  <w:r>
                    <w:rPr>
                      <w:color w:val="auto"/>
                      <w:sz w:val="22"/>
                      <w:szCs w:val="22"/>
                    </w:rPr>
                    <w:t>0.0</w:t>
                  </w:r>
                  <w:r>
                    <w:rPr>
                      <w:rFonts w:hint="eastAsia"/>
                      <w:color w:val="auto"/>
                      <w:sz w:val="22"/>
                      <w:szCs w:val="22"/>
                      <w:lang w:val="en-US" w:eastAsia="zh-CN"/>
                    </w:rPr>
                    <w:t>403</w:t>
                  </w:r>
                </w:p>
              </w:tc>
              <w:tc>
                <w:tcPr>
                  <w:tcW w:w="911" w:type="pct"/>
                  <w:vMerge w:val="continue"/>
                  <w:tcBorders>
                    <w:right w:val="nil"/>
                  </w:tcBorders>
                  <w:vAlign w:val="center"/>
                </w:tcPr>
                <w:p w14:paraId="744098EF">
                  <w:pPr>
                    <w:jc w:val="center"/>
                    <w:rPr>
                      <w:color w:val="auto"/>
                      <w:szCs w:val="21"/>
                    </w:rPr>
                  </w:pPr>
                </w:p>
              </w:tc>
            </w:tr>
            <w:tr w14:paraId="2ED4D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9" w:type="pct"/>
                  <w:vMerge w:val="continue"/>
                  <w:tcBorders>
                    <w:left w:val="nil"/>
                  </w:tcBorders>
                  <w:shd w:val="clear" w:color="auto" w:fill="auto"/>
                  <w:vAlign w:val="center"/>
                </w:tcPr>
                <w:p w14:paraId="3EEE37D6">
                  <w:pPr>
                    <w:jc w:val="center"/>
                    <w:rPr>
                      <w:color w:val="auto"/>
                      <w:szCs w:val="21"/>
                    </w:rPr>
                  </w:pPr>
                </w:p>
              </w:tc>
              <w:tc>
                <w:tcPr>
                  <w:tcW w:w="528" w:type="pct"/>
                  <w:vMerge w:val="continue"/>
                  <w:shd w:val="clear" w:color="auto" w:fill="auto"/>
                  <w:vAlign w:val="center"/>
                </w:tcPr>
                <w:p w14:paraId="58D806D8">
                  <w:pPr>
                    <w:jc w:val="center"/>
                    <w:rPr>
                      <w:color w:val="auto"/>
                      <w:szCs w:val="21"/>
                    </w:rPr>
                  </w:pPr>
                </w:p>
              </w:tc>
              <w:tc>
                <w:tcPr>
                  <w:tcW w:w="619" w:type="pct"/>
                  <w:vMerge w:val="continue"/>
                  <w:shd w:val="clear" w:color="auto" w:fill="auto"/>
                  <w:vAlign w:val="center"/>
                </w:tcPr>
                <w:p w14:paraId="35A3A297">
                  <w:pPr>
                    <w:jc w:val="center"/>
                    <w:rPr>
                      <w:color w:val="auto"/>
                      <w:szCs w:val="21"/>
                    </w:rPr>
                  </w:pPr>
                </w:p>
              </w:tc>
              <w:tc>
                <w:tcPr>
                  <w:tcW w:w="794" w:type="pct"/>
                  <w:shd w:val="clear" w:color="auto" w:fill="auto"/>
                  <w:vAlign w:val="center"/>
                </w:tcPr>
                <w:p w14:paraId="1714E2F7">
                  <w:pPr>
                    <w:jc w:val="center"/>
                    <w:rPr>
                      <w:color w:val="auto"/>
                      <w:szCs w:val="21"/>
                    </w:rPr>
                  </w:pPr>
                  <w:r>
                    <w:rPr>
                      <w:color w:val="auto"/>
                      <w:szCs w:val="21"/>
                    </w:rPr>
                    <w:t>总氮</w:t>
                  </w:r>
                </w:p>
              </w:tc>
              <w:tc>
                <w:tcPr>
                  <w:tcW w:w="713" w:type="pct"/>
                  <w:shd w:val="clear" w:color="auto" w:fill="auto"/>
                  <w:vAlign w:val="center"/>
                </w:tcPr>
                <w:p w14:paraId="2194264D">
                  <w:pPr>
                    <w:jc w:val="center"/>
                    <w:rPr>
                      <w:color w:val="auto"/>
                      <w:szCs w:val="21"/>
                    </w:rPr>
                  </w:pPr>
                  <w:r>
                    <w:rPr>
                      <w:color w:val="auto"/>
                      <w:szCs w:val="21"/>
                    </w:rPr>
                    <w:t>40</w:t>
                  </w:r>
                </w:p>
              </w:tc>
              <w:tc>
                <w:tcPr>
                  <w:tcW w:w="706" w:type="pct"/>
                  <w:shd w:val="clear" w:color="auto" w:fill="auto"/>
                  <w:vAlign w:val="center"/>
                </w:tcPr>
                <w:p w14:paraId="3643D7B8">
                  <w:pPr>
                    <w:jc w:val="center"/>
                    <w:rPr>
                      <w:rFonts w:hint="default" w:eastAsia="宋体"/>
                      <w:color w:val="auto"/>
                      <w:sz w:val="22"/>
                      <w:szCs w:val="22"/>
                      <w:lang w:val="en-US" w:eastAsia="zh-CN"/>
                    </w:rPr>
                  </w:pPr>
                  <w:r>
                    <w:rPr>
                      <w:color w:val="auto"/>
                      <w:sz w:val="22"/>
                      <w:szCs w:val="22"/>
                    </w:rPr>
                    <w:t>0.0</w:t>
                  </w:r>
                  <w:r>
                    <w:rPr>
                      <w:rFonts w:hint="eastAsia"/>
                      <w:color w:val="auto"/>
                      <w:sz w:val="22"/>
                      <w:szCs w:val="22"/>
                      <w:lang w:val="en-US" w:eastAsia="zh-CN"/>
                    </w:rPr>
                    <w:t>461</w:t>
                  </w:r>
                </w:p>
              </w:tc>
              <w:tc>
                <w:tcPr>
                  <w:tcW w:w="911" w:type="pct"/>
                  <w:vMerge w:val="continue"/>
                  <w:tcBorders>
                    <w:right w:val="nil"/>
                  </w:tcBorders>
                  <w:vAlign w:val="center"/>
                </w:tcPr>
                <w:p w14:paraId="0DC3AC7A">
                  <w:pPr>
                    <w:jc w:val="center"/>
                    <w:rPr>
                      <w:color w:val="auto"/>
                      <w:szCs w:val="21"/>
                    </w:rPr>
                  </w:pPr>
                </w:p>
              </w:tc>
            </w:tr>
            <w:tr w14:paraId="4A53C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9" w:type="pct"/>
                  <w:vMerge w:val="continue"/>
                  <w:tcBorders>
                    <w:left w:val="nil"/>
                  </w:tcBorders>
                  <w:shd w:val="clear" w:color="auto" w:fill="auto"/>
                  <w:vAlign w:val="center"/>
                </w:tcPr>
                <w:p w14:paraId="284D591A">
                  <w:pPr>
                    <w:jc w:val="center"/>
                    <w:rPr>
                      <w:color w:val="auto"/>
                      <w:szCs w:val="21"/>
                    </w:rPr>
                  </w:pPr>
                </w:p>
              </w:tc>
              <w:tc>
                <w:tcPr>
                  <w:tcW w:w="528" w:type="pct"/>
                  <w:vMerge w:val="continue"/>
                  <w:shd w:val="clear" w:color="auto" w:fill="auto"/>
                  <w:vAlign w:val="center"/>
                </w:tcPr>
                <w:p w14:paraId="7C80D4EA">
                  <w:pPr>
                    <w:jc w:val="center"/>
                    <w:rPr>
                      <w:color w:val="auto"/>
                      <w:szCs w:val="21"/>
                    </w:rPr>
                  </w:pPr>
                </w:p>
              </w:tc>
              <w:tc>
                <w:tcPr>
                  <w:tcW w:w="619" w:type="pct"/>
                  <w:vMerge w:val="continue"/>
                  <w:shd w:val="clear" w:color="auto" w:fill="auto"/>
                  <w:vAlign w:val="center"/>
                </w:tcPr>
                <w:p w14:paraId="7CEE7B84">
                  <w:pPr>
                    <w:jc w:val="center"/>
                    <w:rPr>
                      <w:color w:val="auto"/>
                      <w:szCs w:val="21"/>
                    </w:rPr>
                  </w:pPr>
                </w:p>
              </w:tc>
              <w:tc>
                <w:tcPr>
                  <w:tcW w:w="794" w:type="pct"/>
                  <w:shd w:val="clear" w:color="auto" w:fill="auto"/>
                  <w:vAlign w:val="center"/>
                </w:tcPr>
                <w:p w14:paraId="645ADBDF">
                  <w:pPr>
                    <w:jc w:val="center"/>
                    <w:rPr>
                      <w:color w:val="auto"/>
                      <w:szCs w:val="21"/>
                    </w:rPr>
                  </w:pPr>
                  <w:r>
                    <w:rPr>
                      <w:color w:val="auto"/>
                      <w:szCs w:val="21"/>
                    </w:rPr>
                    <w:t>总磷</w:t>
                  </w:r>
                </w:p>
              </w:tc>
              <w:tc>
                <w:tcPr>
                  <w:tcW w:w="713" w:type="pct"/>
                  <w:shd w:val="clear" w:color="auto" w:fill="auto"/>
                  <w:vAlign w:val="center"/>
                </w:tcPr>
                <w:p w14:paraId="300E663B">
                  <w:pPr>
                    <w:jc w:val="center"/>
                    <w:rPr>
                      <w:color w:val="auto"/>
                      <w:szCs w:val="21"/>
                    </w:rPr>
                  </w:pPr>
                  <w:r>
                    <w:rPr>
                      <w:color w:val="auto"/>
                      <w:szCs w:val="21"/>
                    </w:rPr>
                    <w:t>5</w:t>
                  </w:r>
                </w:p>
              </w:tc>
              <w:tc>
                <w:tcPr>
                  <w:tcW w:w="706" w:type="pct"/>
                  <w:shd w:val="clear" w:color="auto" w:fill="auto"/>
                  <w:vAlign w:val="center"/>
                </w:tcPr>
                <w:p w14:paraId="0B844FCC">
                  <w:pPr>
                    <w:jc w:val="center"/>
                    <w:rPr>
                      <w:rFonts w:hint="default" w:eastAsia="宋体"/>
                      <w:color w:val="auto"/>
                      <w:sz w:val="22"/>
                      <w:szCs w:val="22"/>
                      <w:lang w:val="en-US" w:eastAsia="zh-CN"/>
                    </w:rPr>
                  </w:pPr>
                  <w:r>
                    <w:rPr>
                      <w:color w:val="auto"/>
                      <w:sz w:val="22"/>
                      <w:szCs w:val="22"/>
                    </w:rPr>
                    <w:t>0.00</w:t>
                  </w:r>
                  <w:r>
                    <w:rPr>
                      <w:rFonts w:hint="eastAsia"/>
                      <w:color w:val="auto"/>
                      <w:sz w:val="22"/>
                      <w:szCs w:val="22"/>
                      <w:lang w:val="en-US" w:eastAsia="zh-CN"/>
                    </w:rPr>
                    <w:t>58</w:t>
                  </w:r>
                </w:p>
              </w:tc>
              <w:tc>
                <w:tcPr>
                  <w:tcW w:w="911" w:type="pct"/>
                  <w:vMerge w:val="continue"/>
                  <w:tcBorders>
                    <w:right w:val="nil"/>
                  </w:tcBorders>
                  <w:vAlign w:val="center"/>
                </w:tcPr>
                <w:p w14:paraId="59C1E0BC">
                  <w:pPr>
                    <w:jc w:val="center"/>
                    <w:rPr>
                      <w:color w:val="auto"/>
                      <w:szCs w:val="21"/>
                    </w:rPr>
                  </w:pPr>
                </w:p>
              </w:tc>
            </w:tr>
            <w:tr w14:paraId="59768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9" w:type="pct"/>
                  <w:vMerge w:val="continue"/>
                  <w:tcBorders>
                    <w:left w:val="nil"/>
                  </w:tcBorders>
                  <w:shd w:val="clear" w:color="auto" w:fill="auto"/>
                  <w:vAlign w:val="center"/>
                </w:tcPr>
                <w:p w14:paraId="2E46445D">
                  <w:pPr>
                    <w:jc w:val="center"/>
                    <w:rPr>
                      <w:color w:val="auto"/>
                      <w:szCs w:val="21"/>
                    </w:rPr>
                  </w:pPr>
                </w:p>
              </w:tc>
              <w:tc>
                <w:tcPr>
                  <w:tcW w:w="528" w:type="pct"/>
                  <w:vMerge w:val="continue"/>
                  <w:shd w:val="clear" w:color="auto" w:fill="auto"/>
                  <w:vAlign w:val="center"/>
                </w:tcPr>
                <w:p w14:paraId="29762402">
                  <w:pPr>
                    <w:jc w:val="center"/>
                    <w:rPr>
                      <w:color w:val="auto"/>
                      <w:szCs w:val="21"/>
                    </w:rPr>
                  </w:pPr>
                </w:p>
              </w:tc>
              <w:tc>
                <w:tcPr>
                  <w:tcW w:w="619" w:type="pct"/>
                  <w:vMerge w:val="continue"/>
                  <w:shd w:val="clear" w:color="auto" w:fill="auto"/>
                  <w:vAlign w:val="center"/>
                </w:tcPr>
                <w:p w14:paraId="1AFD714F">
                  <w:pPr>
                    <w:jc w:val="center"/>
                    <w:rPr>
                      <w:color w:val="auto"/>
                      <w:szCs w:val="21"/>
                    </w:rPr>
                  </w:pPr>
                </w:p>
              </w:tc>
              <w:tc>
                <w:tcPr>
                  <w:tcW w:w="794" w:type="pct"/>
                  <w:shd w:val="clear" w:color="auto" w:fill="auto"/>
                  <w:vAlign w:val="center"/>
                </w:tcPr>
                <w:p w14:paraId="60737897">
                  <w:pPr>
                    <w:jc w:val="center"/>
                    <w:rPr>
                      <w:color w:val="auto"/>
                      <w:szCs w:val="21"/>
                    </w:rPr>
                  </w:pPr>
                  <w:r>
                    <w:rPr>
                      <w:color w:val="auto"/>
                      <w:szCs w:val="21"/>
                    </w:rPr>
                    <w:t>动植物油</w:t>
                  </w:r>
                </w:p>
              </w:tc>
              <w:tc>
                <w:tcPr>
                  <w:tcW w:w="713" w:type="pct"/>
                  <w:shd w:val="clear" w:color="auto" w:fill="auto"/>
                  <w:vAlign w:val="center"/>
                </w:tcPr>
                <w:p w14:paraId="4EAFC8DF">
                  <w:pPr>
                    <w:jc w:val="center"/>
                    <w:rPr>
                      <w:color w:val="auto"/>
                      <w:szCs w:val="21"/>
                    </w:rPr>
                  </w:pPr>
                  <w:r>
                    <w:rPr>
                      <w:color w:val="auto"/>
                      <w:szCs w:val="21"/>
                    </w:rPr>
                    <w:t>200</w:t>
                  </w:r>
                </w:p>
              </w:tc>
              <w:tc>
                <w:tcPr>
                  <w:tcW w:w="706" w:type="pct"/>
                  <w:shd w:val="clear" w:color="auto" w:fill="auto"/>
                  <w:vAlign w:val="center"/>
                </w:tcPr>
                <w:p w14:paraId="5535528B">
                  <w:pPr>
                    <w:jc w:val="center"/>
                    <w:rPr>
                      <w:rFonts w:hint="default" w:eastAsia="宋体"/>
                      <w:color w:val="auto"/>
                      <w:sz w:val="22"/>
                      <w:szCs w:val="22"/>
                      <w:lang w:val="en-US" w:eastAsia="zh-CN"/>
                    </w:rPr>
                  </w:pPr>
                  <w:r>
                    <w:rPr>
                      <w:color w:val="auto"/>
                      <w:sz w:val="22"/>
                      <w:szCs w:val="22"/>
                    </w:rPr>
                    <w:t>0.</w:t>
                  </w:r>
                  <w:r>
                    <w:rPr>
                      <w:rFonts w:hint="eastAsia"/>
                      <w:color w:val="auto"/>
                      <w:sz w:val="22"/>
                      <w:szCs w:val="22"/>
                      <w:lang w:val="en-US" w:eastAsia="zh-CN"/>
                    </w:rPr>
                    <w:t>2304</w:t>
                  </w:r>
                </w:p>
              </w:tc>
              <w:tc>
                <w:tcPr>
                  <w:tcW w:w="911" w:type="pct"/>
                  <w:vMerge w:val="continue"/>
                  <w:tcBorders>
                    <w:right w:val="nil"/>
                  </w:tcBorders>
                  <w:vAlign w:val="center"/>
                </w:tcPr>
                <w:p w14:paraId="124FCFBB">
                  <w:pPr>
                    <w:jc w:val="center"/>
                    <w:rPr>
                      <w:color w:val="auto"/>
                      <w:szCs w:val="21"/>
                    </w:rPr>
                  </w:pPr>
                </w:p>
              </w:tc>
            </w:tr>
            <w:tr w14:paraId="37689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9" w:type="pct"/>
                  <w:vMerge w:val="continue"/>
                  <w:tcBorders>
                    <w:left w:val="nil"/>
                    <w:bottom w:val="single" w:color="auto" w:sz="12" w:space="0"/>
                  </w:tcBorders>
                  <w:shd w:val="clear" w:color="auto" w:fill="auto"/>
                  <w:vAlign w:val="center"/>
                </w:tcPr>
                <w:p w14:paraId="611C770A">
                  <w:pPr>
                    <w:jc w:val="center"/>
                    <w:rPr>
                      <w:color w:val="auto"/>
                      <w:szCs w:val="21"/>
                    </w:rPr>
                  </w:pPr>
                </w:p>
              </w:tc>
              <w:tc>
                <w:tcPr>
                  <w:tcW w:w="528" w:type="pct"/>
                  <w:vMerge w:val="continue"/>
                  <w:tcBorders>
                    <w:bottom w:val="single" w:color="auto" w:sz="12" w:space="0"/>
                  </w:tcBorders>
                  <w:shd w:val="clear" w:color="auto" w:fill="auto"/>
                  <w:vAlign w:val="center"/>
                </w:tcPr>
                <w:p w14:paraId="07C0406F">
                  <w:pPr>
                    <w:jc w:val="center"/>
                    <w:rPr>
                      <w:color w:val="auto"/>
                      <w:szCs w:val="21"/>
                    </w:rPr>
                  </w:pPr>
                </w:p>
              </w:tc>
              <w:tc>
                <w:tcPr>
                  <w:tcW w:w="619" w:type="pct"/>
                  <w:vMerge w:val="continue"/>
                  <w:tcBorders>
                    <w:bottom w:val="single" w:color="auto" w:sz="12" w:space="0"/>
                  </w:tcBorders>
                  <w:shd w:val="clear" w:color="auto" w:fill="auto"/>
                  <w:vAlign w:val="center"/>
                </w:tcPr>
                <w:p w14:paraId="0A33DB70">
                  <w:pPr>
                    <w:jc w:val="center"/>
                    <w:rPr>
                      <w:color w:val="auto"/>
                      <w:szCs w:val="21"/>
                    </w:rPr>
                  </w:pPr>
                </w:p>
              </w:tc>
              <w:tc>
                <w:tcPr>
                  <w:tcW w:w="794" w:type="pct"/>
                  <w:tcBorders>
                    <w:bottom w:val="single" w:color="auto" w:sz="12" w:space="0"/>
                  </w:tcBorders>
                  <w:shd w:val="clear" w:color="auto" w:fill="auto"/>
                  <w:vAlign w:val="center"/>
                </w:tcPr>
                <w:p w14:paraId="01AC52B2">
                  <w:pPr>
                    <w:jc w:val="center"/>
                    <w:rPr>
                      <w:color w:val="auto"/>
                      <w:szCs w:val="21"/>
                    </w:rPr>
                  </w:pPr>
                  <w:r>
                    <w:rPr>
                      <w:rFonts w:hint="eastAsia"/>
                      <w:color w:val="auto"/>
                      <w:szCs w:val="21"/>
                    </w:rPr>
                    <w:t>L</w:t>
                  </w:r>
                  <w:r>
                    <w:rPr>
                      <w:color w:val="auto"/>
                      <w:szCs w:val="21"/>
                    </w:rPr>
                    <w:t>AS</w:t>
                  </w:r>
                </w:p>
              </w:tc>
              <w:tc>
                <w:tcPr>
                  <w:tcW w:w="713" w:type="pct"/>
                  <w:tcBorders>
                    <w:bottom w:val="single" w:color="auto" w:sz="12" w:space="0"/>
                  </w:tcBorders>
                  <w:shd w:val="clear" w:color="auto" w:fill="auto"/>
                  <w:vAlign w:val="center"/>
                </w:tcPr>
                <w:p w14:paraId="4DBA296F">
                  <w:pPr>
                    <w:jc w:val="center"/>
                    <w:rPr>
                      <w:color w:val="auto"/>
                      <w:szCs w:val="21"/>
                    </w:rPr>
                  </w:pPr>
                  <w:r>
                    <w:rPr>
                      <w:rFonts w:hint="eastAsia"/>
                      <w:color w:val="auto"/>
                      <w:szCs w:val="21"/>
                    </w:rPr>
                    <w:t>2</w:t>
                  </w:r>
                  <w:r>
                    <w:rPr>
                      <w:color w:val="auto"/>
                      <w:szCs w:val="21"/>
                    </w:rPr>
                    <w:t>00</w:t>
                  </w:r>
                </w:p>
              </w:tc>
              <w:tc>
                <w:tcPr>
                  <w:tcW w:w="706" w:type="pct"/>
                  <w:tcBorders>
                    <w:bottom w:val="single" w:color="auto" w:sz="12" w:space="0"/>
                  </w:tcBorders>
                  <w:shd w:val="clear" w:color="auto" w:fill="auto"/>
                  <w:vAlign w:val="center"/>
                </w:tcPr>
                <w:p w14:paraId="7630EC48">
                  <w:pPr>
                    <w:jc w:val="center"/>
                    <w:rPr>
                      <w:rFonts w:hint="default" w:eastAsia="宋体"/>
                      <w:color w:val="auto"/>
                      <w:sz w:val="22"/>
                      <w:szCs w:val="22"/>
                      <w:lang w:val="en-US" w:eastAsia="zh-CN"/>
                    </w:rPr>
                  </w:pPr>
                  <w:r>
                    <w:rPr>
                      <w:rFonts w:hint="eastAsia"/>
                      <w:color w:val="auto"/>
                      <w:sz w:val="22"/>
                      <w:szCs w:val="22"/>
                    </w:rPr>
                    <w:t>0</w:t>
                  </w:r>
                  <w:r>
                    <w:rPr>
                      <w:color w:val="auto"/>
                      <w:sz w:val="22"/>
                      <w:szCs w:val="22"/>
                    </w:rPr>
                    <w:t>.</w:t>
                  </w:r>
                  <w:r>
                    <w:rPr>
                      <w:rFonts w:hint="eastAsia"/>
                      <w:color w:val="auto"/>
                      <w:sz w:val="22"/>
                      <w:szCs w:val="22"/>
                      <w:lang w:val="en-US" w:eastAsia="zh-CN"/>
                    </w:rPr>
                    <w:t>2304</w:t>
                  </w:r>
                </w:p>
              </w:tc>
              <w:tc>
                <w:tcPr>
                  <w:tcW w:w="911" w:type="pct"/>
                  <w:vMerge w:val="continue"/>
                  <w:tcBorders>
                    <w:bottom w:val="single" w:color="auto" w:sz="12" w:space="0"/>
                    <w:right w:val="nil"/>
                  </w:tcBorders>
                  <w:vAlign w:val="center"/>
                </w:tcPr>
                <w:p w14:paraId="56ED3ED9">
                  <w:pPr>
                    <w:jc w:val="center"/>
                    <w:rPr>
                      <w:color w:val="auto"/>
                      <w:szCs w:val="21"/>
                    </w:rPr>
                  </w:pPr>
                </w:p>
              </w:tc>
            </w:tr>
          </w:tbl>
          <w:p w14:paraId="56E638BB">
            <w:pPr>
              <w:spacing w:line="360" w:lineRule="auto"/>
              <w:ind w:firstLine="480" w:firstLineChars="200"/>
              <w:rPr>
                <w:color w:val="auto"/>
                <w:sz w:val="24"/>
              </w:rPr>
            </w:pPr>
            <w:r>
              <w:rPr>
                <w:color w:val="auto"/>
                <w:sz w:val="24"/>
              </w:rPr>
              <w:t>（2）生产废水</w:t>
            </w:r>
          </w:p>
          <w:p w14:paraId="0F6F4F49">
            <w:pPr>
              <w:adjustRightInd w:val="0"/>
              <w:snapToGrid w:val="0"/>
              <w:spacing w:line="360" w:lineRule="auto"/>
              <w:ind w:firstLine="480" w:firstLineChars="200"/>
              <w:rPr>
                <w:rFonts w:hint="eastAsia"/>
                <w:color w:val="auto"/>
                <w:sz w:val="24"/>
                <w:szCs w:val="24"/>
                <w:lang w:val="en-US" w:eastAsia="zh-CN"/>
              </w:rPr>
            </w:pPr>
            <w:r>
              <w:rPr>
                <w:rFonts w:hint="eastAsia"/>
                <w:color w:val="auto"/>
                <w:sz w:val="24"/>
                <w:szCs w:val="24"/>
                <w:lang w:val="en-US" w:eastAsia="zh-CN"/>
              </w:rPr>
              <w:t>A.清洗废水：</w:t>
            </w:r>
            <w:r>
              <w:rPr>
                <w:color w:val="auto"/>
                <w:sz w:val="24"/>
              </w:rPr>
              <w:t>本项目</w:t>
            </w:r>
            <w:r>
              <w:rPr>
                <w:rFonts w:hint="eastAsia"/>
                <w:color w:val="auto"/>
                <w:sz w:val="24"/>
                <w:lang w:val="en-US" w:eastAsia="zh-CN"/>
              </w:rPr>
              <w:t>鱿鱼、肉类、裙带菜清洗、漂洗、浸泡等工序产生</w:t>
            </w:r>
            <w:r>
              <w:rPr>
                <w:color w:val="auto"/>
                <w:sz w:val="24"/>
              </w:rPr>
              <w:t>的废水经污水处理站处置达标后接管至涟水经济开发区西区污水处理厂集中处置，尾水排放至公兴河。</w:t>
            </w:r>
            <w:r>
              <w:rPr>
                <w:color w:val="auto"/>
                <w:kern w:val="0"/>
                <w:sz w:val="24"/>
              </w:rPr>
              <w:t>类比同类项目《重庆市渝味漂香食品有限公司渝味漂香预制菜及休闲食品加工项目》竣工环境保护验收报告（202</w:t>
            </w:r>
            <w:r>
              <w:rPr>
                <w:rFonts w:hint="eastAsia"/>
                <w:color w:val="auto"/>
                <w:kern w:val="0"/>
                <w:sz w:val="24"/>
                <w:lang w:val="en-US" w:eastAsia="zh-CN"/>
              </w:rPr>
              <w:t>3</w:t>
            </w:r>
            <w:r>
              <w:rPr>
                <w:color w:val="auto"/>
                <w:kern w:val="0"/>
                <w:sz w:val="24"/>
              </w:rPr>
              <w:t>年</w:t>
            </w:r>
            <w:r>
              <w:rPr>
                <w:rFonts w:hint="eastAsia"/>
                <w:color w:val="auto"/>
                <w:kern w:val="0"/>
                <w:sz w:val="24"/>
              </w:rPr>
              <w:t>10</w:t>
            </w:r>
            <w:r>
              <w:rPr>
                <w:color w:val="auto"/>
                <w:kern w:val="0"/>
                <w:sz w:val="24"/>
              </w:rPr>
              <w:t>月），重庆市渝味漂香食品有限公司用水主要包括</w:t>
            </w:r>
            <w:r>
              <w:rPr>
                <w:rFonts w:hint="eastAsia"/>
                <w:color w:val="auto"/>
                <w:sz w:val="24"/>
                <w:szCs w:val="32"/>
              </w:rPr>
              <w:t>解冻废水、设备清洗废水、地面清洗废水</w:t>
            </w:r>
            <w:r>
              <w:rPr>
                <w:rFonts w:hint="eastAsia"/>
                <w:color w:val="auto"/>
                <w:sz w:val="24"/>
                <w:szCs w:val="32"/>
                <w:lang w:eastAsia="zh-CN"/>
              </w:rPr>
              <w:t>、</w:t>
            </w:r>
            <w:r>
              <w:rPr>
                <w:rFonts w:hint="eastAsia"/>
                <w:bCs/>
                <w:color w:val="auto"/>
                <w:sz w:val="24"/>
                <w:lang w:val="en-US" w:eastAsia="zh-CN"/>
              </w:rPr>
              <w:t>纯水制备废水</w:t>
            </w:r>
            <w:r>
              <w:rPr>
                <w:rFonts w:hint="eastAsia"/>
                <w:color w:val="auto"/>
                <w:sz w:val="24"/>
                <w:szCs w:val="32"/>
              </w:rPr>
              <w:t>等</w:t>
            </w:r>
            <w:r>
              <w:rPr>
                <w:color w:val="auto"/>
                <w:kern w:val="0"/>
                <w:sz w:val="24"/>
              </w:rPr>
              <w:t>，生产工艺主要为原辅料</w:t>
            </w:r>
            <w:r>
              <w:rPr>
                <w:rFonts w:hint="eastAsia"/>
                <w:color w:val="auto"/>
                <w:kern w:val="0"/>
                <w:sz w:val="24"/>
              </w:rPr>
              <w:t>解冻、</w:t>
            </w:r>
            <w:r>
              <w:rPr>
                <w:color w:val="auto"/>
                <w:kern w:val="0"/>
                <w:sz w:val="24"/>
              </w:rPr>
              <w:t>清洗</w:t>
            </w:r>
            <w:r>
              <w:rPr>
                <w:rFonts w:hint="eastAsia"/>
                <w:color w:val="auto"/>
                <w:kern w:val="0"/>
                <w:sz w:val="24"/>
              </w:rPr>
              <w:t>、</w:t>
            </w:r>
            <w:r>
              <w:rPr>
                <w:color w:val="auto"/>
                <w:kern w:val="0"/>
                <w:sz w:val="24"/>
              </w:rPr>
              <w:t>速冻</w:t>
            </w:r>
            <w:r>
              <w:rPr>
                <w:rFonts w:hint="eastAsia"/>
                <w:color w:val="auto"/>
                <w:kern w:val="0"/>
                <w:sz w:val="24"/>
              </w:rPr>
              <w:t>等</w:t>
            </w:r>
            <w:r>
              <w:rPr>
                <w:color w:val="auto"/>
                <w:kern w:val="0"/>
                <w:sz w:val="24"/>
              </w:rPr>
              <w:t>，本项目原辅料使用及生产工艺与重庆市渝味漂香食品有限公司基本相似，具有可类比性，</w:t>
            </w:r>
            <w:r>
              <w:rPr>
                <w:rFonts w:hint="eastAsia"/>
                <w:color w:val="auto"/>
                <w:kern w:val="0"/>
                <w:sz w:val="24"/>
              </w:rPr>
              <w:t>根据验收报告，平均</w:t>
            </w:r>
            <w:r>
              <w:rPr>
                <w:color w:val="auto"/>
                <w:kern w:val="0"/>
                <w:sz w:val="24"/>
              </w:rPr>
              <w:t>水质指标为：</w:t>
            </w:r>
            <w:r>
              <w:rPr>
                <w:rFonts w:hint="eastAsia"/>
                <w:color w:val="auto"/>
                <w:kern w:val="0"/>
                <w:sz w:val="24"/>
              </w:rPr>
              <w:t>pH：6.5~6.8、</w:t>
            </w:r>
            <w:r>
              <w:rPr>
                <w:color w:val="auto"/>
                <w:kern w:val="0"/>
                <w:sz w:val="24"/>
              </w:rPr>
              <w:t>COD：</w:t>
            </w:r>
            <w:r>
              <w:rPr>
                <w:rFonts w:hint="eastAsia"/>
                <w:color w:val="auto"/>
                <w:kern w:val="0"/>
                <w:sz w:val="24"/>
              </w:rPr>
              <w:t>828</w:t>
            </w:r>
            <w:r>
              <w:rPr>
                <w:color w:val="auto"/>
                <w:sz w:val="24"/>
              </w:rPr>
              <w:t>mg/L、</w:t>
            </w:r>
            <w:r>
              <w:rPr>
                <w:rFonts w:hint="eastAsia"/>
                <w:color w:val="auto"/>
                <w:sz w:val="24"/>
              </w:rPr>
              <w:t>BOD</w:t>
            </w:r>
            <w:r>
              <w:rPr>
                <w:rFonts w:hint="eastAsia"/>
                <w:color w:val="auto"/>
                <w:sz w:val="24"/>
                <w:vertAlign w:val="subscript"/>
              </w:rPr>
              <w:t>5</w:t>
            </w:r>
            <w:r>
              <w:rPr>
                <w:color w:val="auto"/>
                <w:kern w:val="0"/>
                <w:sz w:val="24"/>
              </w:rPr>
              <w:t>：</w:t>
            </w:r>
            <w:r>
              <w:rPr>
                <w:rFonts w:hint="eastAsia"/>
                <w:color w:val="auto"/>
                <w:kern w:val="0"/>
                <w:sz w:val="24"/>
              </w:rPr>
              <w:t>391</w:t>
            </w:r>
            <w:r>
              <w:rPr>
                <w:color w:val="auto"/>
                <w:sz w:val="24"/>
              </w:rPr>
              <w:t>mg/L、SS</w:t>
            </w:r>
            <w:r>
              <w:rPr>
                <w:color w:val="auto"/>
                <w:kern w:val="0"/>
                <w:sz w:val="24"/>
              </w:rPr>
              <w:t>：</w:t>
            </w:r>
            <w:r>
              <w:rPr>
                <w:rFonts w:hint="eastAsia"/>
                <w:color w:val="auto"/>
                <w:kern w:val="0"/>
                <w:sz w:val="24"/>
              </w:rPr>
              <w:t>164</w:t>
            </w:r>
            <w:r>
              <w:rPr>
                <w:color w:val="auto"/>
                <w:sz w:val="24"/>
              </w:rPr>
              <w:t>mg/L、氨氮：</w:t>
            </w:r>
            <w:r>
              <w:rPr>
                <w:rFonts w:hint="eastAsia"/>
                <w:color w:val="auto"/>
                <w:sz w:val="24"/>
              </w:rPr>
              <w:t>42.2</w:t>
            </w:r>
            <w:r>
              <w:rPr>
                <w:color w:val="auto"/>
                <w:sz w:val="24"/>
              </w:rPr>
              <w:t>mg/L、总磷：</w:t>
            </w:r>
            <w:r>
              <w:rPr>
                <w:rFonts w:hint="eastAsia"/>
                <w:color w:val="auto"/>
                <w:sz w:val="24"/>
                <w:lang w:val="en-US" w:eastAsia="zh-CN"/>
              </w:rPr>
              <w:t>10.8</w:t>
            </w:r>
            <w:r>
              <w:rPr>
                <w:color w:val="auto"/>
                <w:sz w:val="24"/>
              </w:rPr>
              <w:t>mg/L、总氮：</w:t>
            </w:r>
            <w:r>
              <w:rPr>
                <w:rFonts w:hint="eastAsia"/>
                <w:color w:val="auto"/>
                <w:sz w:val="24"/>
                <w:lang w:val="en-US" w:eastAsia="zh-CN"/>
              </w:rPr>
              <w:t>60.4</w:t>
            </w:r>
            <w:r>
              <w:rPr>
                <w:color w:val="auto"/>
                <w:sz w:val="24"/>
              </w:rPr>
              <w:t>mg/L</w:t>
            </w:r>
            <w:r>
              <w:rPr>
                <w:rFonts w:hint="eastAsia"/>
                <w:color w:val="auto"/>
                <w:sz w:val="24"/>
              </w:rPr>
              <w:t>、</w:t>
            </w:r>
            <w:r>
              <w:rPr>
                <w:color w:val="auto"/>
                <w:sz w:val="24"/>
              </w:rPr>
              <w:t>动植物油：</w:t>
            </w:r>
            <w:r>
              <w:rPr>
                <w:rFonts w:hint="eastAsia"/>
                <w:color w:val="auto"/>
                <w:sz w:val="24"/>
                <w:lang w:val="en-US" w:eastAsia="zh-CN"/>
              </w:rPr>
              <w:t>5</w:t>
            </w:r>
            <w:r>
              <w:rPr>
                <w:rFonts w:hint="eastAsia"/>
                <w:color w:val="auto"/>
                <w:sz w:val="24"/>
              </w:rPr>
              <w:t>.79</w:t>
            </w:r>
            <w:r>
              <w:rPr>
                <w:color w:val="auto"/>
                <w:sz w:val="24"/>
              </w:rPr>
              <w:t>mg/L</w:t>
            </w:r>
            <w:r>
              <w:rPr>
                <w:rFonts w:hint="eastAsia"/>
                <w:color w:val="auto"/>
                <w:sz w:val="24"/>
                <w:lang w:eastAsia="zh-CN"/>
              </w:rPr>
              <w:t>、全盐量</w:t>
            </w:r>
            <w:r>
              <w:rPr>
                <w:rFonts w:hint="eastAsia"/>
                <w:color w:val="auto"/>
                <w:sz w:val="24"/>
                <w:lang w:val="en-US" w:eastAsia="zh-CN"/>
              </w:rPr>
              <w:t>9.6</w:t>
            </w:r>
            <w:r>
              <w:rPr>
                <w:color w:val="auto"/>
                <w:sz w:val="24"/>
              </w:rPr>
              <w:t>mg/L。</w:t>
            </w:r>
          </w:p>
          <w:p w14:paraId="72C9684C">
            <w:pPr>
              <w:widowControl/>
              <w:adjustRightInd w:val="0"/>
              <w:snapToGrid w:val="0"/>
              <w:jc w:val="center"/>
              <w:rPr>
                <w:b/>
                <w:snapToGrid w:val="0"/>
                <w:color w:val="auto"/>
                <w:kern w:val="0"/>
                <w:sz w:val="24"/>
              </w:rPr>
            </w:pPr>
          </w:p>
          <w:p w14:paraId="56758087">
            <w:pPr>
              <w:widowControl/>
              <w:adjustRightInd w:val="0"/>
              <w:snapToGrid w:val="0"/>
              <w:jc w:val="center"/>
              <w:rPr>
                <w:b/>
                <w:snapToGrid w:val="0"/>
                <w:color w:val="auto"/>
                <w:kern w:val="0"/>
                <w:sz w:val="24"/>
              </w:rPr>
            </w:pPr>
          </w:p>
          <w:p w14:paraId="61922E13">
            <w:pPr>
              <w:widowControl/>
              <w:adjustRightInd w:val="0"/>
              <w:snapToGrid w:val="0"/>
              <w:jc w:val="center"/>
              <w:rPr>
                <w:b/>
                <w:snapToGrid w:val="0"/>
                <w:color w:val="auto"/>
                <w:kern w:val="0"/>
                <w:sz w:val="24"/>
              </w:rPr>
            </w:pPr>
          </w:p>
          <w:p w14:paraId="51BF9AA9">
            <w:pPr>
              <w:widowControl/>
              <w:adjustRightInd w:val="0"/>
              <w:snapToGrid w:val="0"/>
              <w:jc w:val="center"/>
              <w:rPr>
                <w:b/>
                <w:snapToGrid w:val="0"/>
                <w:color w:val="auto"/>
                <w:kern w:val="0"/>
                <w:sz w:val="24"/>
              </w:rPr>
            </w:pPr>
          </w:p>
          <w:p w14:paraId="649C921F">
            <w:pPr>
              <w:widowControl/>
              <w:adjustRightInd w:val="0"/>
              <w:snapToGrid w:val="0"/>
              <w:jc w:val="center"/>
              <w:rPr>
                <w:b/>
                <w:snapToGrid w:val="0"/>
                <w:color w:val="auto"/>
                <w:kern w:val="0"/>
                <w:sz w:val="24"/>
              </w:rPr>
            </w:pPr>
          </w:p>
          <w:p w14:paraId="106980EA">
            <w:pPr>
              <w:widowControl/>
              <w:adjustRightInd w:val="0"/>
              <w:snapToGrid w:val="0"/>
              <w:jc w:val="center"/>
              <w:rPr>
                <w:b/>
                <w:snapToGrid w:val="0"/>
                <w:color w:val="auto"/>
                <w:kern w:val="0"/>
                <w:sz w:val="24"/>
              </w:rPr>
            </w:pPr>
            <w:r>
              <w:rPr>
                <w:b/>
                <w:snapToGrid w:val="0"/>
                <w:color w:val="auto"/>
                <w:kern w:val="0"/>
                <w:sz w:val="24"/>
              </w:rPr>
              <w:t>表4</w:t>
            </w:r>
            <w:r>
              <w:rPr>
                <w:rFonts w:hint="eastAsia"/>
                <w:b/>
                <w:snapToGrid w:val="0"/>
                <w:color w:val="auto"/>
                <w:kern w:val="0"/>
                <w:sz w:val="24"/>
                <w:lang w:val="en-US" w:eastAsia="zh-CN"/>
              </w:rPr>
              <w:t>-7</w:t>
            </w:r>
            <w:r>
              <w:rPr>
                <w:b/>
                <w:snapToGrid w:val="0"/>
                <w:color w:val="auto"/>
                <w:kern w:val="0"/>
                <w:sz w:val="24"/>
              </w:rPr>
              <w:t xml:space="preserve">  建设项目废水污染源源强核算结果及相关参数一览表</w:t>
            </w:r>
          </w:p>
          <w:tbl>
            <w:tblPr>
              <w:tblStyle w:val="32"/>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447"/>
              <w:gridCol w:w="775"/>
              <w:gridCol w:w="661"/>
              <w:gridCol w:w="408"/>
              <w:gridCol w:w="769"/>
              <w:gridCol w:w="831"/>
              <w:gridCol w:w="624"/>
              <w:gridCol w:w="722"/>
              <w:gridCol w:w="636"/>
              <w:gridCol w:w="635"/>
              <w:gridCol w:w="831"/>
              <w:gridCol w:w="647"/>
              <w:gridCol w:w="537"/>
            </w:tblGrid>
            <w:tr w14:paraId="140E8A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62" w:type="pct"/>
                  <w:vMerge w:val="restart"/>
                  <w:shd w:val="clear" w:color="auto" w:fill="auto"/>
                  <w:vAlign w:val="center"/>
                </w:tcPr>
                <w:p w14:paraId="745B6D2C">
                  <w:pPr>
                    <w:widowControl/>
                    <w:jc w:val="center"/>
                    <w:rPr>
                      <w:b/>
                      <w:bCs/>
                      <w:color w:val="auto"/>
                      <w:kern w:val="0"/>
                      <w:sz w:val="18"/>
                      <w:szCs w:val="18"/>
                    </w:rPr>
                  </w:pPr>
                  <w:bookmarkStart w:id="38" w:name="_Hlk105488201"/>
                  <w:bookmarkStart w:id="39" w:name="_Hlk105400034"/>
                  <w:r>
                    <w:rPr>
                      <w:b/>
                      <w:bCs/>
                      <w:color w:val="auto"/>
                      <w:kern w:val="0"/>
                      <w:sz w:val="18"/>
                      <w:szCs w:val="18"/>
                    </w:rPr>
                    <w:t>工序/生产线</w:t>
                  </w:r>
                </w:p>
              </w:tc>
              <w:tc>
                <w:tcPr>
                  <w:tcW w:w="454" w:type="pct"/>
                  <w:vMerge w:val="restart"/>
                  <w:shd w:val="clear" w:color="auto" w:fill="auto"/>
                  <w:vAlign w:val="center"/>
                </w:tcPr>
                <w:p w14:paraId="26303F1A">
                  <w:pPr>
                    <w:widowControl/>
                    <w:jc w:val="center"/>
                    <w:rPr>
                      <w:b/>
                      <w:bCs/>
                      <w:color w:val="auto"/>
                      <w:kern w:val="0"/>
                      <w:sz w:val="18"/>
                      <w:szCs w:val="18"/>
                    </w:rPr>
                  </w:pPr>
                  <w:r>
                    <w:rPr>
                      <w:b/>
                      <w:bCs/>
                      <w:color w:val="auto"/>
                      <w:kern w:val="0"/>
                      <w:sz w:val="18"/>
                      <w:szCs w:val="18"/>
                    </w:rPr>
                    <w:t>污染源</w:t>
                  </w:r>
                </w:p>
              </w:tc>
              <w:tc>
                <w:tcPr>
                  <w:tcW w:w="387" w:type="pct"/>
                  <w:vMerge w:val="restart"/>
                  <w:shd w:val="clear" w:color="auto" w:fill="auto"/>
                  <w:vAlign w:val="center"/>
                </w:tcPr>
                <w:p w14:paraId="5ED5DD17">
                  <w:pPr>
                    <w:widowControl/>
                    <w:jc w:val="center"/>
                    <w:rPr>
                      <w:b/>
                      <w:bCs/>
                      <w:color w:val="auto"/>
                      <w:kern w:val="0"/>
                      <w:sz w:val="18"/>
                      <w:szCs w:val="18"/>
                    </w:rPr>
                  </w:pPr>
                  <w:r>
                    <w:rPr>
                      <w:b/>
                      <w:bCs/>
                      <w:color w:val="auto"/>
                      <w:kern w:val="0"/>
                      <w:sz w:val="18"/>
                      <w:szCs w:val="18"/>
                    </w:rPr>
                    <w:t>污染物</w:t>
                  </w:r>
                </w:p>
              </w:tc>
              <w:tc>
                <w:tcPr>
                  <w:tcW w:w="1544" w:type="pct"/>
                  <w:gridSpan w:val="4"/>
                  <w:shd w:val="clear" w:color="auto" w:fill="auto"/>
                  <w:vAlign w:val="center"/>
                </w:tcPr>
                <w:p w14:paraId="3D42F981">
                  <w:pPr>
                    <w:widowControl/>
                    <w:jc w:val="center"/>
                    <w:rPr>
                      <w:b/>
                      <w:bCs/>
                      <w:color w:val="auto"/>
                      <w:kern w:val="0"/>
                      <w:sz w:val="18"/>
                      <w:szCs w:val="18"/>
                    </w:rPr>
                  </w:pPr>
                  <w:r>
                    <w:rPr>
                      <w:b/>
                      <w:bCs/>
                      <w:color w:val="auto"/>
                      <w:kern w:val="0"/>
                      <w:sz w:val="18"/>
                      <w:szCs w:val="18"/>
                    </w:rPr>
                    <w:t>污染物产生</w:t>
                  </w:r>
                </w:p>
              </w:tc>
              <w:tc>
                <w:tcPr>
                  <w:tcW w:w="796" w:type="pct"/>
                  <w:gridSpan w:val="2"/>
                  <w:shd w:val="clear" w:color="auto" w:fill="auto"/>
                  <w:vAlign w:val="center"/>
                </w:tcPr>
                <w:p w14:paraId="1C6082DE">
                  <w:pPr>
                    <w:widowControl/>
                    <w:jc w:val="center"/>
                    <w:rPr>
                      <w:b/>
                      <w:bCs/>
                      <w:color w:val="auto"/>
                      <w:kern w:val="0"/>
                      <w:sz w:val="18"/>
                      <w:szCs w:val="18"/>
                    </w:rPr>
                  </w:pPr>
                  <w:r>
                    <w:rPr>
                      <w:b/>
                      <w:bCs/>
                      <w:color w:val="auto"/>
                      <w:kern w:val="0"/>
                      <w:sz w:val="18"/>
                      <w:szCs w:val="18"/>
                    </w:rPr>
                    <w:t>治理措施</w:t>
                  </w:r>
                </w:p>
              </w:tc>
              <w:tc>
                <w:tcPr>
                  <w:tcW w:w="1239" w:type="pct"/>
                  <w:gridSpan w:val="3"/>
                  <w:shd w:val="clear" w:color="auto" w:fill="auto"/>
                  <w:vAlign w:val="center"/>
                </w:tcPr>
                <w:p w14:paraId="35954325">
                  <w:pPr>
                    <w:widowControl/>
                    <w:jc w:val="center"/>
                    <w:rPr>
                      <w:b/>
                      <w:bCs/>
                      <w:color w:val="auto"/>
                      <w:kern w:val="0"/>
                      <w:sz w:val="18"/>
                      <w:szCs w:val="18"/>
                    </w:rPr>
                  </w:pPr>
                  <w:r>
                    <w:rPr>
                      <w:b/>
                      <w:bCs/>
                      <w:color w:val="auto"/>
                      <w:kern w:val="0"/>
                      <w:sz w:val="18"/>
                      <w:szCs w:val="18"/>
                    </w:rPr>
                    <w:t>污染物排放</w:t>
                  </w:r>
                </w:p>
              </w:tc>
              <w:tc>
                <w:tcPr>
                  <w:tcW w:w="315" w:type="pct"/>
                  <w:vMerge w:val="restart"/>
                  <w:shd w:val="clear" w:color="auto" w:fill="auto"/>
                  <w:vAlign w:val="center"/>
                </w:tcPr>
                <w:p w14:paraId="14FF9DBE">
                  <w:pPr>
                    <w:widowControl/>
                    <w:jc w:val="center"/>
                    <w:rPr>
                      <w:b/>
                      <w:bCs/>
                      <w:color w:val="auto"/>
                      <w:kern w:val="0"/>
                      <w:sz w:val="18"/>
                      <w:szCs w:val="18"/>
                    </w:rPr>
                  </w:pPr>
                  <w:r>
                    <w:rPr>
                      <w:b/>
                      <w:bCs/>
                      <w:color w:val="auto"/>
                      <w:kern w:val="0"/>
                      <w:sz w:val="18"/>
                      <w:szCs w:val="18"/>
                    </w:rPr>
                    <w:t>年排放时间（h）</w:t>
                  </w:r>
                </w:p>
              </w:tc>
            </w:tr>
            <w:tr w14:paraId="581DEE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62" w:type="pct"/>
                  <w:vMerge w:val="continue"/>
                  <w:vAlign w:val="center"/>
                </w:tcPr>
                <w:p w14:paraId="0DA59564">
                  <w:pPr>
                    <w:widowControl/>
                    <w:jc w:val="center"/>
                    <w:rPr>
                      <w:b/>
                      <w:bCs/>
                      <w:color w:val="auto"/>
                      <w:kern w:val="0"/>
                      <w:sz w:val="18"/>
                      <w:szCs w:val="18"/>
                    </w:rPr>
                  </w:pPr>
                </w:p>
              </w:tc>
              <w:tc>
                <w:tcPr>
                  <w:tcW w:w="454" w:type="pct"/>
                  <w:vMerge w:val="continue"/>
                  <w:vAlign w:val="center"/>
                </w:tcPr>
                <w:p w14:paraId="015E2C89">
                  <w:pPr>
                    <w:widowControl/>
                    <w:jc w:val="center"/>
                    <w:rPr>
                      <w:b/>
                      <w:bCs/>
                      <w:color w:val="auto"/>
                      <w:kern w:val="0"/>
                      <w:sz w:val="18"/>
                      <w:szCs w:val="18"/>
                    </w:rPr>
                  </w:pPr>
                </w:p>
              </w:tc>
              <w:tc>
                <w:tcPr>
                  <w:tcW w:w="387" w:type="pct"/>
                  <w:vMerge w:val="continue"/>
                  <w:vAlign w:val="center"/>
                </w:tcPr>
                <w:p w14:paraId="6004C34C">
                  <w:pPr>
                    <w:widowControl/>
                    <w:jc w:val="center"/>
                    <w:rPr>
                      <w:b/>
                      <w:bCs/>
                      <w:color w:val="auto"/>
                      <w:kern w:val="0"/>
                      <w:sz w:val="18"/>
                      <w:szCs w:val="18"/>
                    </w:rPr>
                  </w:pPr>
                </w:p>
              </w:tc>
              <w:tc>
                <w:tcPr>
                  <w:tcW w:w="239" w:type="pct"/>
                  <w:shd w:val="clear" w:color="auto" w:fill="auto"/>
                  <w:vAlign w:val="center"/>
                </w:tcPr>
                <w:p w14:paraId="1BC19C10">
                  <w:pPr>
                    <w:widowControl/>
                    <w:jc w:val="center"/>
                    <w:rPr>
                      <w:b/>
                      <w:bCs/>
                      <w:color w:val="auto"/>
                      <w:kern w:val="0"/>
                      <w:sz w:val="18"/>
                      <w:szCs w:val="18"/>
                    </w:rPr>
                  </w:pPr>
                  <w:r>
                    <w:rPr>
                      <w:b/>
                      <w:bCs/>
                      <w:color w:val="auto"/>
                      <w:kern w:val="0"/>
                      <w:sz w:val="18"/>
                      <w:szCs w:val="18"/>
                    </w:rPr>
                    <w:t>核算方法</w:t>
                  </w:r>
                </w:p>
              </w:tc>
              <w:tc>
                <w:tcPr>
                  <w:tcW w:w="451" w:type="pct"/>
                  <w:shd w:val="clear" w:color="auto" w:fill="auto"/>
                  <w:vAlign w:val="center"/>
                </w:tcPr>
                <w:p w14:paraId="0AA9B4E2">
                  <w:pPr>
                    <w:widowControl/>
                    <w:jc w:val="center"/>
                    <w:rPr>
                      <w:b/>
                      <w:bCs/>
                      <w:color w:val="auto"/>
                      <w:kern w:val="0"/>
                      <w:sz w:val="18"/>
                      <w:szCs w:val="18"/>
                    </w:rPr>
                  </w:pPr>
                  <w:r>
                    <w:rPr>
                      <w:b/>
                      <w:bCs/>
                      <w:color w:val="auto"/>
                      <w:kern w:val="0"/>
                      <w:sz w:val="18"/>
                      <w:szCs w:val="18"/>
                    </w:rPr>
                    <w:t>产生量（m</w:t>
                  </w:r>
                  <w:r>
                    <w:rPr>
                      <w:b/>
                      <w:bCs/>
                      <w:color w:val="auto"/>
                      <w:kern w:val="0"/>
                      <w:sz w:val="18"/>
                      <w:szCs w:val="18"/>
                      <w:vertAlign w:val="superscript"/>
                    </w:rPr>
                    <w:t>3</w:t>
                  </w:r>
                  <w:r>
                    <w:rPr>
                      <w:b/>
                      <w:bCs/>
                      <w:color w:val="auto"/>
                      <w:kern w:val="0"/>
                      <w:sz w:val="18"/>
                      <w:szCs w:val="18"/>
                    </w:rPr>
                    <w:t>/a）</w:t>
                  </w:r>
                </w:p>
              </w:tc>
              <w:tc>
                <w:tcPr>
                  <w:tcW w:w="487" w:type="pct"/>
                  <w:shd w:val="clear" w:color="auto" w:fill="auto"/>
                  <w:vAlign w:val="center"/>
                </w:tcPr>
                <w:p w14:paraId="7EBA592D">
                  <w:pPr>
                    <w:widowControl/>
                    <w:jc w:val="center"/>
                    <w:rPr>
                      <w:b/>
                      <w:bCs/>
                      <w:color w:val="auto"/>
                      <w:kern w:val="0"/>
                      <w:sz w:val="18"/>
                      <w:szCs w:val="18"/>
                    </w:rPr>
                  </w:pPr>
                  <w:r>
                    <w:rPr>
                      <w:b/>
                      <w:bCs/>
                      <w:color w:val="auto"/>
                      <w:kern w:val="0"/>
                      <w:sz w:val="18"/>
                      <w:szCs w:val="18"/>
                    </w:rPr>
                    <w:t>产生浓度（mg/L）</w:t>
                  </w:r>
                </w:p>
              </w:tc>
              <w:tc>
                <w:tcPr>
                  <w:tcW w:w="366" w:type="pct"/>
                  <w:shd w:val="clear" w:color="auto" w:fill="auto"/>
                  <w:vAlign w:val="center"/>
                </w:tcPr>
                <w:p w14:paraId="38E4577F">
                  <w:pPr>
                    <w:widowControl/>
                    <w:jc w:val="center"/>
                    <w:rPr>
                      <w:b/>
                      <w:bCs/>
                      <w:color w:val="auto"/>
                      <w:kern w:val="0"/>
                      <w:sz w:val="18"/>
                      <w:szCs w:val="18"/>
                    </w:rPr>
                  </w:pPr>
                  <w:r>
                    <w:rPr>
                      <w:b/>
                      <w:bCs/>
                      <w:color w:val="auto"/>
                      <w:kern w:val="0"/>
                      <w:sz w:val="18"/>
                      <w:szCs w:val="18"/>
                    </w:rPr>
                    <w:t>产生量（t/a）</w:t>
                  </w:r>
                </w:p>
              </w:tc>
              <w:tc>
                <w:tcPr>
                  <w:tcW w:w="423" w:type="pct"/>
                  <w:shd w:val="clear" w:color="auto" w:fill="auto"/>
                  <w:vAlign w:val="center"/>
                </w:tcPr>
                <w:p w14:paraId="64326A45">
                  <w:pPr>
                    <w:widowControl/>
                    <w:jc w:val="center"/>
                    <w:rPr>
                      <w:b/>
                      <w:bCs/>
                      <w:color w:val="auto"/>
                      <w:kern w:val="0"/>
                      <w:sz w:val="18"/>
                      <w:szCs w:val="18"/>
                    </w:rPr>
                  </w:pPr>
                  <w:r>
                    <w:rPr>
                      <w:b/>
                      <w:bCs/>
                      <w:color w:val="auto"/>
                      <w:kern w:val="0"/>
                      <w:sz w:val="18"/>
                      <w:szCs w:val="18"/>
                    </w:rPr>
                    <w:t>工艺</w:t>
                  </w:r>
                </w:p>
              </w:tc>
              <w:tc>
                <w:tcPr>
                  <w:tcW w:w="373" w:type="pct"/>
                  <w:shd w:val="clear" w:color="auto" w:fill="auto"/>
                  <w:vAlign w:val="center"/>
                </w:tcPr>
                <w:p w14:paraId="12E711DB">
                  <w:pPr>
                    <w:widowControl/>
                    <w:jc w:val="center"/>
                    <w:rPr>
                      <w:b/>
                      <w:bCs/>
                      <w:color w:val="auto"/>
                      <w:kern w:val="0"/>
                      <w:sz w:val="18"/>
                      <w:szCs w:val="18"/>
                    </w:rPr>
                  </w:pPr>
                  <w:r>
                    <w:rPr>
                      <w:b/>
                      <w:bCs/>
                      <w:color w:val="auto"/>
                      <w:kern w:val="0"/>
                      <w:sz w:val="18"/>
                      <w:szCs w:val="18"/>
                    </w:rPr>
                    <w:t>效率</w:t>
                  </w:r>
                </w:p>
              </w:tc>
              <w:tc>
                <w:tcPr>
                  <w:tcW w:w="372" w:type="pct"/>
                  <w:shd w:val="clear" w:color="auto" w:fill="auto"/>
                  <w:vAlign w:val="center"/>
                </w:tcPr>
                <w:p w14:paraId="222B4A77">
                  <w:pPr>
                    <w:widowControl/>
                    <w:jc w:val="center"/>
                    <w:rPr>
                      <w:b/>
                      <w:bCs/>
                      <w:color w:val="auto"/>
                      <w:kern w:val="0"/>
                      <w:sz w:val="18"/>
                      <w:szCs w:val="18"/>
                    </w:rPr>
                  </w:pPr>
                  <w:r>
                    <w:rPr>
                      <w:b/>
                      <w:bCs/>
                      <w:color w:val="auto"/>
                      <w:kern w:val="0"/>
                      <w:sz w:val="18"/>
                      <w:szCs w:val="18"/>
                    </w:rPr>
                    <w:t>排放量（m</w:t>
                  </w:r>
                  <w:r>
                    <w:rPr>
                      <w:b/>
                      <w:bCs/>
                      <w:color w:val="auto"/>
                      <w:kern w:val="0"/>
                      <w:sz w:val="18"/>
                      <w:szCs w:val="18"/>
                      <w:vertAlign w:val="superscript"/>
                    </w:rPr>
                    <w:t>3</w:t>
                  </w:r>
                  <w:r>
                    <w:rPr>
                      <w:b/>
                      <w:bCs/>
                      <w:color w:val="auto"/>
                      <w:kern w:val="0"/>
                      <w:sz w:val="18"/>
                      <w:szCs w:val="18"/>
                    </w:rPr>
                    <w:t>/a）</w:t>
                  </w:r>
                </w:p>
              </w:tc>
              <w:tc>
                <w:tcPr>
                  <w:tcW w:w="487" w:type="pct"/>
                  <w:shd w:val="clear" w:color="auto" w:fill="auto"/>
                  <w:vAlign w:val="center"/>
                </w:tcPr>
                <w:p w14:paraId="0C4369AB">
                  <w:pPr>
                    <w:widowControl/>
                    <w:jc w:val="center"/>
                    <w:rPr>
                      <w:b/>
                      <w:bCs/>
                      <w:color w:val="auto"/>
                      <w:kern w:val="0"/>
                      <w:sz w:val="18"/>
                      <w:szCs w:val="18"/>
                    </w:rPr>
                  </w:pPr>
                  <w:r>
                    <w:rPr>
                      <w:b/>
                      <w:bCs/>
                      <w:color w:val="auto"/>
                      <w:kern w:val="0"/>
                      <w:sz w:val="18"/>
                      <w:szCs w:val="18"/>
                    </w:rPr>
                    <w:t>排放浓度（mg/L）</w:t>
                  </w:r>
                </w:p>
              </w:tc>
              <w:tc>
                <w:tcPr>
                  <w:tcW w:w="379" w:type="pct"/>
                  <w:shd w:val="clear" w:color="auto" w:fill="auto"/>
                  <w:vAlign w:val="center"/>
                </w:tcPr>
                <w:p w14:paraId="286A9F54">
                  <w:pPr>
                    <w:widowControl/>
                    <w:jc w:val="center"/>
                    <w:rPr>
                      <w:b/>
                      <w:bCs/>
                      <w:color w:val="auto"/>
                      <w:kern w:val="0"/>
                      <w:sz w:val="18"/>
                      <w:szCs w:val="18"/>
                    </w:rPr>
                  </w:pPr>
                  <w:r>
                    <w:rPr>
                      <w:b/>
                      <w:bCs/>
                      <w:color w:val="auto"/>
                      <w:kern w:val="0"/>
                      <w:sz w:val="18"/>
                      <w:szCs w:val="18"/>
                    </w:rPr>
                    <w:t>排放量（t/a）</w:t>
                  </w:r>
                </w:p>
              </w:tc>
              <w:tc>
                <w:tcPr>
                  <w:tcW w:w="315" w:type="pct"/>
                  <w:vMerge w:val="continue"/>
                  <w:vAlign w:val="center"/>
                </w:tcPr>
                <w:p w14:paraId="14628979">
                  <w:pPr>
                    <w:widowControl/>
                    <w:jc w:val="center"/>
                    <w:rPr>
                      <w:b/>
                      <w:bCs/>
                      <w:color w:val="auto"/>
                      <w:kern w:val="0"/>
                      <w:sz w:val="18"/>
                      <w:szCs w:val="18"/>
                    </w:rPr>
                  </w:pPr>
                </w:p>
              </w:tc>
            </w:tr>
            <w:tr w14:paraId="18825E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62" w:type="pct"/>
                  <w:vMerge w:val="restart"/>
                  <w:shd w:val="clear" w:color="auto" w:fill="auto"/>
                  <w:vAlign w:val="center"/>
                </w:tcPr>
                <w:p w14:paraId="3F7E054E">
                  <w:pPr>
                    <w:widowControl/>
                    <w:jc w:val="center"/>
                    <w:rPr>
                      <w:color w:val="auto"/>
                      <w:kern w:val="0"/>
                      <w:sz w:val="18"/>
                      <w:szCs w:val="18"/>
                    </w:rPr>
                  </w:pPr>
                  <w:r>
                    <w:rPr>
                      <w:rFonts w:hint="eastAsia"/>
                      <w:color w:val="auto"/>
                      <w:kern w:val="0"/>
                      <w:sz w:val="18"/>
                      <w:szCs w:val="18"/>
                      <w:lang w:eastAsia="zh-CN"/>
                    </w:rPr>
                    <w:t>清洗</w:t>
                  </w:r>
                  <w:r>
                    <w:rPr>
                      <w:rFonts w:hint="eastAsia"/>
                      <w:color w:val="auto"/>
                      <w:kern w:val="0"/>
                      <w:sz w:val="18"/>
                      <w:szCs w:val="18"/>
                    </w:rPr>
                    <w:t>废水</w:t>
                  </w:r>
                </w:p>
              </w:tc>
              <w:tc>
                <w:tcPr>
                  <w:tcW w:w="454" w:type="pct"/>
                  <w:vMerge w:val="restart"/>
                  <w:shd w:val="clear" w:color="auto" w:fill="auto"/>
                  <w:vAlign w:val="center"/>
                </w:tcPr>
                <w:p w14:paraId="44E7C05E">
                  <w:pPr>
                    <w:widowControl/>
                    <w:jc w:val="center"/>
                    <w:rPr>
                      <w:rFonts w:hint="default" w:eastAsia="宋体"/>
                      <w:color w:val="auto"/>
                      <w:kern w:val="0"/>
                      <w:sz w:val="18"/>
                      <w:szCs w:val="18"/>
                      <w:lang w:val="en-US" w:eastAsia="zh-CN"/>
                    </w:rPr>
                  </w:pPr>
                  <w:r>
                    <w:rPr>
                      <w:rFonts w:hint="eastAsia"/>
                      <w:color w:val="auto"/>
                      <w:szCs w:val="21"/>
                      <w:lang w:eastAsia="zh-CN"/>
                    </w:rPr>
                    <w:t>解冻、浸泡、</w:t>
                  </w:r>
                  <w:r>
                    <w:rPr>
                      <w:color w:val="auto"/>
                      <w:szCs w:val="21"/>
                    </w:rPr>
                    <w:t>清洗、</w:t>
                  </w:r>
                  <w:r>
                    <w:rPr>
                      <w:rFonts w:hint="eastAsia"/>
                      <w:color w:val="auto"/>
                      <w:szCs w:val="21"/>
                      <w:lang w:eastAsia="zh-CN"/>
                    </w:rPr>
                    <w:t>漂烫、冷却</w:t>
                  </w:r>
                  <w:r>
                    <w:rPr>
                      <w:color w:val="auto"/>
                      <w:szCs w:val="21"/>
                    </w:rPr>
                    <w:t>、脱水废水</w:t>
                  </w:r>
                  <w:r>
                    <w:rPr>
                      <w:rFonts w:hint="eastAsia"/>
                      <w:color w:val="auto"/>
                      <w:kern w:val="0"/>
                      <w:sz w:val="18"/>
                      <w:szCs w:val="18"/>
                    </w:rPr>
                    <w:t>、</w:t>
                  </w:r>
                </w:p>
              </w:tc>
              <w:tc>
                <w:tcPr>
                  <w:tcW w:w="387" w:type="pct"/>
                  <w:shd w:val="clear" w:color="auto" w:fill="auto"/>
                  <w:vAlign w:val="center"/>
                </w:tcPr>
                <w:p w14:paraId="3C69DD08">
                  <w:pPr>
                    <w:widowControl/>
                    <w:jc w:val="center"/>
                    <w:rPr>
                      <w:rFonts w:hint="eastAsia"/>
                      <w:color w:val="auto"/>
                      <w:kern w:val="0"/>
                      <w:sz w:val="18"/>
                      <w:szCs w:val="18"/>
                    </w:rPr>
                  </w:pPr>
                  <w:r>
                    <w:rPr>
                      <w:rFonts w:hint="eastAsia"/>
                      <w:color w:val="auto"/>
                      <w:kern w:val="0"/>
                      <w:sz w:val="18"/>
                      <w:szCs w:val="18"/>
                    </w:rPr>
                    <w:t>pH</w:t>
                  </w:r>
                </w:p>
              </w:tc>
              <w:tc>
                <w:tcPr>
                  <w:tcW w:w="239" w:type="pct"/>
                  <w:vMerge w:val="restart"/>
                  <w:shd w:val="clear" w:color="auto" w:fill="auto"/>
                  <w:vAlign w:val="center"/>
                </w:tcPr>
                <w:p w14:paraId="52823648">
                  <w:pPr>
                    <w:widowControl/>
                    <w:jc w:val="center"/>
                    <w:rPr>
                      <w:rFonts w:ascii="Times New Roman" w:hAnsi="Times New Roman" w:eastAsia="宋体" w:cs="Times New Roman"/>
                      <w:color w:val="auto"/>
                      <w:kern w:val="0"/>
                      <w:sz w:val="18"/>
                      <w:szCs w:val="18"/>
                      <w:lang w:val="en-US" w:eastAsia="zh-CN" w:bidi="ar-SA"/>
                    </w:rPr>
                  </w:pPr>
                  <w:r>
                    <w:rPr>
                      <w:color w:val="auto"/>
                      <w:kern w:val="0"/>
                      <w:sz w:val="18"/>
                      <w:szCs w:val="18"/>
                    </w:rPr>
                    <w:t>类比分析法</w:t>
                  </w:r>
                </w:p>
              </w:tc>
              <w:tc>
                <w:tcPr>
                  <w:tcW w:w="451" w:type="pct"/>
                  <w:vMerge w:val="restart"/>
                  <w:shd w:val="clear" w:color="auto" w:fill="auto"/>
                  <w:vAlign w:val="center"/>
                </w:tcPr>
                <w:p w14:paraId="005C47CF">
                  <w:pPr>
                    <w:widowControl/>
                    <w:jc w:val="center"/>
                    <w:rPr>
                      <w:rFonts w:hint="default" w:eastAsia="宋体"/>
                      <w:color w:val="auto"/>
                      <w:kern w:val="0"/>
                      <w:sz w:val="18"/>
                      <w:szCs w:val="18"/>
                      <w:lang w:val="en-US" w:eastAsia="zh-CN"/>
                    </w:rPr>
                  </w:pPr>
                  <w:r>
                    <w:rPr>
                      <w:rFonts w:hint="eastAsia"/>
                      <w:color w:val="auto"/>
                      <w:kern w:val="0"/>
                      <w:sz w:val="18"/>
                      <w:szCs w:val="18"/>
                      <w:lang w:val="en-US" w:eastAsia="zh-CN"/>
                    </w:rPr>
                    <w:t>138000</w:t>
                  </w:r>
                </w:p>
              </w:tc>
              <w:tc>
                <w:tcPr>
                  <w:tcW w:w="853" w:type="pct"/>
                  <w:gridSpan w:val="2"/>
                  <w:shd w:val="clear" w:color="auto" w:fill="auto"/>
                  <w:vAlign w:val="center"/>
                </w:tcPr>
                <w:p w14:paraId="4509A4C2">
                  <w:pPr>
                    <w:widowControl/>
                    <w:jc w:val="center"/>
                    <w:textAlignment w:val="center"/>
                    <w:rPr>
                      <w:rFonts w:hint="eastAsia"/>
                      <w:color w:val="auto"/>
                      <w:kern w:val="0"/>
                      <w:sz w:val="18"/>
                      <w:szCs w:val="18"/>
                      <w:lang w:val="en-US" w:eastAsia="zh-CN" w:bidi="ar"/>
                    </w:rPr>
                  </w:pPr>
                  <w:r>
                    <w:rPr>
                      <w:rFonts w:hint="eastAsia"/>
                      <w:color w:val="auto"/>
                      <w:kern w:val="0"/>
                      <w:sz w:val="18"/>
                      <w:szCs w:val="18"/>
                      <w:lang w:val="en-US" w:eastAsia="zh-CN" w:bidi="ar"/>
                    </w:rPr>
                    <w:t>6.5~6.8</w:t>
                  </w:r>
                </w:p>
              </w:tc>
              <w:tc>
                <w:tcPr>
                  <w:tcW w:w="423" w:type="pct"/>
                  <w:vMerge w:val="restart"/>
                  <w:shd w:val="clear" w:color="auto" w:fill="auto"/>
                  <w:vAlign w:val="center"/>
                </w:tcPr>
                <w:p w14:paraId="444CEC00">
                  <w:pPr>
                    <w:widowControl/>
                    <w:jc w:val="center"/>
                    <w:rPr>
                      <w:color w:val="auto"/>
                      <w:kern w:val="0"/>
                      <w:sz w:val="18"/>
                      <w:szCs w:val="18"/>
                    </w:rPr>
                  </w:pPr>
                  <w:r>
                    <w:rPr>
                      <w:color w:val="auto"/>
                      <w:szCs w:val="21"/>
                    </w:rPr>
                    <w:t>格栅+折流式沉淀池+调节池+混凝气浮池+水解酸化池+接触氧化池+二沉池</w:t>
                  </w:r>
                </w:p>
              </w:tc>
              <w:tc>
                <w:tcPr>
                  <w:tcW w:w="373" w:type="pct"/>
                  <w:shd w:val="clear" w:color="auto" w:fill="auto"/>
                  <w:vAlign w:val="center"/>
                </w:tcPr>
                <w:p w14:paraId="754DD7D1">
                  <w:pPr>
                    <w:widowControl/>
                    <w:jc w:val="center"/>
                    <w:textAlignment w:val="center"/>
                    <w:rPr>
                      <w:rFonts w:hint="eastAsia" w:eastAsia="宋体"/>
                      <w:color w:val="auto"/>
                      <w:kern w:val="0"/>
                      <w:sz w:val="18"/>
                      <w:szCs w:val="18"/>
                      <w:lang w:val="en-US" w:eastAsia="zh-CN" w:bidi="ar"/>
                    </w:rPr>
                  </w:pPr>
                  <w:r>
                    <w:rPr>
                      <w:rFonts w:hint="eastAsia"/>
                      <w:color w:val="auto"/>
                      <w:kern w:val="0"/>
                      <w:sz w:val="18"/>
                      <w:szCs w:val="18"/>
                      <w:lang w:val="en-US" w:eastAsia="zh-CN" w:bidi="ar"/>
                    </w:rPr>
                    <w:t>/</w:t>
                  </w:r>
                </w:p>
              </w:tc>
              <w:tc>
                <w:tcPr>
                  <w:tcW w:w="372" w:type="pct"/>
                  <w:vMerge w:val="restart"/>
                  <w:shd w:val="clear" w:color="auto" w:fill="auto"/>
                  <w:vAlign w:val="center"/>
                </w:tcPr>
                <w:p w14:paraId="566A5FB9">
                  <w:pPr>
                    <w:widowControl/>
                    <w:jc w:val="center"/>
                    <w:rPr>
                      <w:rFonts w:hint="default" w:eastAsia="宋体"/>
                      <w:color w:val="auto"/>
                      <w:kern w:val="0"/>
                      <w:sz w:val="18"/>
                      <w:szCs w:val="18"/>
                      <w:lang w:val="en-US" w:eastAsia="zh-CN"/>
                    </w:rPr>
                  </w:pPr>
                  <w:r>
                    <w:rPr>
                      <w:rFonts w:hint="eastAsia"/>
                      <w:color w:val="auto"/>
                      <w:kern w:val="0"/>
                      <w:sz w:val="18"/>
                      <w:szCs w:val="18"/>
                      <w:lang w:val="en-US" w:eastAsia="zh-CN"/>
                    </w:rPr>
                    <w:t>138000</w:t>
                  </w:r>
                </w:p>
              </w:tc>
              <w:tc>
                <w:tcPr>
                  <w:tcW w:w="487" w:type="pct"/>
                  <w:shd w:val="clear" w:color="auto" w:fill="auto"/>
                  <w:vAlign w:val="center"/>
                </w:tcPr>
                <w:p w14:paraId="4756AC74">
                  <w:pPr>
                    <w:widowControl/>
                    <w:jc w:val="center"/>
                    <w:textAlignment w:val="center"/>
                    <w:rPr>
                      <w:rStyle w:val="138"/>
                      <w:color w:val="auto"/>
                      <w:lang w:bidi="ar"/>
                    </w:rPr>
                  </w:pPr>
                  <w:r>
                    <w:rPr>
                      <w:rFonts w:hint="eastAsia" w:ascii="Times New Roman" w:hAnsi="Times New Roman" w:cs="Times New Roman"/>
                      <w:color w:val="auto"/>
                      <w:kern w:val="0"/>
                      <w:sz w:val="18"/>
                      <w:szCs w:val="18"/>
                      <w:lang w:val="en-US" w:eastAsia="zh-CN" w:bidi="ar"/>
                    </w:rPr>
                    <w:t>6~8.5</w:t>
                  </w:r>
                </w:p>
              </w:tc>
              <w:tc>
                <w:tcPr>
                  <w:tcW w:w="379" w:type="pct"/>
                  <w:shd w:val="clear" w:color="auto" w:fill="auto"/>
                  <w:vAlign w:val="center"/>
                </w:tcPr>
                <w:p w14:paraId="712CFC44">
                  <w:pPr>
                    <w:widowControl/>
                    <w:jc w:val="center"/>
                    <w:textAlignment w:val="center"/>
                    <w:rPr>
                      <w:rStyle w:val="138"/>
                      <w:rFonts w:hint="eastAsia" w:eastAsia="宋体"/>
                      <w:color w:val="auto"/>
                      <w:lang w:val="en-US" w:eastAsia="zh-CN" w:bidi="ar"/>
                    </w:rPr>
                  </w:pPr>
                  <w:r>
                    <w:rPr>
                      <w:rStyle w:val="138"/>
                      <w:rFonts w:hint="eastAsia"/>
                      <w:color w:val="auto"/>
                      <w:lang w:val="en-US" w:eastAsia="zh-CN" w:bidi="ar"/>
                    </w:rPr>
                    <w:t>/</w:t>
                  </w:r>
                </w:p>
              </w:tc>
              <w:tc>
                <w:tcPr>
                  <w:tcW w:w="315" w:type="pct"/>
                  <w:vMerge w:val="restart"/>
                  <w:shd w:val="clear" w:color="auto" w:fill="auto"/>
                  <w:vAlign w:val="center"/>
                </w:tcPr>
                <w:p w14:paraId="2DF349E6">
                  <w:pPr>
                    <w:widowControl/>
                    <w:jc w:val="center"/>
                    <w:rPr>
                      <w:rFonts w:hint="default" w:eastAsia="宋体"/>
                      <w:color w:val="auto"/>
                      <w:kern w:val="0"/>
                      <w:sz w:val="18"/>
                      <w:szCs w:val="18"/>
                      <w:lang w:val="en-US" w:eastAsia="zh-CN"/>
                    </w:rPr>
                  </w:pPr>
                  <w:r>
                    <w:rPr>
                      <w:rFonts w:hint="eastAsia"/>
                      <w:color w:val="auto"/>
                      <w:kern w:val="0"/>
                      <w:sz w:val="18"/>
                      <w:szCs w:val="18"/>
                      <w:lang w:val="en-US" w:eastAsia="zh-CN"/>
                    </w:rPr>
                    <w:t>2400</w:t>
                  </w:r>
                </w:p>
              </w:tc>
            </w:tr>
            <w:tr w14:paraId="7936F3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62" w:type="pct"/>
                  <w:vMerge w:val="continue"/>
                  <w:shd w:val="clear" w:color="auto" w:fill="auto"/>
                  <w:vAlign w:val="center"/>
                </w:tcPr>
                <w:p w14:paraId="4052E632">
                  <w:pPr>
                    <w:widowControl/>
                    <w:jc w:val="center"/>
                    <w:rPr>
                      <w:color w:val="auto"/>
                      <w:kern w:val="0"/>
                      <w:sz w:val="18"/>
                      <w:szCs w:val="18"/>
                    </w:rPr>
                  </w:pPr>
                </w:p>
              </w:tc>
              <w:tc>
                <w:tcPr>
                  <w:tcW w:w="454" w:type="pct"/>
                  <w:vMerge w:val="continue"/>
                  <w:shd w:val="clear" w:color="auto" w:fill="auto"/>
                  <w:vAlign w:val="center"/>
                </w:tcPr>
                <w:p w14:paraId="122F6A46">
                  <w:pPr>
                    <w:widowControl/>
                    <w:jc w:val="center"/>
                    <w:rPr>
                      <w:color w:val="auto"/>
                      <w:kern w:val="0"/>
                      <w:sz w:val="18"/>
                      <w:szCs w:val="18"/>
                    </w:rPr>
                  </w:pPr>
                </w:p>
              </w:tc>
              <w:tc>
                <w:tcPr>
                  <w:tcW w:w="387" w:type="pct"/>
                  <w:shd w:val="clear" w:color="auto" w:fill="auto"/>
                  <w:vAlign w:val="center"/>
                </w:tcPr>
                <w:p w14:paraId="24F26A84">
                  <w:pPr>
                    <w:widowControl/>
                    <w:jc w:val="center"/>
                    <w:rPr>
                      <w:color w:val="auto"/>
                      <w:kern w:val="0"/>
                      <w:sz w:val="18"/>
                      <w:szCs w:val="18"/>
                    </w:rPr>
                  </w:pPr>
                  <w:r>
                    <w:rPr>
                      <w:color w:val="auto"/>
                      <w:kern w:val="0"/>
                      <w:sz w:val="18"/>
                      <w:szCs w:val="18"/>
                    </w:rPr>
                    <w:t>COD</w:t>
                  </w:r>
                </w:p>
              </w:tc>
              <w:tc>
                <w:tcPr>
                  <w:tcW w:w="239" w:type="pct"/>
                  <w:vMerge w:val="continue"/>
                  <w:shd w:val="clear" w:color="auto" w:fill="auto"/>
                  <w:vAlign w:val="center"/>
                </w:tcPr>
                <w:p w14:paraId="7001F2B8">
                  <w:pPr>
                    <w:widowControl/>
                    <w:jc w:val="center"/>
                    <w:rPr>
                      <w:color w:val="auto"/>
                      <w:kern w:val="0"/>
                      <w:sz w:val="18"/>
                      <w:szCs w:val="18"/>
                    </w:rPr>
                  </w:pPr>
                </w:p>
              </w:tc>
              <w:tc>
                <w:tcPr>
                  <w:tcW w:w="451" w:type="pct"/>
                  <w:vMerge w:val="continue"/>
                  <w:shd w:val="clear" w:color="auto" w:fill="auto"/>
                  <w:vAlign w:val="center"/>
                </w:tcPr>
                <w:p w14:paraId="45F5C89A">
                  <w:pPr>
                    <w:widowControl/>
                    <w:jc w:val="center"/>
                    <w:rPr>
                      <w:color w:val="auto"/>
                      <w:kern w:val="0"/>
                      <w:sz w:val="18"/>
                      <w:szCs w:val="18"/>
                    </w:rPr>
                  </w:pPr>
                </w:p>
              </w:tc>
              <w:tc>
                <w:tcPr>
                  <w:tcW w:w="487" w:type="pct"/>
                  <w:shd w:val="clear" w:color="auto" w:fill="auto"/>
                  <w:vAlign w:val="center"/>
                </w:tcPr>
                <w:p w14:paraId="7AEA7381">
                  <w:pPr>
                    <w:widowControl/>
                    <w:jc w:val="center"/>
                    <w:textAlignment w:val="center"/>
                    <w:rPr>
                      <w:rFonts w:hint="default"/>
                      <w:color w:val="auto"/>
                      <w:kern w:val="0"/>
                      <w:sz w:val="18"/>
                      <w:szCs w:val="18"/>
                      <w:lang w:val="en-US" w:eastAsia="zh-CN" w:bidi="ar"/>
                    </w:rPr>
                  </w:pPr>
                  <w:r>
                    <w:rPr>
                      <w:rFonts w:hint="eastAsia" w:cs="Times New Roman"/>
                      <w:i w:val="0"/>
                      <w:iCs w:val="0"/>
                      <w:color w:val="auto"/>
                      <w:kern w:val="0"/>
                      <w:sz w:val="18"/>
                      <w:szCs w:val="18"/>
                      <w:u w:val="none"/>
                      <w:lang w:val="en-US" w:eastAsia="zh-CN" w:bidi="ar"/>
                    </w:rPr>
                    <w:t>868</w:t>
                  </w:r>
                </w:p>
              </w:tc>
              <w:tc>
                <w:tcPr>
                  <w:tcW w:w="366" w:type="pct"/>
                  <w:shd w:val="clear" w:color="auto" w:fill="auto"/>
                  <w:vAlign w:val="center"/>
                </w:tcPr>
                <w:p w14:paraId="1D07D978">
                  <w:pPr>
                    <w:keepNext w:val="0"/>
                    <w:keepLines w:val="0"/>
                    <w:widowControl/>
                    <w:suppressLineNumbers w:val="0"/>
                    <w:jc w:val="center"/>
                    <w:textAlignment w:val="center"/>
                    <w:rPr>
                      <w:rFonts w:hint="default"/>
                      <w:color w:val="auto"/>
                      <w:kern w:val="0"/>
                      <w:sz w:val="18"/>
                      <w:szCs w:val="18"/>
                      <w:lang w:val="en-US" w:eastAsia="zh-CN" w:bidi="ar"/>
                    </w:rPr>
                  </w:pPr>
                  <w:r>
                    <w:rPr>
                      <w:rFonts w:hint="eastAsia" w:cs="Times New Roman"/>
                      <w:i w:val="0"/>
                      <w:iCs w:val="0"/>
                      <w:color w:val="auto"/>
                      <w:kern w:val="0"/>
                      <w:sz w:val="18"/>
                      <w:szCs w:val="18"/>
                      <w:u w:val="none"/>
                      <w:lang w:val="en-US" w:eastAsia="zh-CN" w:bidi="ar"/>
                    </w:rPr>
                    <w:t>119.79</w:t>
                  </w:r>
                </w:p>
              </w:tc>
              <w:tc>
                <w:tcPr>
                  <w:tcW w:w="423" w:type="pct"/>
                  <w:vMerge w:val="continue"/>
                  <w:shd w:val="clear" w:color="auto" w:fill="auto"/>
                  <w:vAlign w:val="center"/>
                </w:tcPr>
                <w:p w14:paraId="5C2ACD9D">
                  <w:pPr>
                    <w:widowControl/>
                    <w:jc w:val="center"/>
                    <w:rPr>
                      <w:color w:val="auto"/>
                      <w:kern w:val="0"/>
                      <w:sz w:val="18"/>
                      <w:szCs w:val="18"/>
                    </w:rPr>
                  </w:pPr>
                </w:p>
              </w:tc>
              <w:tc>
                <w:tcPr>
                  <w:tcW w:w="373" w:type="pct"/>
                  <w:shd w:val="clear" w:color="auto" w:fill="auto"/>
                  <w:vAlign w:val="center"/>
                </w:tcPr>
                <w:p w14:paraId="1E07CA05">
                  <w:pPr>
                    <w:keepNext w:val="0"/>
                    <w:keepLines w:val="0"/>
                    <w:widowControl/>
                    <w:suppressLineNumbers w:val="0"/>
                    <w:jc w:val="center"/>
                    <w:textAlignment w:val="center"/>
                    <w:rPr>
                      <w:rFonts w:hint="default"/>
                      <w:color w:val="auto"/>
                      <w:kern w:val="0"/>
                      <w:sz w:val="18"/>
                      <w:szCs w:val="18"/>
                      <w:lang w:val="en-US"/>
                    </w:rPr>
                  </w:pPr>
                  <w:r>
                    <w:rPr>
                      <w:rFonts w:hint="eastAsia" w:cs="Times New Roman"/>
                      <w:i w:val="0"/>
                      <w:iCs w:val="0"/>
                      <w:color w:val="auto"/>
                      <w:kern w:val="0"/>
                      <w:sz w:val="18"/>
                      <w:szCs w:val="18"/>
                      <w:u w:val="none"/>
                      <w:lang w:val="en-US" w:eastAsia="zh-CN" w:bidi="ar"/>
                    </w:rPr>
                    <w:t>95.39%</w:t>
                  </w:r>
                </w:p>
              </w:tc>
              <w:tc>
                <w:tcPr>
                  <w:tcW w:w="372" w:type="pct"/>
                  <w:vMerge w:val="continue"/>
                  <w:shd w:val="clear" w:color="auto" w:fill="auto"/>
                  <w:vAlign w:val="center"/>
                </w:tcPr>
                <w:p w14:paraId="4B94772D">
                  <w:pPr>
                    <w:widowControl/>
                    <w:jc w:val="center"/>
                    <w:textAlignment w:val="center"/>
                    <w:rPr>
                      <w:color w:val="auto"/>
                      <w:kern w:val="0"/>
                      <w:sz w:val="18"/>
                      <w:szCs w:val="18"/>
                    </w:rPr>
                  </w:pPr>
                </w:p>
              </w:tc>
              <w:tc>
                <w:tcPr>
                  <w:tcW w:w="487" w:type="pct"/>
                  <w:shd w:val="clear" w:color="auto" w:fill="auto"/>
                  <w:vAlign w:val="center"/>
                </w:tcPr>
                <w:p w14:paraId="1BEC4A3D">
                  <w:pPr>
                    <w:keepNext w:val="0"/>
                    <w:keepLines w:val="0"/>
                    <w:widowControl/>
                    <w:suppressLineNumbers w:val="0"/>
                    <w:jc w:val="center"/>
                    <w:textAlignment w:val="center"/>
                    <w:rPr>
                      <w:rFonts w:hint="default"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40.01</w:t>
                  </w:r>
                </w:p>
              </w:tc>
              <w:tc>
                <w:tcPr>
                  <w:tcW w:w="379" w:type="pct"/>
                  <w:shd w:val="clear" w:color="auto" w:fill="auto"/>
                  <w:vAlign w:val="center"/>
                </w:tcPr>
                <w:p w14:paraId="13491388">
                  <w:pPr>
                    <w:keepNext w:val="0"/>
                    <w:keepLines w:val="0"/>
                    <w:widowControl/>
                    <w:suppressLineNumbers w:val="0"/>
                    <w:jc w:val="center"/>
                    <w:textAlignment w:val="center"/>
                    <w:rPr>
                      <w:rFonts w:hint="default"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5.52</w:t>
                  </w:r>
                </w:p>
              </w:tc>
              <w:tc>
                <w:tcPr>
                  <w:tcW w:w="315" w:type="pct"/>
                  <w:vMerge w:val="continue"/>
                  <w:shd w:val="clear" w:color="auto" w:fill="auto"/>
                  <w:vAlign w:val="center"/>
                </w:tcPr>
                <w:p w14:paraId="75780E5A">
                  <w:pPr>
                    <w:widowControl/>
                    <w:jc w:val="center"/>
                    <w:rPr>
                      <w:color w:val="auto"/>
                      <w:kern w:val="0"/>
                      <w:sz w:val="18"/>
                      <w:szCs w:val="18"/>
                    </w:rPr>
                  </w:pPr>
                </w:p>
              </w:tc>
            </w:tr>
            <w:tr w14:paraId="5ECD7B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62" w:type="pct"/>
                  <w:vMerge w:val="continue"/>
                  <w:shd w:val="clear" w:color="auto" w:fill="auto"/>
                  <w:vAlign w:val="center"/>
                </w:tcPr>
                <w:p w14:paraId="3A8C385B">
                  <w:pPr>
                    <w:widowControl/>
                    <w:jc w:val="center"/>
                    <w:rPr>
                      <w:color w:val="auto"/>
                      <w:kern w:val="0"/>
                      <w:sz w:val="18"/>
                      <w:szCs w:val="18"/>
                    </w:rPr>
                  </w:pPr>
                </w:p>
              </w:tc>
              <w:tc>
                <w:tcPr>
                  <w:tcW w:w="454" w:type="pct"/>
                  <w:vMerge w:val="continue"/>
                  <w:shd w:val="clear" w:color="auto" w:fill="auto"/>
                  <w:vAlign w:val="center"/>
                </w:tcPr>
                <w:p w14:paraId="63A484FA">
                  <w:pPr>
                    <w:widowControl/>
                    <w:jc w:val="center"/>
                    <w:rPr>
                      <w:color w:val="auto"/>
                      <w:kern w:val="0"/>
                      <w:sz w:val="18"/>
                      <w:szCs w:val="18"/>
                    </w:rPr>
                  </w:pPr>
                </w:p>
              </w:tc>
              <w:tc>
                <w:tcPr>
                  <w:tcW w:w="387" w:type="pct"/>
                  <w:shd w:val="clear" w:color="auto" w:fill="auto"/>
                  <w:vAlign w:val="center"/>
                </w:tcPr>
                <w:p w14:paraId="564F3CD5">
                  <w:pPr>
                    <w:widowControl/>
                    <w:jc w:val="center"/>
                    <w:rPr>
                      <w:color w:val="auto"/>
                      <w:kern w:val="0"/>
                      <w:sz w:val="18"/>
                      <w:szCs w:val="18"/>
                    </w:rPr>
                  </w:pPr>
                  <w:r>
                    <w:rPr>
                      <w:color w:val="auto"/>
                      <w:kern w:val="0"/>
                      <w:sz w:val="18"/>
                      <w:szCs w:val="18"/>
                    </w:rPr>
                    <w:t>SS</w:t>
                  </w:r>
                </w:p>
              </w:tc>
              <w:tc>
                <w:tcPr>
                  <w:tcW w:w="239" w:type="pct"/>
                  <w:vMerge w:val="continue"/>
                  <w:shd w:val="clear" w:color="auto" w:fill="auto"/>
                  <w:vAlign w:val="center"/>
                </w:tcPr>
                <w:p w14:paraId="5AA7D621">
                  <w:pPr>
                    <w:widowControl/>
                    <w:jc w:val="center"/>
                    <w:rPr>
                      <w:color w:val="auto"/>
                      <w:kern w:val="0"/>
                      <w:sz w:val="18"/>
                      <w:szCs w:val="18"/>
                    </w:rPr>
                  </w:pPr>
                </w:p>
              </w:tc>
              <w:tc>
                <w:tcPr>
                  <w:tcW w:w="451" w:type="pct"/>
                  <w:vMerge w:val="continue"/>
                  <w:shd w:val="clear" w:color="auto" w:fill="auto"/>
                  <w:vAlign w:val="center"/>
                </w:tcPr>
                <w:p w14:paraId="154ECFD8">
                  <w:pPr>
                    <w:widowControl/>
                    <w:jc w:val="center"/>
                    <w:rPr>
                      <w:color w:val="auto"/>
                      <w:kern w:val="0"/>
                      <w:sz w:val="18"/>
                      <w:szCs w:val="18"/>
                    </w:rPr>
                  </w:pPr>
                </w:p>
              </w:tc>
              <w:tc>
                <w:tcPr>
                  <w:tcW w:w="487" w:type="pct"/>
                  <w:shd w:val="clear" w:color="auto" w:fill="auto"/>
                  <w:vAlign w:val="center"/>
                </w:tcPr>
                <w:p w14:paraId="1D7111AB">
                  <w:pPr>
                    <w:widowControl/>
                    <w:jc w:val="center"/>
                    <w:textAlignment w:val="center"/>
                    <w:rPr>
                      <w:rFonts w:hint="eastAsia"/>
                      <w:color w:val="auto"/>
                      <w:kern w:val="0"/>
                      <w:sz w:val="18"/>
                      <w:szCs w:val="18"/>
                      <w:lang w:val="en-US" w:eastAsia="zh-CN" w:bidi="ar"/>
                    </w:rPr>
                  </w:pPr>
                  <w:r>
                    <w:rPr>
                      <w:rFonts w:hint="default"/>
                      <w:color w:val="auto"/>
                      <w:kern w:val="0"/>
                      <w:sz w:val="18"/>
                      <w:szCs w:val="18"/>
                      <w:lang w:val="en-US" w:eastAsia="zh-CN" w:bidi="ar"/>
                    </w:rPr>
                    <w:t>164</w:t>
                  </w:r>
                </w:p>
              </w:tc>
              <w:tc>
                <w:tcPr>
                  <w:tcW w:w="366" w:type="pct"/>
                  <w:shd w:val="clear" w:color="auto" w:fill="auto"/>
                  <w:vAlign w:val="center"/>
                </w:tcPr>
                <w:p w14:paraId="5DA0552C">
                  <w:pPr>
                    <w:keepNext w:val="0"/>
                    <w:keepLines w:val="0"/>
                    <w:widowControl/>
                    <w:suppressLineNumbers w:val="0"/>
                    <w:jc w:val="center"/>
                    <w:textAlignment w:val="center"/>
                    <w:rPr>
                      <w:rFonts w:hint="eastAsia"/>
                      <w:color w:val="auto"/>
                      <w:kern w:val="0"/>
                      <w:sz w:val="18"/>
                      <w:szCs w:val="18"/>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22.63</w:t>
                  </w:r>
                </w:p>
              </w:tc>
              <w:tc>
                <w:tcPr>
                  <w:tcW w:w="423" w:type="pct"/>
                  <w:vMerge w:val="continue"/>
                  <w:shd w:val="clear" w:color="auto" w:fill="auto"/>
                  <w:vAlign w:val="center"/>
                </w:tcPr>
                <w:p w14:paraId="31F47CA0">
                  <w:pPr>
                    <w:widowControl/>
                    <w:jc w:val="center"/>
                    <w:rPr>
                      <w:color w:val="auto"/>
                      <w:kern w:val="0"/>
                      <w:sz w:val="18"/>
                      <w:szCs w:val="18"/>
                    </w:rPr>
                  </w:pPr>
                </w:p>
              </w:tc>
              <w:tc>
                <w:tcPr>
                  <w:tcW w:w="373" w:type="pct"/>
                  <w:shd w:val="clear" w:color="auto" w:fill="auto"/>
                  <w:vAlign w:val="center"/>
                </w:tcPr>
                <w:p w14:paraId="28AC0AF0">
                  <w:pPr>
                    <w:keepNext w:val="0"/>
                    <w:keepLines w:val="0"/>
                    <w:widowControl/>
                    <w:suppressLineNumbers w:val="0"/>
                    <w:jc w:val="center"/>
                    <w:textAlignment w:val="center"/>
                    <w:rPr>
                      <w:color w:val="auto"/>
                      <w:kern w:val="0"/>
                      <w:sz w:val="18"/>
                      <w:szCs w:val="18"/>
                    </w:rPr>
                  </w:pPr>
                  <w:r>
                    <w:rPr>
                      <w:rFonts w:hint="eastAsia" w:cs="Times New Roman"/>
                      <w:i w:val="0"/>
                      <w:iCs w:val="0"/>
                      <w:color w:val="auto"/>
                      <w:kern w:val="0"/>
                      <w:sz w:val="18"/>
                      <w:szCs w:val="18"/>
                      <w:u w:val="none"/>
                      <w:lang w:val="en-US" w:eastAsia="zh-CN" w:bidi="ar"/>
                    </w:rPr>
                    <w:t>77.17</w:t>
                  </w:r>
                  <w:r>
                    <w:rPr>
                      <w:rFonts w:hint="default" w:ascii="Times New Roman" w:hAnsi="Times New Roman" w:eastAsia="宋体" w:cs="Times New Roman"/>
                      <w:i w:val="0"/>
                      <w:iCs w:val="0"/>
                      <w:color w:val="auto"/>
                      <w:kern w:val="0"/>
                      <w:sz w:val="18"/>
                      <w:szCs w:val="18"/>
                      <w:u w:val="none"/>
                      <w:lang w:val="en-US" w:eastAsia="zh-CN" w:bidi="ar"/>
                    </w:rPr>
                    <w:t>%</w:t>
                  </w:r>
                </w:p>
              </w:tc>
              <w:tc>
                <w:tcPr>
                  <w:tcW w:w="372" w:type="pct"/>
                  <w:vMerge w:val="continue"/>
                  <w:shd w:val="clear" w:color="auto" w:fill="auto"/>
                  <w:vAlign w:val="center"/>
                </w:tcPr>
                <w:p w14:paraId="6A30E202">
                  <w:pPr>
                    <w:jc w:val="center"/>
                    <w:rPr>
                      <w:color w:val="auto"/>
                      <w:kern w:val="0"/>
                      <w:sz w:val="18"/>
                      <w:szCs w:val="18"/>
                    </w:rPr>
                  </w:pPr>
                </w:p>
              </w:tc>
              <w:tc>
                <w:tcPr>
                  <w:tcW w:w="487" w:type="pct"/>
                  <w:shd w:val="clear" w:color="auto" w:fill="auto"/>
                  <w:vAlign w:val="center"/>
                </w:tcPr>
                <w:p w14:paraId="205E1FC2">
                  <w:pPr>
                    <w:widowControl/>
                    <w:jc w:val="center"/>
                    <w:textAlignment w:val="center"/>
                    <w:rPr>
                      <w:rFonts w:hint="eastAsia"/>
                      <w:color w:val="auto"/>
                      <w:kern w:val="0"/>
                      <w:sz w:val="18"/>
                      <w:szCs w:val="18"/>
                      <w:lang w:val="en-US" w:eastAsia="zh-CN" w:bidi="ar"/>
                    </w:rPr>
                  </w:pPr>
                  <w:r>
                    <w:rPr>
                      <w:rFonts w:hint="default"/>
                      <w:color w:val="auto"/>
                      <w:kern w:val="0"/>
                      <w:sz w:val="18"/>
                      <w:szCs w:val="18"/>
                      <w:lang w:val="en-US" w:eastAsia="zh-CN" w:bidi="ar"/>
                    </w:rPr>
                    <w:t>32.8</w:t>
                  </w:r>
                </w:p>
              </w:tc>
              <w:tc>
                <w:tcPr>
                  <w:tcW w:w="379" w:type="pct"/>
                  <w:shd w:val="clear" w:color="auto" w:fill="auto"/>
                  <w:vAlign w:val="center"/>
                </w:tcPr>
                <w:p w14:paraId="56C879E3">
                  <w:pPr>
                    <w:keepNext w:val="0"/>
                    <w:keepLines w:val="0"/>
                    <w:widowControl/>
                    <w:suppressLineNumbers w:val="0"/>
                    <w:jc w:val="center"/>
                    <w:textAlignment w:val="center"/>
                    <w:rPr>
                      <w:rFonts w:hint="eastAsia"/>
                      <w:color w:val="auto"/>
                      <w:kern w:val="0"/>
                      <w:sz w:val="18"/>
                      <w:szCs w:val="18"/>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4.53</w:t>
                  </w:r>
                </w:p>
              </w:tc>
              <w:tc>
                <w:tcPr>
                  <w:tcW w:w="315" w:type="pct"/>
                  <w:vMerge w:val="continue"/>
                  <w:shd w:val="clear" w:color="auto" w:fill="auto"/>
                  <w:vAlign w:val="center"/>
                </w:tcPr>
                <w:p w14:paraId="28DBF37D">
                  <w:pPr>
                    <w:widowControl/>
                    <w:jc w:val="center"/>
                    <w:rPr>
                      <w:color w:val="auto"/>
                      <w:kern w:val="0"/>
                      <w:sz w:val="18"/>
                      <w:szCs w:val="18"/>
                    </w:rPr>
                  </w:pPr>
                </w:p>
              </w:tc>
            </w:tr>
            <w:tr w14:paraId="38D5E0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62" w:type="pct"/>
                  <w:vMerge w:val="continue"/>
                  <w:shd w:val="clear" w:color="auto" w:fill="auto"/>
                  <w:vAlign w:val="center"/>
                </w:tcPr>
                <w:p w14:paraId="4AE24D91">
                  <w:pPr>
                    <w:widowControl/>
                    <w:jc w:val="center"/>
                    <w:rPr>
                      <w:color w:val="auto"/>
                      <w:kern w:val="0"/>
                      <w:sz w:val="18"/>
                      <w:szCs w:val="18"/>
                    </w:rPr>
                  </w:pPr>
                </w:p>
              </w:tc>
              <w:tc>
                <w:tcPr>
                  <w:tcW w:w="454" w:type="pct"/>
                  <w:vMerge w:val="continue"/>
                  <w:shd w:val="clear" w:color="auto" w:fill="auto"/>
                  <w:vAlign w:val="center"/>
                </w:tcPr>
                <w:p w14:paraId="5E6AB32E">
                  <w:pPr>
                    <w:widowControl/>
                    <w:jc w:val="center"/>
                    <w:rPr>
                      <w:color w:val="auto"/>
                      <w:kern w:val="0"/>
                      <w:sz w:val="18"/>
                      <w:szCs w:val="18"/>
                    </w:rPr>
                  </w:pPr>
                </w:p>
              </w:tc>
              <w:tc>
                <w:tcPr>
                  <w:tcW w:w="387" w:type="pct"/>
                  <w:shd w:val="clear" w:color="auto" w:fill="auto"/>
                  <w:vAlign w:val="center"/>
                </w:tcPr>
                <w:p w14:paraId="21333BF7">
                  <w:pPr>
                    <w:widowControl/>
                    <w:jc w:val="center"/>
                    <w:rPr>
                      <w:color w:val="auto"/>
                      <w:kern w:val="0"/>
                      <w:sz w:val="18"/>
                      <w:szCs w:val="18"/>
                    </w:rPr>
                  </w:pPr>
                  <w:r>
                    <w:rPr>
                      <w:rFonts w:hint="eastAsia"/>
                      <w:color w:val="auto"/>
                      <w:kern w:val="0"/>
                      <w:sz w:val="18"/>
                      <w:szCs w:val="18"/>
                    </w:rPr>
                    <w:t>BOD</w:t>
                  </w:r>
                  <w:r>
                    <w:rPr>
                      <w:rFonts w:hint="eastAsia"/>
                      <w:color w:val="auto"/>
                      <w:kern w:val="0"/>
                      <w:sz w:val="18"/>
                      <w:szCs w:val="18"/>
                      <w:vertAlign w:val="subscript"/>
                    </w:rPr>
                    <w:t>5</w:t>
                  </w:r>
                </w:p>
              </w:tc>
              <w:tc>
                <w:tcPr>
                  <w:tcW w:w="239" w:type="pct"/>
                  <w:vMerge w:val="continue"/>
                  <w:shd w:val="clear" w:color="auto" w:fill="auto"/>
                  <w:vAlign w:val="center"/>
                </w:tcPr>
                <w:p w14:paraId="036B4EE0">
                  <w:pPr>
                    <w:widowControl/>
                    <w:jc w:val="center"/>
                    <w:rPr>
                      <w:color w:val="auto"/>
                      <w:kern w:val="0"/>
                      <w:sz w:val="18"/>
                      <w:szCs w:val="18"/>
                    </w:rPr>
                  </w:pPr>
                </w:p>
              </w:tc>
              <w:tc>
                <w:tcPr>
                  <w:tcW w:w="451" w:type="pct"/>
                  <w:vMerge w:val="continue"/>
                  <w:shd w:val="clear" w:color="auto" w:fill="auto"/>
                  <w:vAlign w:val="center"/>
                </w:tcPr>
                <w:p w14:paraId="7EE8B219">
                  <w:pPr>
                    <w:widowControl/>
                    <w:jc w:val="center"/>
                    <w:rPr>
                      <w:color w:val="auto"/>
                      <w:kern w:val="0"/>
                      <w:sz w:val="18"/>
                      <w:szCs w:val="18"/>
                    </w:rPr>
                  </w:pPr>
                </w:p>
              </w:tc>
              <w:tc>
                <w:tcPr>
                  <w:tcW w:w="487" w:type="pct"/>
                  <w:shd w:val="clear" w:color="auto" w:fill="auto"/>
                  <w:vAlign w:val="center"/>
                </w:tcPr>
                <w:p w14:paraId="38AB56AC">
                  <w:pPr>
                    <w:widowControl/>
                    <w:jc w:val="center"/>
                    <w:textAlignment w:val="center"/>
                    <w:rPr>
                      <w:rFonts w:hint="eastAsia"/>
                      <w:color w:val="auto"/>
                      <w:kern w:val="0"/>
                      <w:sz w:val="18"/>
                      <w:szCs w:val="18"/>
                      <w:lang w:val="en-US" w:eastAsia="zh-CN" w:bidi="ar"/>
                    </w:rPr>
                  </w:pPr>
                  <w:r>
                    <w:rPr>
                      <w:rFonts w:hint="default"/>
                      <w:color w:val="auto"/>
                      <w:kern w:val="0"/>
                      <w:sz w:val="18"/>
                      <w:szCs w:val="18"/>
                      <w:lang w:val="en-US" w:eastAsia="zh-CN" w:bidi="ar"/>
                    </w:rPr>
                    <w:t>391</w:t>
                  </w:r>
                </w:p>
              </w:tc>
              <w:tc>
                <w:tcPr>
                  <w:tcW w:w="366" w:type="pct"/>
                  <w:shd w:val="clear" w:color="auto" w:fill="auto"/>
                  <w:vAlign w:val="center"/>
                </w:tcPr>
                <w:p w14:paraId="2BAB97D5">
                  <w:pPr>
                    <w:keepNext w:val="0"/>
                    <w:keepLines w:val="0"/>
                    <w:widowControl/>
                    <w:suppressLineNumbers w:val="0"/>
                    <w:jc w:val="center"/>
                    <w:textAlignment w:val="center"/>
                    <w:rPr>
                      <w:rFonts w:hint="eastAsia"/>
                      <w:color w:val="auto"/>
                      <w:kern w:val="0"/>
                      <w:sz w:val="18"/>
                      <w:szCs w:val="18"/>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53.96</w:t>
                  </w:r>
                </w:p>
              </w:tc>
              <w:tc>
                <w:tcPr>
                  <w:tcW w:w="423" w:type="pct"/>
                  <w:vMerge w:val="continue"/>
                  <w:shd w:val="clear" w:color="auto" w:fill="auto"/>
                  <w:vAlign w:val="center"/>
                </w:tcPr>
                <w:p w14:paraId="6A6EA158">
                  <w:pPr>
                    <w:widowControl/>
                    <w:jc w:val="center"/>
                    <w:rPr>
                      <w:color w:val="auto"/>
                      <w:kern w:val="0"/>
                      <w:sz w:val="18"/>
                      <w:szCs w:val="18"/>
                    </w:rPr>
                  </w:pPr>
                </w:p>
              </w:tc>
              <w:tc>
                <w:tcPr>
                  <w:tcW w:w="373" w:type="pct"/>
                  <w:shd w:val="clear" w:color="auto" w:fill="auto"/>
                  <w:vAlign w:val="center"/>
                </w:tcPr>
                <w:p w14:paraId="7684FACA">
                  <w:pPr>
                    <w:keepNext w:val="0"/>
                    <w:keepLines w:val="0"/>
                    <w:widowControl/>
                    <w:suppressLineNumbers w:val="0"/>
                    <w:jc w:val="center"/>
                    <w:textAlignment w:val="center"/>
                    <w:rPr>
                      <w:color w:val="auto"/>
                      <w:kern w:val="0"/>
                      <w:sz w:val="18"/>
                      <w:szCs w:val="18"/>
                    </w:rPr>
                  </w:pPr>
                  <w:r>
                    <w:rPr>
                      <w:rFonts w:hint="eastAsia" w:cs="Times New Roman"/>
                      <w:i w:val="0"/>
                      <w:iCs w:val="0"/>
                      <w:color w:val="auto"/>
                      <w:kern w:val="0"/>
                      <w:sz w:val="18"/>
                      <w:szCs w:val="18"/>
                      <w:u w:val="none"/>
                      <w:lang w:val="en-US" w:eastAsia="zh-CN" w:bidi="ar"/>
                    </w:rPr>
                    <w:t>77.14</w:t>
                  </w:r>
                  <w:r>
                    <w:rPr>
                      <w:rFonts w:hint="default" w:ascii="Times New Roman" w:hAnsi="Times New Roman" w:eastAsia="宋体" w:cs="Times New Roman"/>
                      <w:i w:val="0"/>
                      <w:iCs w:val="0"/>
                      <w:color w:val="auto"/>
                      <w:kern w:val="0"/>
                      <w:sz w:val="18"/>
                      <w:szCs w:val="18"/>
                      <w:u w:val="none"/>
                      <w:lang w:val="en-US" w:eastAsia="zh-CN" w:bidi="ar"/>
                    </w:rPr>
                    <w:t>%</w:t>
                  </w:r>
                </w:p>
              </w:tc>
              <w:tc>
                <w:tcPr>
                  <w:tcW w:w="372" w:type="pct"/>
                  <w:vMerge w:val="continue"/>
                  <w:shd w:val="clear" w:color="auto" w:fill="auto"/>
                  <w:vAlign w:val="center"/>
                </w:tcPr>
                <w:p w14:paraId="3E044075">
                  <w:pPr>
                    <w:jc w:val="center"/>
                    <w:rPr>
                      <w:color w:val="auto"/>
                      <w:kern w:val="0"/>
                      <w:sz w:val="18"/>
                      <w:szCs w:val="18"/>
                    </w:rPr>
                  </w:pPr>
                </w:p>
              </w:tc>
              <w:tc>
                <w:tcPr>
                  <w:tcW w:w="487" w:type="pct"/>
                  <w:shd w:val="clear" w:color="auto" w:fill="auto"/>
                  <w:vAlign w:val="center"/>
                </w:tcPr>
                <w:p w14:paraId="203C8F5D">
                  <w:pPr>
                    <w:widowControl/>
                    <w:jc w:val="center"/>
                    <w:textAlignment w:val="center"/>
                    <w:rPr>
                      <w:rFonts w:hint="eastAsia"/>
                      <w:color w:val="auto"/>
                      <w:kern w:val="0"/>
                      <w:sz w:val="18"/>
                      <w:szCs w:val="18"/>
                      <w:lang w:val="en-US" w:eastAsia="zh-CN" w:bidi="ar"/>
                    </w:rPr>
                  </w:pPr>
                  <w:r>
                    <w:rPr>
                      <w:rFonts w:hint="default"/>
                      <w:color w:val="auto"/>
                      <w:kern w:val="0"/>
                      <w:sz w:val="18"/>
                      <w:szCs w:val="18"/>
                      <w:lang w:val="en-US" w:eastAsia="zh-CN" w:bidi="ar"/>
                    </w:rPr>
                    <w:t>78.2</w:t>
                  </w:r>
                </w:p>
              </w:tc>
              <w:tc>
                <w:tcPr>
                  <w:tcW w:w="379" w:type="pct"/>
                  <w:shd w:val="clear" w:color="auto" w:fill="auto"/>
                  <w:vAlign w:val="center"/>
                </w:tcPr>
                <w:p w14:paraId="2AB14528">
                  <w:pPr>
                    <w:keepNext w:val="0"/>
                    <w:keepLines w:val="0"/>
                    <w:widowControl/>
                    <w:suppressLineNumbers w:val="0"/>
                    <w:jc w:val="center"/>
                    <w:textAlignment w:val="center"/>
                    <w:rPr>
                      <w:rFonts w:hint="eastAsia"/>
                      <w:color w:val="auto"/>
                      <w:kern w:val="0"/>
                      <w:sz w:val="18"/>
                      <w:szCs w:val="18"/>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10.79</w:t>
                  </w:r>
                </w:p>
              </w:tc>
              <w:tc>
                <w:tcPr>
                  <w:tcW w:w="315" w:type="pct"/>
                  <w:vMerge w:val="continue"/>
                  <w:shd w:val="clear" w:color="auto" w:fill="auto"/>
                  <w:vAlign w:val="center"/>
                </w:tcPr>
                <w:p w14:paraId="5860C422">
                  <w:pPr>
                    <w:widowControl/>
                    <w:jc w:val="center"/>
                    <w:rPr>
                      <w:color w:val="auto"/>
                      <w:kern w:val="0"/>
                      <w:sz w:val="18"/>
                      <w:szCs w:val="18"/>
                    </w:rPr>
                  </w:pPr>
                </w:p>
              </w:tc>
            </w:tr>
            <w:tr w14:paraId="2D7E13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62" w:type="pct"/>
                  <w:vMerge w:val="continue"/>
                  <w:shd w:val="clear" w:color="auto" w:fill="auto"/>
                  <w:vAlign w:val="center"/>
                </w:tcPr>
                <w:p w14:paraId="790B3EA0">
                  <w:pPr>
                    <w:widowControl/>
                    <w:jc w:val="center"/>
                    <w:rPr>
                      <w:color w:val="auto"/>
                      <w:kern w:val="0"/>
                      <w:sz w:val="18"/>
                      <w:szCs w:val="18"/>
                    </w:rPr>
                  </w:pPr>
                </w:p>
              </w:tc>
              <w:tc>
                <w:tcPr>
                  <w:tcW w:w="454" w:type="pct"/>
                  <w:vMerge w:val="continue"/>
                  <w:shd w:val="clear" w:color="auto" w:fill="auto"/>
                  <w:vAlign w:val="center"/>
                </w:tcPr>
                <w:p w14:paraId="7E0A4D8A">
                  <w:pPr>
                    <w:widowControl/>
                    <w:jc w:val="center"/>
                    <w:rPr>
                      <w:color w:val="auto"/>
                      <w:kern w:val="0"/>
                      <w:sz w:val="18"/>
                      <w:szCs w:val="18"/>
                    </w:rPr>
                  </w:pPr>
                </w:p>
              </w:tc>
              <w:tc>
                <w:tcPr>
                  <w:tcW w:w="387" w:type="pct"/>
                  <w:shd w:val="clear" w:color="auto" w:fill="auto"/>
                  <w:vAlign w:val="center"/>
                </w:tcPr>
                <w:p w14:paraId="52EFAED0">
                  <w:pPr>
                    <w:widowControl/>
                    <w:jc w:val="center"/>
                    <w:rPr>
                      <w:color w:val="auto"/>
                      <w:kern w:val="0"/>
                      <w:sz w:val="18"/>
                      <w:szCs w:val="18"/>
                    </w:rPr>
                  </w:pPr>
                  <w:r>
                    <w:rPr>
                      <w:color w:val="auto"/>
                      <w:kern w:val="0"/>
                      <w:sz w:val="18"/>
                      <w:szCs w:val="18"/>
                    </w:rPr>
                    <w:t>氨氮</w:t>
                  </w:r>
                </w:p>
              </w:tc>
              <w:tc>
                <w:tcPr>
                  <w:tcW w:w="239" w:type="pct"/>
                  <w:vMerge w:val="continue"/>
                  <w:shd w:val="clear" w:color="auto" w:fill="auto"/>
                  <w:vAlign w:val="center"/>
                </w:tcPr>
                <w:p w14:paraId="2E1A19BE">
                  <w:pPr>
                    <w:widowControl/>
                    <w:jc w:val="center"/>
                    <w:rPr>
                      <w:color w:val="auto"/>
                      <w:kern w:val="0"/>
                      <w:sz w:val="18"/>
                      <w:szCs w:val="18"/>
                    </w:rPr>
                  </w:pPr>
                </w:p>
              </w:tc>
              <w:tc>
                <w:tcPr>
                  <w:tcW w:w="451" w:type="pct"/>
                  <w:vMerge w:val="continue"/>
                  <w:shd w:val="clear" w:color="auto" w:fill="auto"/>
                  <w:vAlign w:val="center"/>
                </w:tcPr>
                <w:p w14:paraId="687542B2">
                  <w:pPr>
                    <w:widowControl/>
                    <w:jc w:val="center"/>
                    <w:rPr>
                      <w:color w:val="auto"/>
                      <w:kern w:val="0"/>
                      <w:sz w:val="18"/>
                      <w:szCs w:val="18"/>
                    </w:rPr>
                  </w:pPr>
                </w:p>
              </w:tc>
              <w:tc>
                <w:tcPr>
                  <w:tcW w:w="487" w:type="pct"/>
                  <w:shd w:val="clear" w:color="auto" w:fill="auto"/>
                  <w:vAlign w:val="center"/>
                </w:tcPr>
                <w:p w14:paraId="4E1339CC">
                  <w:pPr>
                    <w:keepNext w:val="0"/>
                    <w:keepLines w:val="0"/>
                    <w:widowControl/>
                    <w:suppressLineNumbers w:val="0"/>
                    <w:jc w:val="center"/>
                    <w:textAlignment w:val="center"/>
                    <w:rPr>
                      <w:rFonts w:hint="default"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55.2</w:t>
                  </w:r>
                </w:p>
              </w:tc>
              <w:tc>
                <w:tcPr>
                  <w:tcW w:w="366" w:type="pct"/>
                  <w:shd w:val="clear" w:color="auto" w:fill="auto"/>
                  <w:vAlign w:val="center"/>
                </w:tcPr>
                <w:p w14:paraId="0607C4C5">
                  <w:pPr>
                    <w:keepNext w:val="0"/>
                    <w:keepLines w:val="0"/>
                    <w:widowControl/>
                    <w:suppressLineNumbers w:val="0"/>
                    <w:jc w:val="center"/>
                    <w:textAlignment w:val="center"/>
                    <w:rPr>
                      <w:rFonts w:hint="default"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7.62</w:t>
                  </w:r>
                </w:p>
              </w:tc>
              <w:tc>
                <w:tcPr>
                  <w:tcW w:w="423" w:type="pct"/>
                  <w:vMerge w:val="continue"/>
                  <w:shd w:val="clear" w:color="auto" w:fill="auto"/>
                  <w:vAlign w:val="center"/>
                </w:tcPr>
                <w:p w14:paraId="5B07874E">
                  <w:pPr>
                    <w:widowControl/>
                    <w:jc w:val="center"/>
                    <w:rPr>
                      <w:color w:val="auto"/>
                      <w:kern w:val="0"/>
                      <w:sz w:val="18"/>
                      <w:szCs w:val="18"/>
                    </w:rPr>
                  </w:pPr>
                </w:p>
              </w:tc>
              <w:tc>
                <w:tcPr>
                  <w:tcW w:w="373" w:type="pct"/>
                  <w:shd w:val="clear" w:color="auto" w:fill="auto"/>
                  <w:vAlign w:val="center"/>
                </w:tcPr>
                <w:p w14:paraId="24A34963">
                  <w:pPr>
                    <w:keepNext w:val="0"/>
                    <w:keepLines w:val="0"/>
                    <w:widowControl/>
                    <w:suppressLineNumbers w:val="0"/>
                    <w:jc w:val="center"/>
                    <w:textAlignment w:val="center"/>
                    <w:rPr>
                      <w:color w:val="auto"/>
                      <w:kern w:val="0"/>
                      <w:sz w:val="18"/>
                      <w:szCs w:val="18"/>
                    </w:rPr>
                  </w:pPr>
                  <w:r>
                    <w:rPr>
                      <w:rFonts w:hint="eastAsia" w:cs="Times New Roman"/>
                      <w:i w:val="0"/>
                      <w:iCs w:val="0"/>
                      <w:color w:val="auto"/>
                      <w:kern w:val="0"/>
                      <w:sz w:val="18"/>
                      <w:szCs w:val="18"/>
                      <w:u w:val="none"/>
                      <w:lang w:val="en-US" w:eastAsia="zh-CN" w:bidi="ar"/>
                    </w:rPr>
                    <w:t>94.73</w:t>
                  </w:r>
                  <w:r>
                    <w:rPr>
                      <w:rFonts w:hint="default" w:ascii="Times New Roman" w:hAnsi="Times New Roman" w:eastAsia="宋体" w:cs="Times New Roman"/>
                      <w:i w:val="0"/>
                      <w:iCs w:val="0"/>
                      <w:color w:val="auto"/>
                      <w:kern w:val="0"/>
                      <w:sz w:val="18"/>
                      <w:szCs w:val="18"/>
                      <w:u w:val="none"/>
                      <w:lang w:val="en-US" w:eastAsia="zh-CN" w:bidi="ar"/>
                    </w:rPr>
                    <w:t>%</w:t>
                  </w:r>
                </w:p>
              </w:tc>
              <w:tc>
                <w:tcPr>
                  <w:tcW w:w="372" w:type="pct"/>
                  <w:vMerge w:val="continue"/>
                  <w:shd w:val="clear" w:color="auto" w:fill="auto"/>
                  <w:vAlign w:val="center"/>
                </w:tcPr>
                <w:p w14:paraId="640F94F5">
                  <w:pPr>
                    <w:jc w:val="center"/>
                    <w:rPr>
                      <w:color w:val="auto"/>
                      <w:kern w:val="0"/>
                      <w:sz w:val="18"/>
                      <w:szCs w:val="18"/>
                    </w:rPr>
                  </w:pPr>
                </w:p>
              </w:tc>
              <w:tc>
                <w:tcPr>
                  <w:tcW w:w="487" w:type="pct"/>
                  <w:shd w:val="clear" w:color="auto" w:fill="auto"/>
                  <w:vAlign w:val="center"/>
                </w:tcPr>
                <w:p w14:paraId="68235CDA">
                  <w:pPr>
                    <w:keepNext w:val="0"/>
                    <w:keepLines w:val="0"/>
                    <w:widowControl/>
                    <w:suppressLineNumbers w:val="0"/>
                    <w:jc w:val="center"/>
                    <w:textAlignment w:val="center"/>
                    <w:rPr>
                      <w:rFonts w:hint="default"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2.91</w:t>
                  </w:r>
                </w:p>
              </w:tc>
              <w:tc>
                <w:tcPr>
                  <w:tcW w:w="379" w:type="pct"/>
                  <w:shd w:val="clear" w:color="auto" w:fill="auto"/>
                  <w:vAlign w:val="center"/>
                </w:tcPr>
                <w:p w14:paraId="5DD8BB2B">
                  <w:pPr>
                    <w:keepNext w:val="0"/>
                    <w:keepLines w:val="0"/>
                    <w:widowControl/>
                    <w:suppressLineNumbers w:val="0"/>
                    <w:jc w:val="center"/>
                    <w:textAlignment w:val="center"/>
                    <w:rPr>
                      <w:rFonts w:hint="default" w:cs="Times New Roman"/>
                      <w:i w:val="0"/>
                      <w:iCs w:val="0"/>
                      <w:color w:val="auto"/>
                      <w:kern w:val="0"/>
                      <w:sz w:val="18"/>
                      <w:szCs w:val="18"/>
                      <w:u w:val="none"/>
                      <w:lang w:val="en-US" w:eastAsia="zh-CN" w:bidi="ar"/>
                    </w:rPr>
                  </w:pPr>
                  <w:r>
                    <w:rPr>
                      <w:rFonts w:hint="default" w:cs="Times New Roman"/>
                      <w:i w:val="0"/>
                      <w:iCs w:val="0"/>
                      <w:color w:val="auto"/>
                      <w:kern w:val="0"/>
                      <w:sz w:val="18"/>
                      <w:szCs w:val="18"/>
                      <w:u w:val="none"/>
                      <w:lang w:val="en-US" w:eastAsia="zh-CN" w:bidi="ar"/>
                    </w:rPr>
                    <w:t>0.</w:t>
                  </w:r>
                  <w:r>
                    <w:rPr>
                      <w:rFonts w:hint="eastAsia" w:cs="Times New Roman"/>
                      <w:i w:val="0"/>
                      <w:iCs w:val="0"/>
                      <w:color w:val="auto"/>
                      <w:kern w:val="0"/>
                      <w:sz w:val="18"/>
                      <w:szCs w:val="18"/>
                      <w:u w:val="none"/>
                      <w:lang w:val="en-US" w:eastAsia="zh-CN" w:bidi="ar"/>
                    </w:rPr>
                    <w:t>40</w:t>
                  </w:r>
                </w:p>
              </w:tc>
              <w:tc>
                <w:tcPr>
                  <w:tcW w:w="315" w:type="pct"/>
                  <w:vMerge w:val="continue"/>
                  <w:shd w:val="clear" w:color="auto" w:fill="auto"/>
                  <w:vAlign w:val="center"/>
                </w:tcPr>
                <w:p w14:paraId="1B8FC54E">
                  <w:pPr>
                    <w:widowControl/>
                    <w:jc w:val="center"/>
                    <w:rPr>
                      <w:color w:val="auto"/>
                      <w:kern w:val="0"/>
                      <w:sz w:val="18"/>
                      <w:szCs w:val="18"/>
                    </w:rPr>
                  </w:pPr>
                </w:p>
              </w:tc>
            </w:tr>
            <w:tr w14:paraId="782C3B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62" w:type="pct"/>
                  <w:vMerge w:val="continue"/>
                  <w:shd w:val="clear" w:color="auto" w:fill="auto"/>
                  <w:vAlign w:val="center"/>
                </w:tcPr>
                <w:p w14:paraId="6B48F11E">
                  <w:pPr>
                    <w:widowControl/>
                    <w:jc w:val="center"/>
                    <w:rPr>
                      <w:color w:val="auto"/>
                      <w:kern w:val="0"/>
                      <w:sz w:val="18"/>
                      <w:szCs w:val="18"/>
                    </w:rPr>
                  </w:pPr>
                </w:p>
              </w:tc>
              <w:tc>
                <w:tcPr>
                  <w:tcW w:w="454" w:type="pct"/>
                  <w:vMerge w:val="continue"/>
                  <w:shd w:val="clear" w:color="auto" w:fill="auto"/>
                  <w:vAlign w:val="center"/>
                </w:tcPr>
                <w:p w14:paraId="0800C4F2">
                  <w:pPr>
                    <w:widowControl/>
                    <w:jc w:val="center"/>
                    <w:rPr>
                      <w:color w:val="auto"/>
                      <w:kern w:val="0"/>
                      <w:sz w:val="18"/>
                      <w:szCs w:val="18"/>
                    </w:rPr>
                  </w:pPr>
                </w:p>
              </w:tc>
              <w:tc>
                <w:tcPr>
                  <w:tcW w:w="387" w:type="pct"/>
                  <w:shd w:val="clear" w:color="auto" w:fill="auto"/>
                  <w:vAlign w:val="center"/>
                </w:tcPr>
                <w:p w14:paraId="101370DC">
                  <w:pPr>
                    <w:widowControl/>
                    <w:jc w:val="center"/>
                    <w:rPr>
                      <w:color w:val="auto"/>
                      <w:kern w:val="0"/>
                      <w:sz w:val="18"/>
                      <w:szCs w:val="18"/>
                    </w:rPr>
                  </w:pPr>
                  <w:r>
                    <w:rPr>
                      <w:color w:val="auto"/>
                      <w:kern w:val="0"/>
                      <w:sz w:val="18"/>
                      <w:szCs w:val="18"/>
                    </w:rPr>
                    <w:t>总磷</w:t>
                  </w:r>
                </w:p>
              </w:tc>
              <w:tc>
                <w:tcPr>
                  <w:tcW w:w="239" w:type="pct"/>
                  <w:vMerge w:val="continue"/>
                  <w:shd w:val="clear" w:color="auto" w:fill="auto"/>
                  <w:vAlign w:val="center"/>
                </w:tcPr>
                <w:p w14:paraId="32873124">
                  <w:pPr>
                    <w:widowControl/>
                    <w:jc w:val="center"/>
                    <w:rPr>
                      <w:color w:val="auto"/>
                      <w:kern w:val="0"/>
                      <w:sz w:val="18"/>
                      <w:szCs w:val="18"/>
                    </w:rPr>
                  </w:pPr>
                </w:p>
              </w:tc>
              <w:tc>
                <w:tcPr>
                  <w:tcW w:w="451" w:type="pct"/>
                  <w:vMerge w:val="continue"/>
                  <w:shd w:val="clear" w:color="auto" w:fill="auto"/>
                  <w:vAlign w:val="center"/>
                </w:tcPr>
                <w:p w14:paraId="172313C7">
                  <w:pPr>
                    <w:widowControl/>
                    <w:jc w:val="center"/>
                    <w:rPr>
                      <w:color w:val="auto"/>
                      <w:kern w:val="0"/>
                      <w:sz w:val="18"/>
                      <w:szCs w:val="18"/>
                    </w:rPr>
                  </w:pPr>
                </w:p>
              </w:tc>
              <w:tc>
                <w:tcPr>
                  <w:tcW w:w="487" w:type="pct"/>
                  <w:shd w:val="clear" w:color="auto" w:fill="auto"/>
                  <w:vAlign w:val="center"/>
                </w:tcPr>
                <w:p w14:paraId="6796AD1A">
                  <w:pPr>
                    <w:keepNext w:val="0"/>
                    <w:keepLines w:val="0"/>
                    <w:widowControl/>
                    <w:suppressLineNumbers w:val="0"/>
                    <w:jc w:val="center"/>
                    <w:textAlignment w:val="center"/>
                    <w:rPr>
                      <w:rFonts w:hint="default"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14.3</w:t>
                  </w:r>
                </w:p>
              </w:tc>
              <w:tc>
                <w:tcPr>
                  <w:tcW w:w="366" w:type="pct"/>
                  <w:shd w:val="clear" w:color="auto" w:fill="auto"/>
                  <w:vAlign w:val="center"/>
                </w:tcPr>
                <w:p w14:paraId="1BBBB90E">
                  <w:pPr>
                    <w:keepNext w:val="0"/>
                    <w:keepLines w:val="0"/>
                    <w:widowControl/>
                    <w:suppressLineNumbers w:val="0"/>
                    <w:jc w:val="center"/>
                    <w:textAlignment w:val="center"/>
                    <w:rPr>
                      <w:rFonts w:hint="default" w:cs="Times New Roman"/>
                      <w:i w:val="0"/>
                      <w:iCs w:val="0"/>
                      <w:color w:val="auto"/>
                      <w:kern w:val="0"/>
                      <w:sz w:val="18"/>
                      <w:szCs w:val="18"/>
                      <w:u w:val="none"/>
                      <w:lang w:val="en-US" w:eastAsia="zh-CN" w:bidi="ar"/>
                    </w:rPr>
                  </w:pPr>
                  <w:r>
                    <w:rPr>
                      <w:rFonts w:hint="default" w:cs="Times New Roman"/>
                      <w:i w:val="0"/>
                      <w:iCs w:val="0"/>
                      <w:color w:val="auto"/>
                      <w:kern w:val="0"/>
                      <w:sz w:val="18"/>
                      <w:szCs w:val="18"/>
                      <w:u w:val="none"/>
                      <w:lang w:val="en-US" w:eastAsia="zh-CN" w:bidi="ar"/>
                    </w:rPr>
                    <w:t>1.</w:t>
                  </w:r>
                  <w:r>
                    <w:rPr>
                      <w:rFonts w:hint="eastAsia" w:cs="Times New Roman"/>
                      <w:i w:val="0"/>
                      <w:iCs w:val="0"/>
                      <w:color w:val="auto"/>
                      <w:kern w:val="0"/>
                      <w:sz w:val="18"/>
                      <w:szCs w:val="18"/>
                      <w:u w:val="none"/>
                      <w:lang w:val="en-US" w:eastAsia="zh-CN" w:bidi="ar"/>
                    </w:rPr>
                    <w:t>98</w:t>
                  </w:r>
                </w:p>
              </w:tc>
              <w:tc>
                <w:tcPr>
                  <w:tcW w:w="423" w:type="pct"/>
                  <w:vMerge w:val="continue"/>
                  <w:shd w:val="clear" w:color="auto" w:fill="auto"/>
                  <w:vAlign w:val="center"/>
                </w:tcPr>
                <w:p w14:paraId="14113542">
                  <w:pPr>
                    <w:widowControl/>
                    <w:jc w:val="center"/>
                    <w:rPr>
                      <w:color w:val="auto"/>
                      <w:kern w:val="0"/>
                      <w:sz w:val="18"/>
                      <w:szCs w:val="18"/>
                    </w:rPr>
                  </w:pPr>
                </w:p>
              </w:tc>
              <w:tc>
                <w:tcPr>
                  <w:tcW w:w="373" w:type="pct"/>
                  <w:shd w:val="clear" w:color="auto" w:fill="auto"/>
                  <w:vAlign w:val="center"/>
                </w:tcPr>
                <w:p w14:paraId="2B080AD4">
                  <w:pPr>
                    <w:keepNext w:val="0"/>
                    <w:keepLines w:val="0"/>
                    <w:widowControl/>
                    <w:suppressLineNumbers w:val="0"/>
                    <w:jc w:val="center"/>
                    <w:textAlignment w:val="center"/>
                    <w:rPr>
                      <w:color w:val="auto"/>
                      <w:kern w:val="0"/>
                      <w:sz w:val="18"/>
                      <w:szCs w:val="18"/>
                    </w:rPr>
                  </w:pPr>
                  <w:r>
                    <w:rPr>
                      <w:rFonts w:hint="eastAsia" w:cs="Times New Roman"/>
                      <w:i w:val="0"/>
                      <w:iCs w:val="0"/>
                      <w:color w:val="auto"/>
                      <w:kern w:val="0"/>
                      <w:sz w:val="18"/>
                      <w:szCs w:val="18"/>
                      <w:u w:val="none"/>
                      <w:lang w:val="en-US" w:eastAsia="zh-CN" w:bidi="ar"/>
                    </w:rPr>
                    <w:t>96.05</w:t>
                  </w:r>
                  <w:r>
                    <w:rPr>
                      <w:rFonts w:hint="default" w:ascii="Times New Roman" w:hAnsi="Times New Roman" w:eastAsia="宋体" w:cs="Times New Roman"/>
                      <w:i w:val="0"/>
                      <w:iCs w:val="0"/>
                      <w:color w:val="auto"/>
                      <w:kern w:val="0"/>
                      <w:sz w:val="18"/>
                      <w:szCs w:val="18"/>
                      <w:u w:val="none"/>
                      <w:lang w:val="en-US" w:eastAsia="zh-CN" w:bidi="ar"/>
                    </w:rPr>
                    <w:t>%</w:t>
                  </w:r>
                </w:p>
              </w:tc>
              <w:tc>
                <w:tcPr>
                  <w:tcW w:w="372" w:type="pct"/>
                  <w:vMerge w:val="continue"/>
                  <w:shd w:val="clear" w:color="auto" w:fill="auto"/>
                  <w:vAlign w:val="center"/>
                </w:tcPr>
                <w:p w14:paraId="6B71CE37">
                  <w:pPr>
                    <w:jc w:val="center"/>
                    <w:rPr>
                      <w:color w:val="auto"/>
                      <w:kern w:val="0"/>
                      <w:sz w:val="18"/>
                      <w:szCs w:val="18"/>
                    </w:rPr>
                  </w:pPr>
                </w:p>
              </w:tc>
              <w:tc>
                <w:tcPr>
                  <w:tcW w:w="487" w:type="pct"/>
                  <w:shd w:val="clear" w:color="auto" w:fill="auto"/>
                  <w:vAlign w:val="center"/>
                </w:tcPr>
                <w:p w14:paraId="063D98BB">
                  <w:pPr>
                    <w:keepNext w:val="0"/>
                    <w:keepLines w:val="0"/>
                    <w:widowControl/>
                    <w:suppressLineNumbers w:val="0"/>
                    <w:jc w:val="center"/>
                    <w:textAlignment w:val="center"/>
                    <w:rPr>
                      <w:rFonts w:hint="default"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0.56</w:t>
                  </w:r>
                </w:p>
              </w:tc>
              <w:tc>
                <w:tcPr>
                  <w:tcW w:w="379" w:type="pct"/>
                  <w:shd w:val="clear" w:color="auto" w:fill="auto"/>
                  <w:vAlign w:val="center"/>
                </w:tcPr>
                <w:p w14:paraId="175527A7">
                  <w:pPr>
                    <w:keepNext w:val="0"/>
                    <w:keepLines w:val="0"/>
                    <w:widowControl/>
                    <w:suppressLineNumbers w:val="0"/>
                    <w:jc w:val="center"/>
                    <w:textAlignment w:val="center"/>
                    <w:rPr>
                      <w:rFonts w:hint="default" w:cs="Times New Roman"/>
                      <w:i w:val="0"/>
                      <w:iCs w:val="0"/>
                      <w:color w:val="auto"/>
                      <w:kern w:val="0"/>
                      <w:sz w:val="18"/>
                      <w:szCs w:val="18"/>
                      <w:u w:val="none"/>
                      <w:lang w:val="en-US" w:eastAsia="zh-CN" w:bidi="ar"/>
                    </w:rPr>
                  </w:pPr>
                  <w:r>
                    <w:rPr>
                      <w:rFonts w:hint="default" w:cs="Times New Roman"/>
                      <w:i w:val="0"/>
                      <w:iCs w:val="0"/>
                      <w:color w:val="auto"/>
                      <w:kern w:val="0"/>
                      <w:sz w:val="18"/>
                      <w:szCs w:val="18"/>
                      <w:u w:val="none"/>
                      <w:lang w:val="en-US" w:eastAsia="zh-CN" w:bidi="ar"/>
                    </w:rPr>
                    <w:t>0.</w:t>
                  </w:r>
                  <w:r>
                    <w:rPr>
                      <w:rFonts w:hint="eastAsia" w:cs="Times New Roman"/>
                      <w:i w:val="0"/>
                      <w:iCs w:val="0"/>
                      <w:color w:val="auto"/>
                      <w:kern w:val="0"/>
                      <w:sz w:val="18"/>
                      <w:szCs w:val="18"/>
                      <w:u w:val="none"/>
                      <w:lang w:val="en-US" w:eastAsia="zh-CN" w:bidi="ar"/>
                    </w:rPr>
                    <w:t>08</w:t>
                  </w:r>
                </w:p>
              </w:tc>
              <w:tc>
                <w:tcPr>
                  <w:tcW w:w="315" w:type="pct"/>
                  <w:vMerge w:val="continue"/>
                  <w:shd w:val="clear" w:color="auto" w:fill="auto"/>
                  <w:vAlign w:val="center"/>
                </w:tcPr>
                <w:p w14:paraId="30802F4B">
                  <w:pPr>
                    <w:widowControl/>
                    <w:jc w:val="center"/>
                    <w:rPr>
                      <w:color w:val="auto"/>
                      <w:kern w:val="0"/>
                      <w:sz w:val="18"/>
                      <w:szCs w:val="18"/>
                    </w:rPr>
                  </w:pPr>
                </w:p>
              </w:tc>
            </w:tr>
            <w:tr w14:paraId="1270F9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62" w:type="pct"/>
                  <w:vMerge w:val="continue"/>
                  <w:shd w:val="clear" w:color="auto" w:fill="auto"/>
                  <w:vAlign w:val="center"/>
                </w:tcPr>
                <w:p w14:paraId="231173D3">
                  <w:pPr>
                    <w:widowControl/>
                    <w:jc w:val="center"/>
                    <w:rPr>
                      <w:color w:val="auto"/>
                      <w:kern w:val="0"/>
                      <w:sz w:val="18"/>
                      <w:szCs w:val="18"/>
                    </w:rPr>
                  </w:pPr>
                </w:p>
              </w:tc>
              <w:tc>
                <w:tcPr>
                  <w:tcW w:w="454" w:type="pct"/>
                  <w:vMerge w:val="continue"/>
                  <w:shd w:val="clear" w:color="auto" w:fill="auto"/>
                  <w:vAlign w:val="center"/>
                </w:tcPr>
                <w:p w14:paraId="3CA5C339">
                  <w:pPr>
                    <w:widowControl/>
                    <w:jc w:val="center"/>
                    <w:rPr>
                      <w:color w:val="auto"/>
                      <w:kern w:val="0"/>
                      <w:sz w:val="18"/>
                      <w:szCs w:val="18"/>
                    </w:rPr>
                  </w:pPr>
                </w:p>
              </w:tc>
              <w:tc>
                <w:tcPr>
                  <w:tcW w:w="387" w:type="pct"/>
                  <w:shd w:val="clear" w:color="auto" w:fill="auto"/>
                  <w:vAlign w:val="center"/>
                </w:tcPr>
                <w:p w14:paraId="2A9F937C">
                  <w:pPr>
                    <w:widowControl/>
                    <w:jc w:val="center"/>
                    <w:rPr>
                      <w:color w:val="auto"/>
                      <w:kern w:val="0"/>
                      <w:sz w:val="18"/>
                      <w:szCs w:val="18"/>
                    </w:rPr>
                  </w:pPr>
                  <w:r>
                    <w:rPr>
                      <w:color w:val="auto"/>
                      <w:kern w:val="0"/>
                      <w:sz w:val="18"/>
                      <w:szCs w:val="18"/>
                    </w:rPr>
                    <w:t>总氮</w:t>
                  </w:r>
                </w:p>
              </w:tc>
              <w:tc>
                <w:tcPr>
                  <w:tcW w:w="239" w:type="pct"/>
                  <w:vMerge w:val="continue"/>
                  <w:shd w:val="clear" w:color="auto" w:fill="auto"/>
                  <w:vAlign w:val="center"/>
                </w:tcPr>
                <w:p w14:paraId="3ED26FEF">
                  <w:pPr>
                    <w:widowControl/>
                    <w:jc w:val="center"/>
                    <w:rPr>
                      <w:color w:val="auto"/>
                      <w:kern w:val="0"/>
                      <w:sz w:val="18"/>
                      <w:szCs w:val="18"/>
                    </w:rPr>
                  </w:pPr>
                </w:p>
              </w:tc>
              <w:tc>
                <w:tcPr>
                  <w:tcW w:w="451" w:type="pct"/>
                  <w:vMerge w:val="continue"/>
                  <w:shd w:val="clear" w:color="auto" w:fill="auto"/>
                  <w:vAlign w:val="center"/>
                </w:tcPr>
                <w:p w14:paraId="3324FE3A">
                  <w:pPr>
                    <w:widowControl/>
                    <w:jc w:val="center"/>
                    <w:rPr>
                      <w:color w:val="auto"/>
                      <w:kern w:val="0"/>
                      <w:sz w:val="18"/>
                      <w:szCs w:val="18"/>
                    </w:rPr>
                  </w:pPr>
                </w:p>
              </w:tc>
              <w:tc>
                <w:tcPr>
                  <w:tcW w:w="487" w:type="pct"/>
                  <w:shd w:val="clear" w:color="auto" w:fill="auto"/>
                  <w:vAlign w:val="center"/>
                </w:tcPr>
                <w:p w14:paraId="0035F0CF">
                  <w:pPr>
                    <w:keepNext w:val="0"/>
                    <w:keepLines w:val="0"/>
                    <w:widowControl/>
                    <w:suppressLineNumbers w:val="0"/>
                    <w:jc w:val="center"/>
                    <w:textAlignment w:val="center"/>
                    <w:rPr>
                      <w:rFonts w:hint="default"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108.4</w:t>
                  </w:r>
                </w:p>
              </w:tc>
              <w:tc>
                <w:tcPr>
                  <w:tcW w:w="366" w:type="pct"/>
                  <w:shd w:val="clear" w:color="auto" w:fill="auto"/>
                  <w:vAlign w:val="center"/>
                </w:tcPr>
                <w:p w14:paraId="653D03D9">
                  <w:pPr>
                    <w:keepNext w:val="0"/>
                    <w:keepLines w:val="0"/>
                    <w:widowControl/>
                    <w:suppressLineNumbers w:val="0"/>
                    <w:jc w:val="center"/>
                    <w:textAlignment w:val="center"/>
                    <w:rPr>
                      <w:rFonts w:hint="default"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14.96</w:t>
                  </w:r>
                </w:p>
              </w:tc>
              <w:tc>
                <w:tcPr>
                  <w:tcW w:w="423" w:type="pct"/>
                  <w:vMerge w:val="continue"/>
                  <w:shd w:val="clear" w:color="auto" w:fill="auto"/>
                  <w:vAlign w:val="center"/>
                </w:tcPr>
                <w:p w14:paraId="077D706C">
                  <w:pPr>
                    <w:widowControl/>
                    <w:jc w:val="center"/>
                    <w:rPr>
                      <w:color w:val="auto"/>
                      <w:kern w:val="0"/>
                      <w:sz w:val="18"/>
                      <w:szCs w:val="18"/>
                    </w:rPr>
                  </w:pPr>
                </w:p>
              </w:tc>
              <w:tc>
                <w:tcPr>
                  <w:tcW w:w="373" w:type="pct"/>
                  <w:shd w:val="clear" w:color="auto" w:fill="auto"/>
                  <w:vAlign w:val="center"/>
                </w:tcPr>
                <w:p w14:paraId="0DDB74B0">
                  <w:pPr>
                    <w:keepNext w:val="0"/>
                    <w:keepLines w:val="0"/>
                    <w:widowControl/>
                    <w:suppressLineNumbers w:val="0"/>
                    <w:jc w:val="center"/>
                    <w:textAlignment w:val="center"/>
                    <w:rPr>
                      <w:color w:val="auto"/>
                      <w:kern w:val="0"/>
                      <w:sz w:val="18"/>
                      <w:szCs w:val="18"/>
                    </w:rPr>
                  </w:pPr>
                  <w:r>
                    <w:rPr>
                      <w:rFonts w:hint="eastAsia" w:cs="Times New Roman"/>
                      <w:i w:val="0"/>
                      <w:iCs w:val="0"/>
                      <w:color w:val="auto"/>
                      <w:kern w:val="0"/>
                      <w:sz w:val="18"/>
                      <w:szCs w:val="18"/>
                      <w:u w:val="none"/>
                      <w:lang w:val="en-US" w:eastAsia="zh-CN" w:bidi="ar"/>
                    </w:rPr>
                    <w:t>94.73</w:t>
                  </w:r>
                  <w:r>
                    <w:rPr>
                      <w:rFonts w:hint="default" w:ascii="Times New Roman" w:hAnsi="Times New Roman" w:eastAsia="宋体" w:cs="Times New Roman"/>
                      <w:i w:val="0"/>
                      <w:iCs w:val="0"/>
                      <w:color w:val="auto"/>
                      <w:kern w:val="0"/>
                      <w:sz w:val="18"/>
                      <w:szCs w:val="18"/>
                      <w:u w:val="none"/>
                      <w:lang w:val="en-US" w:eastAsia="zh-CN" w:bidi="ar"/>
                    </w:rPr>
                    <w:t>%</w:t>
                  </w:r>
                </w:p>
              </w:tc>
              <w:tc>
                <w:tcPr>
                  <w:tcW w:w="372" w:type="pct"/>
                  <w:vMerge w:val="continue"/>
                  <w:shd w:val="clear" w:color="auto" w:fill="auto"/>
                  <w:vAlign w:val="center"/>
                </w:tcPr>
                <w:p w14:paraId="637D2164">
                  <w:pPr>
                    <w:jc w:val="center"/>
                    <w:rPr>
                      <w:color w:val="auto"/>
                      <w:kern w:val="0"/>
                      <w:sz w:val="18"/>
                      <w:szCs w:val="18"/>
                    </w:rPr>
                  </w:pPr>
                </w:p>
              </w:tc>
              <w:tc>
                <w:tcPr>
                  <w:tcW w:w="487" w:type="pct"/>
                  <w:shd w:val="clear" w:color="auto" w:fill="auto"/>
                  <w:vAlign w:val="center"/>
                </w:tcPr>
                <w:p w14:paraId="24F5E526">
                  <w:pPr>
                    <w:keepNext w:val="0"/>
                    <w:keepLines w:val="0"/>
                    <w:widowControl/>
                    <w:suppressLineNumbers w:val="0"/>
                    <w:jc w:val="center"/>
                    <w:textAlignment w:val="center"/>
                    <w:rPr>
                      <w:rFonts w:hint="default"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5.71</w:t>
                  </w:r>
                </w:p>
              </w:tc>
              <w:tc>
                <w:tcPr>
                  <w:tcW w:w="379" w:type="pct"/>
                  <w:shd w:val="clear" w:color="auto" w:fill="auto"/>
                  <w:vAlign w:val="center"/>
                </w:tcPr>
                <w:p w14:paraId="363D5BD3">
                  <w:pPr>
                    <w:keepNext w:val="0"/>
                    <w:keepLines w:val="0"/>
                    <w:widowControl/>
                    <w:suppressLineNumbers w:val="0"/>
                    <w:jc w:val="center"/>
                    <w:textAlignment w:val="center"/>
                    <w:rPr>
                      <w:rFonts w:hint="default"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0.79</w:t>
                  </w:r>
                </w:p>
              </w:tc>
              <w:tc>
                <w:tcPr>
                  <w:tcW w:w="315" w:type="pct"/>
                  <w:vMerge w:val="continue"/>
                  <w:shd w:val="clear" w:color="auto" w:fill="auto"/>
                  <w:vAlign w:val="center"/>
                </w:tcPr>
                <w:p w14:paraId="1EA4399A">
                  <w:pPr>
                    <w:widowControl/>
                    <w:jc w:val="center"/>
                    <w:rPr>
                      <w:color w:val="auto"/>
                      <w:kern w:val="0"/>
                      <w:sz w:val="18"/>
                      <w:szCs w:val="18"/>
                    </w:rPr>
                  </w:pPr>
                </w:p>
              </w:tc>
            </w:tr>
            <w:tr w14:paraId="06D1FE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62" w:type="pct"/>
                  <w:vMerge w:val="continue"/>
                  <w:shd w:val="clear" w:color="auto" w:fill="auto"/>
                  <w:vAlign w:val="center"/>
                </w:tcPr>
                <w:p w14:paraId="066C1D39">
                  <w:pPr>
                    <w:widowControl/>
                    <w:jc w:val="center"/>
                    <w:rPr>
                      <w:color w:val="auto"/>
                      <w:kern w:val="0"/>
                      <w:sz w:val="18"/>
                      <w:szCs w:val="18"/>
                    </w:rPr>
                  </w:pPr>
                </w:p>
              </w:tc>
              <w:tc>
                <w:tcPr>
                  <w:tcW w:w="454" w:type="pct"/>
                  <w:vMerge w:val="continue"/>
                  <w:shd w:val="clear" w:color="auto" w:fill="auto"/>
                  <w:vAlign w:val="center"/>
                </w:tcPr>
                <w:p w14:paraId="081584A2">
                  <w:pPr>
                    <w:widowControl/>
                    <w:jc w:val="center"/>
                    <w:rPr>
                      <w:color w:val="auto"/>
                      <w:kern w:val="0"/>
                      <w:sz w:val="18"/>
                      <w:szCs w:val="18"/>
                    </w:rPr>
                  </w:pPr>
                </w:p>
              </w:tc>
              <w:tc>
                <w:tcPr>
                  <w:tcW w:w="387" w:type="pct"/>
                  <w:shd w:val="clear" w:color="auto" w:fill="auto"/>
                  <w:vAlign w:val="center"/>
                </w:tcPr>
                <w:p w14:paraId="21C4E11F">
                  <w:pPr>
                    <w:widowControl/>
                    <w:jc w:val="center"/>
                    <w:rPr>
                      <w:color w:val="auto"/>
                      <w:kern w:val="0"/>
                      <w:sz w:val="18"/>
                      <w:szCs w:val="18"/>
                    </w:rPr>
                  </w:pPr>
                  <w:r>
                    <w:rPr>
                      <w:color w:val="auto"/>
                      <w:kern w:val="0"/>
                      <w:sz w:val="18"/>
                      <w:szCs w:val="18"/>
                    </w:rPr>
                    <w:t>动植物油</w:t>
                  </w:r>
                </w:p>
              </w:tc>
              <w:tc>
                <w:tcPr>
                  <w:tcW w:w="239" w:type="pct"/>
                  <w:vMerge w:val="continue"/>
                  <w:shd w:val="clear" w:color="auto" w:fill="auto"/>
                  <w:vAlign w:val="center"/>
                </w:tcPr>
                <w:p w14:paraId="672D1F76">
                  <w:pPr>
                    <w:widowControl/>
                    <w:jc w:val="center"/>
                    <w:rPr>
                      <w:color w:val="auto"/>
                      <w:kern w:val="0"/>
                      <w:sz w:val="18"/>
                      <w:szCs w:val="18"/>
                    </w:rPr>
                  </w:pPr>
                </w:p>
              </w:tc>
              <w:tc>
                <w:tcPr>
                  <w:tcW w:w="451" w:type="pct"/>
                  <w:vMerge w:val="continue"/>
                  <w:shd w:val="clear" w:color="auto" w:fill="auto"/>
                  <w:vAlign w:val="center"/>
                </w:tcPr>
                <w:p w14:paraId="310BAF2C">
                  <w:pPr>
                    <w:widowControl/>
                    <w:jc w:val="center"/>
                    <w:rPr>
                      <w:color w:val="auto"/>
                      <w:kern w:val="0"/>
                      <w:sz w:val="18"/>
                      <w:szCs w:val="18"/>
                    </w:rPr>
                  </w:pPr>
                </w:p>
              </w:tc>
              <w:tc>
                <w:tcPr>
                  <w:tcW w:w="487" w:type="pct"/>
                  <w:shd w:val="clear" w:color="auto" w:fill="auto"/>
                  <w:vAlign w:val="center"/>
                </w:tcPr>
                <w:p w14:paraId="102F6D92">
                  <w:pPr>
                    <w:widowControl/>
                    <w:jc w:val="center"/>
                    <w:textAlignment w:val="center"/>
                    <w:rPr>
                      <w:rFonts w:hint="eastAsia"/>
                      <w:color w:val="auto"/>
                      <w:kern w:val="0"/>
                      <w:sz w:val="18"/>
                      <w:szCs w:val="18"/>
                      <w:lang w:val="en-US" w:eastAsia="zh-CN" w:bidi="ar"/>
                    </w:rPr>
                  </w:pPr>
                  <w:r>
                    <w:rPr>
                      <w:rFonts w:hint="default"/>
                      <w:color w:val="auto"/>
                      <w:kern w:val="0"/>
                      <w:sz w:val="18"/>
                      <w:szCs w:val="18"/>
                      <w:lang w:val="en-US" w:eastAsia="zh-CN" w:bidi="ar"/>
                    </w:rPr>
                    <w:t>5.79</w:t>
                  </w:r>
                </w:p>
              </w:tc>
              <w:tc>
                <w:tcPr>
                  <w:tcW w:w="366" w:type="pct"/>
                  <w:shd w:val="clear" w:color="auto" w:fill="auto"/>
                  <w:vAlign w:val="center"/>
                </w:tcPr>
                <w:p w14:paraId="725A1B67">
                  <w:pPr>
                    <w:keepNext w:val="0"/>
                    <w:keepLines w:val="0"/>
                    <w:widowControl/>
                    <w:suppressLineNumbers w:val="0"/>
                    <w:jc w:val="center"/>
                    <w:textAlignment w:val="center"/>
                    <w:rPr>
                      <w:rFonts w:hint="eastAsia"/>
                      <w:color w:val="auto"/>
                      <w:kern w:val="0"/>
                      <w:sz w:val="18"/>
                      <w:szCs w:val="18"/>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0.80</w:t>
                  </w:r>
                </w:p>
              </w:tc>
              <w:tc>
                <w:tcPr>
                  <w:tcW w:w="423" w:type="pct"/>
                  <w:vMerge w:val="continue"/>
                  <w:shd w:val="clear" w:color="auto" w:fill="auto"/>
                  <w:vAlign w:val="center"/>
                </w:tcPr>
                <w:p w14:paraId="4415B4B6">
                  <w:pPr>
                    <w:widowControl/>
                    <w:jc w:val="center"/>
                    <w:rPr>
                      <w:color w:val="auto"/>
                      <w:kern w:val="0"/>
                      <w:sz w:val="18"/>
                      <w:szCs w:val="18"/>
                    </w:rPr>
                  </w:pPr>
                </w:p>
              </w:tc>
              <w:tc>
                <w:tcPr>
                  <w:tcW w:w="373" w:type="pct"/>
                  <w:shd w:val="clear" w:color="auto" w:fill="auto"/>
                  <w:vAlign w:val="center"/>
                </w:tcPr>
                <w:p w14:paraId="032B2FD7">
                  <w:pPr>
                    <w:keepNext w:val="0"/>
                    <w:keepLines w:val="0"/>
                    <w:widowControl/>
                    <w:suppressLineNumbers w:val="0"/>
                    <w:jc w:val="center"/>
                    <w:textAlignment w:val="center"/>
                    <w:rPr>
                      <w:color w:val="auto"/>
                      <w:kern w:val="0"/>
                      <w:sz w:val="18"/>
                      <w:szCs w:val="18"/>
                    </w:rPr>
                  </w:pPr>
                  <w:r>
                    <w:rPr>
                      <w:rFonts w:hint="eastAsia" w:cs="Times New Roman"/>
                      <w:i w:val="0"/>
                      <w:iCs w:val="0"/>
                      <w:color w:val="auto"/>
                      <w:kern w:val="0"/>
                      <w:sz w:val="18"/>
                      <w:szCs w:val="18"/>
                      <w:u w:val="none"/>
                      <w:lang w:val="en-US" w:eastAsia="zh-CN" w:bidi="ar"/>
                    </w:rPr>
                    <w:t>97.77</w:t>
                  </w:r>
                  <w:r>
                    <w:rPr>
                      <w:rFonts w:hint="default" w:ascii="Times New Roman" w:hAnsi="Times New Roman" w:eastAsia="宋体" w:cs="Times New Roman"/>
                      <w:i w:val="0"/>
                      <w:iCs w:val="0"/>
                      <w:color w:val="auto"/>
                      <w:kern w:val="0"/>
                      <w:sz w:val="18"/>
                      <w:szCs w:val="18"/>
                      <w:u w:val="none"/>
                      <w:lang w:val="en-US" w:eastAsia="zh-CN" w:bidi="ar"/>
                    </w:rPr>
                    <w:t>%</w:t>
                  </w:r>
                </w:p>
              </w:tc>
              <w:tc>
                <w:tcPr>
                  <w:tcW w:w="372" w:type="pct"/>
                  <w:vMerge w:val="continue"/>
                  <w:shd w:val="clear" w:color="auto" w:fill="auto"/>
                  <w:vAlign w:val="center"/>
                </w:tcPr>
                <w:p w14:paraId="76ADD93A">
                  <w:pPr>
                    <w:jc w:val="center"/>
                    <w:rPr>
                      <w:color w:val="auto"/>
                      <w:kern w:val="0"/>
                      <w:sz w:val="18"/>
                      <w:szCs w:val="18"/>
                    </w:rPr>
                  </w:pPr>
                </w:p>
              </w:tc>
              <w:tc>
                <w:tcPr>
                  <w:tcW w:w="487" w:type="pct"/>
                  <w:shd w:val="clear" w:color="auto" w:fill="auto"/>
                  <w:vAlign w:val="center"/>
                </w:tcPr>
                <w:p w14:paraId="57452613">
                  <w:pPr>
                    <w:widowControl/>
                    <w:jc w:val="center"/>
                    <w:textAlignment w:val="center"/>
                    <w:rPr>
                      <w:rFonts w:hint="eastAsia"/>
                      <w:color w:val="auto"/>
                      <w:kern w:val="0"/>
                      <w:sz w:val="18"/>
                      <w:szCs w:val="18"/>
                      <w:lang w:val="en-US" w:eastAsia="zh-CN" w:bidi="ar"/>
                    </w:rPr>
                  </w:pPr>
                  <w:r>
                    <w:rPr>
                      <w:rFonts w:hint="default"/>
                      <w:color w:val="auto"/>
                      <w:kern w:val="0"/>
                      <w:sz w:val="18"/>
                      <w:szCs w:val="18"/>
                      <w:lang w:val="en-US" w:eastAsia="zh-CN" w:bidi="ar"/>
                    </w:rPr>
                    <w:t>0.579</w:t>
                  </w:r>
                </w:p>
              </w:tc>
              <w:tc>
                <w:tcPr>
                  <w:tcW w:w="379" w:type="pct"/>
                  <w:shd w:val="clear" w:color="auto" w:fill="auto"/>
                  <w:vAlign w:val="center"/>
                </w:tcPr>
                <w:p w14:paraId="41E20B5F">
                  <w:pPr>
                    <w:keepNext w:val="0"/>
                    <w:keepLines w:val="0"/>
                    <w:widowControl/>
                    <w:suppressLineNumbers w:val="0"/>
                    <w:jc w:val="center"/>
                    <w:textAlignment w:val="center"/>
                    <w:rPr>
                      <w:rFonts w:hint="eastAsia"/>
                      <w:color w:val="auto"/>
                      <w:kern w:val="0"/>
                      <w:sz w:val="18"/>
                      <w:szCs w:val="18"/>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0.08</w:t>
                  </w:r>
                </w:p>
              </w:tc>
              <w:tc>
                <w:tcPr>
                  <w:tcW w:w="315" w:type="pct"/>
                  <w:vMerge w:val="continue"/>
                  <w:shd w:val="clear" w:color="auto" w:fill="auto"/>
                  <w:vAlign w:val="center"/>
                </w:tcPr>
                <w:p w14:paraId="17B85C7D">
                  <w:pPr>
                    <w:widowControl/>
                    <w:jc w:val="center"/>
                    <w:rPr>
                      <w:color w:val="auto"/>
                      <w:kern w:val="0"/>
                      <w:sz w:val="18"/>
                      <w:szCs w:val="18"/>
                    </w:rPr>
                  </w:pPr>
                </w:p>
              </w:tc>
            </w:tr>
            <w:tr w14:paraId="55E0EF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62" w:type="pct"/>
                  <w:vMerge w:val="continue"/>
                  <w:shd w:val="clear" w:color="auto" w:fill="auto"/>
                  <w:vAlign w:val="center"/>
                </w:tcPr>
                <w:p w14:paraId="294DB528">
                  <w:pPr>
                    <w:widowControl/>
                    <w:jc w:val="center"/>
                    <w:rPr>
                      <w:color w:val="auto"/>
                      <w:kern w:val="0"/>
                      <w:sz w:val="18"/>
                      <w:szCs w:val="18"/>
                    </w:rPr>
                  </w:pPr>
                </w:p>
              </w:tc>
              <w:tc>
                <w:tcPr>
                  <w:tcW w:w="454" w:type="pct"/>
                  <w:vMerge w:val="continue"/>
                  <w:shd w:val="clear" w:color="auto" w:fill="auto"/>
                  <w:vAlign w:val="center"/>
                </w:tcPr>
                <w:p w14:paraId="28D8E4B9">
                  <w:pPr>
                    <w:widowControl/>
                    <w:jc w:val="center"/>
                    <w:rPr>
                      <w:color w:val="auto"/>
                      <w:kern w:val="0"/>
                      <w:sz w:val="18"/>
                      <w:szCs w:val="18"/>
                    </w:rPr>
                  </w:pPr>
                </w:p>
              </w:tc>
              <w:tc>
                <w:tcPr>
                  <w:tcW w:w="387" w:type="pct"/>
                  <w:shd w:val="clear" w:color="auto" w:fill="auto"/>
                  <w:vAlign w:val="center"/>
                </w:tcPr>
                <w:p w14:paraId="21F1D4A6">
                  <w:pPr>
                    <w:adjustRightInd w:val="0"/>
                    <w:snapToGrid w:val="0"/>
                    <w:jc w:val="center"/>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全盐量</w:t>
                  </w:r>
                </w:p>
              </w:tc>
              <w:tc>
                <w:tcPr>
                  <w:tcW w:w="239" w:type="pct"/>
                  <w:vMerge w:val="continue"/>
                  <w:shd w:val="clear" w:color="auto" w:fill="auto"/>
                  <w:vAlign w:val="center"/>
                </w:tcPr>
                <w:p w14:paraId="093BF204">
                  <w:pPr>
                    <w:adjustRightInd w:val="0"/>
                    <w:snapToGrid w:val="0"/>
                    <w:jc w:val="center"/>
                    <w:rPr>
                      <w:rFonts w:hint="eastAsia" w:ascii="Times New Roman" w:hAnsi="Times New Roman" w:eastAsia="宋体" w:cs="Times New Roman"/>
                      <w:color w:val="auto"/>
                      <w:sz w:val="18"/>
                      <w:szCs w:val="18"/>
                      <w:lang w:val="en-US" w:eastAsia="zh-CN"/>
                    </w:rPr>
                  </w:pPr>
                </w:p>
              </w:tc>
              <w:tc>
                <w:tcPr>
                  <w:tcW w:w="451" w:type="pct"/>
                  <w:vMerge w:val="continue"/>
                  <w:shd w:val="clear" w:color="auto" w:fill="auto"/>
                  <w:vAlign w:val="center"/>
                </w:tcPr>
                <w:p w14:paraId="7A37DB32">
                  <w:pPr>
                    <w:adjustRightInd w:val="0"/>
                    <w:snapToGrid w:val="0"/>
                    <w:jc w:val="center"/>
                    <w:rPr>
                      <w:rFonts w:hint="eastAsia" w:ascii="Times New Roman" w:hAnsi="Times New Roman" w:eastAsia="宋体" w:cs="Times New Roman"/>
                      <w:color w:val="auto"/>
                      <w:sz w:val="18"/>
                      <w:szCs w:val="18"/>
                      <w:lang w:val="en-US" w:eastAsia="zh-CN"/>
                    </w:rPr>
                  </w:pPr>
                </w:p>
              </w:tc>
              <w:tc>
                <w:tcPr>
                  <w:tcW w:w="487" w:type="pct"/>
                  <w:shd w:val="clear" w:color="auto" w:fill="auto"/>
                  <w:vAlign w:val="center"/>
                </w:tcPr>
                <w:p w14:paraId="5D360025">
                  <w:pPr>
                    <w:adjustRightInd w:val="0"/>
                    <w:snapToGrid w:val="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40</w:t>
                  </w:r>
                </w:p>
              </w:tc>
              <w:tc>
                <w:tcPr>
                  <w:tcW w:w="366" w:type="pct"/>
                  <w:shd w:val="clear" w:color="auto" w:fill="auto"/>
                  <w:vAlign w:val="center"/>
                </w:tcPr>
                <w:p w14:paraId="4EFE0207">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5.52</w:t>
                  </w:r>
                </w:p>
              </w:tc>
              <w:tc>
                <w:tcPr>
                  <w:tcW w:w="423" w:type="pct"/>
                  <w:vMerge w:val="continue"/>
                  <w:shd w:val="clear" w:color="auto" w:fill="auto"/>
                  <w:vAlign w:val="center"/>
                </w:tcPr>
                <w:p w14:paraId="2EC2D4B8">
                  <w:pPr>
                    <w:adjustRightInd w:val="0"/>
                    <w:snapToGrid w:val="0"/>
                    <w:jc w:val="center"/>
                    <w:rPr>
                      <w:rFonts w:hint="eastAsia" w:ascii="Times New Roman" w:hAnsi="Times New Roman" w:eastAsia="宋体" w:cs="Times New Roman"/>
                      <w:color w:val="auto"/>
                      <w:sz w:val="18"/>
                      <w:szCs w:val="18"/>
                      <w:lang w:val="en-US" w:eastAsia="zh-CN"/>
                    </w:rPr>
                  </w:pPr>
                </w:p>
              </w:tc>
              <w:tc>
                <w:tcPr>
                  <w:tcW w:w="373" w:type="pct"/>
                  <w:shd w:val="clear" w:color="auto" w:fill="auto"/>
                  <w:vAlign w:val="center"/>
                </w:tcPr>
                <w:p w14:paraId="6571C432">
                  <w:pPr>
                    <w:adjustRightInd w:val="0"/>
                    <w:snapToGrid w:val="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w:t>
                  </w:r>
                </w:p>
              </w:tc>
              <w:tc>
                <w:tcPr>
                  <w:tcW w:w="372" w:type="pct"/>
                  <w:vMerge w:val="continue"/>
                  <w:shd w:val="clear" w:color="auto" w:fill="auto"/>
                  <w:vAlign w:val="center"/>
                </w:tcPr>
                <w:p w14:paraId="52DE8575">
                  <w:pPr>
                    <w:adjustRightInd w:val="0"/>
                    <w:snapToGrid w:val="0"/>
                    <w:jc w:val="center"/>
                    <w:rPr>
                      <w:rFonts w:hint="eastAsia" w:ascii="Times New Roman" w:hAnsi="Times New Roman" w:eastAsia="宋体" w:cs="Times New Roman"/>
                      <w:color w:val="auto"/>
                      <w:sz w:val="18"/>
                      <w:szCs w:val="18"/>
                      <w:lang w:val="en-US" w:eastAsia="zh-CN"/>
                    </w:rPr>
                  </w:pPr>
                </w:p>
              </w:tc>
              <w:tc>
                <w:tcPr>
                  <w:tcW w:w="487" w:type="pct"/>
                  <w:shd w:val="clear" w:color="auto" w:fill="auto"/>
                  <w:vAlign w:val="center"/>
                </w:tcPr>
                <w:p w14:paraId="6C45A96D">
                  <w:pPr>
                    <w:adjustRightInd w:val="0"/>
                    <w:snapToGrid w:val="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40</w:t>
                  </w:r>
                </w:p>
              </w:tc>
              <w:tc>
                <w:tcPr>
                  <w:tcW w:w="379" w:type="pct"/>
                  <w:shd w:val="clear" w:color="auto" w:fill="auto"/>
                  <w:vAlign w:val="center"/>
                </w:tcPr>
                <w:p w14:paraId="2E459DCB">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5.52</w:t>
                  </w:r>
                </w:p>
              </w:tc>
              <w:tc>
                <w:tcPr>
                  <w:tcW w:w="315" w:type="pct"/>
                  <w:vMerge w:val="continue"/>
                  <w:shd w:val="clear" w:color="auto" w:fill="auto"/>
                  <w:vAlign w:val="center"/>
                </w:tcPr>
                <w:p w14:paraId="7CB16161">
                  <w:pPr>
                    <w:widowControl/>
                    <w:jc w:val="center"/>
                    <w:rPr>
                      <w:color w:val="auto"/>
                      <w:kern w:val="0"/>
                      <w:sz w:val="18"/>
                      <w:szCs w:val="18"/>
                    </w:rPr>
                  </w:pPr>
                </w:p>
              </w:tc>
            </w:tr>
            <w:bookmarkEnd w:id="38"/>
            <w:bookmarkEnd w:id="39"/>
          </w:tbl>
          <w:p w14:paraId="10F95672">
            <w:pPr>
              <w:adjustRightInd w:val="0"/>
              <w:snapToGrid w:val="0"/>
              <w:jc w:val="center"/>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val="en-US" w:eastAsia="zh-CN"/>
              </w:rPr>
              <w:t>4-8</w:t>
            </w:r>
            <w:r>
              <w:rPr>
                <w:rFonts w:hint="eastAsia" w:ascii="Times New Roman" w:hAnsi="Times New Roman" w:eastAsia="宋体" w:cs="Times New Roman"/>
                <w:b/>
                <w:bCs/>
                <w:color w:val="auto"/>
                <w:sz w:val="21"/>
                <w:szCs w:val="21"/>
                <w:lang w:eastAsia="zh-CN"/>
              </w:rPr>
              <w:t>类比可行性分析</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01"/>
              <w:gridCol w:w="3303"/>
              <w:gridCol w:w="3327"/>
              <w:gridCol w:w="797"/>
            </w:tblGrid>
            <w:tr w14:paraId="033FC96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46" w:type="pct"/>
                  <w:tcBorders>
                    <w:tl2br w:val="nil"/>
                    <w:tr2bl w:val="nil"/>
                  </w:tcBorders>
                  <w:vAlign w:val="center"/>
                </w:tcPr>
                <w:p w14:paraId="06FFAA96">
                  <w:pPr>
                    <w:adjustRightInd w:val="0"/>
                    <w:snapToGrid w:val="0"/>
                    <w:jc w:val="center"/>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类别</w:t>
                  </w:r>
                </w:p>
              </w:tc>
              <w:tc>
                <w:tcPr>
                  <w:tcW w:w="1936" w:type="pct"/>
                  <w:tcBorders>
                    <w:tl2br w:val="nil"/>
                    <w:tr2bl w:val="nil"/>
                  </w:tcBorders>
                  <w:vAlign w:val="center"/>
                </w:tcPr>
                <w:p w14:paraId="44CE074C">
                  <w:pPr>
                    <w:adjustRightInd w:val="0"/>
                    <w:snapToGrid w:val="0"/>
                    <w:jc w:val="center"/>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类比项目重庆市渝味漂香食品有限公司渝味漂香预制菜及休闲食品加工项目</w:t>
                  </w:r>
                </w:p>
              </w:tc>
              <w:tc>
                <w:tcPr>
                  <w:tcW w:w="1950" w:type="pct"/>
                  <w:tcBorders>
                    <w:tl2br w:val="nil"/>
                    <w:tr2bl w:val="nil"/>
                  </w:tcBorders>
                  <w:vAlign w:val="center"/>
                </w:tcPr>
                <w:p w14:paraId="706EF664">
                  <w:pPr>
                    <w:adjustRightInd w:val="0"/>
                    <w:snapToGrid w:val="0"/>
                    <w:jc w:val="center"/>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本项目</w:t>
                  </w:r>
                </w:p>
              </w:tc>
              <w:tc>
                <w:tcPr>
                  <w:tcW w:w="467" w:type="pct"/>
                  <w:tcBorders>
                    <w:tl2br w:val="nil"/>
                    <w:tr2bl w:val="nil"/>
                  </w:tcBorders>
                  <w:vAlign w:val="center"/>
                </w:tcPr>
                <w:p w14:paraId="05D90881">
                  <w:pPr>
                    <w:adjustRightInd w:val="0"/>
                    <w:snapToGrid w:val="0"/>
                    <w:jc w:val="center"/>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类比结果</w:t>
                  </w:r>
                </w:p>
              </w:tc>
            </w:tr>
            <w:tr w14:paraId="1639F91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46" w:type="pct"/>
                  <w:tcBorders>
                    <w:tl2br w:val="nil"/>
                    <w:tr2bl w:val="nil"/>
                  </w:tcBorders>
                  <w:vAlign w:val="center"/>
                </w:tcPr>
                <w:p w14:paraId="7ECF267A">
                  <w:pPr>
                    <w:adjustRightInd w:val="0"/>
                    <w:snapToGrid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产品方案</w:t>
                  </w:r>
                </w:p>
              </w:tc>
              <w:tc>
                <w:tcPr>
                  <w:tcW w:w="1936" w:type="pct"/>
                  <w:tcBorders>
                    <w:tl2br w:val="nil"/>
                    <w:tr2bl w:val="nil"/>
                  </w:tcBorders>
                  <w:vAlign w:val="center"/>
                </w:tcPr>
                <w:p w14:paraId="1F726C20">
                  <w:pPr>
                    <w:adjustRightInd w:val="0"/>
                    <w:snapToGrid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预制菜（海产品、肉类、海藻类）</w:t>
                  </w:r>
                </w:p>
              </w:tc>
              <w:tc>
                <w:tcPr>
                  <w:tcW w:w="1950" w:type="pct"/>
                  <w:tcBorders>
                    <w:tl2br w:val="nil"/>
                    <w:tr2bl w:val="nil"/>
                  </w:tcBorders>
                  <w:vAlign w:val="center"/>
                </w:tcPr>
                <w:p w14:paraId="3C1F103B">
                  <w:pPr>
                    <w:adjustRightInd w:val="0"/>
                    <w:snapToGrid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预制菜（海产品、肉类海藻类）</w:t>
                  </w:r>
                </w:p>
              </w:tc>
              <w:tc>
                <w:tcPr>
                  <w:tcW w:w="467" w:type="pct"/>
                  <w:tcBorders>
                    <w:tl2br w:val="nil"/>
                    <w:tr2bl w:val="nil"/>
                  </w:tcBorders>
                  <w:vAlign w:val="center"/>
                </w:tcPr>
                <w:p w14:paraId="01C853FA">
                  <w:pPr>
                    <w:adjustRightInd w:val="0"/>
                    <w:snapToGrid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类似</w:t>
                  </w:r>
                </w:p>
              </w:tc>
            </w:tr>
            <w:tr w14:paraId="58834A4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46" w:type="pct"/>
                  <w:tcBorders>
                    <w:tl2br w:val="nil"/>
                    <w:tr2bl w:val="nil"/>
                  </w:tcBorders>
                  <w:vAlign w:val="center"/>
                </w:tcPr>
                <w:p w14:paraId="00570023">
                  <w:pPr>
                    <w:adjustRightInd w:val="0"/>
                    <w:snapToGrid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生产工艺</w:t>
                  </w:r>
                </w:p>
              </w:tc>
              <w:tc>
                <w:tcPr>
                  <w:tcW w:w="1936" w:type="pct"/>
                  <w:tcBorders>
                    <w:tl2br w:val="nil"/>
                    <w:tr2bl w:val="nil"/>
                  </w:tcBorders>
                  <w:shd w:val="clear" w:color="auto" w:fill="auto"/>
                  <w:vAlign w:val="center"/>
                </w:tcPr>
                <w:p w14:paraId="65757CAB">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解冻</w:t>
                  </w:r>
                  <w:r>
                    <w:rPr>
                      <w:rFonts w:hint="eastAsia" w:ascii="Times New Roman" w:hAnsi="Times New Roman" w:eastAsia="宋体" w:cs="Times New Roman"/>
                      <w:color w:val="auto"/>
                      <w:sz w:val="21"/>
                      <w:szCs w:val="21"/>
                      <w:lang w:val="en-US" w:eastAsia="zh-CN"/>
                    </w:rPr>
                    <w:t>-切割-漂洗-调味-冷却-脱水-烘干-发运</w:t>
                  </w:r>
                </w:p>
              </w:tc>
              <w:tc>
                <w:tcPr>
                  <w:tcW w:w="1950" w:type="pct"/>
                  <w:tcBorders>
                    <w:tl2br w:val="nil"/>
                    <w:tr2bl w:val="nil"/>
                  </w:tcBorders>
                  <w:shd w:val="clear" w:color="auto" w:fill="auto"/>
                  <w:vAlign w:val="center"/>
                </w:tcPr>
                <w:p w14:paraId="7D45E4D6">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解冻</w:t>
                  </w:r>
                  <w:r>
                    <w:rPr>
                      <w:rFonts w:hint="eastAsia" w:ascii="Times New Roman" w:hAnsi="Times New Roman" w:eastAsia="宋体" w:cs="Times New Roman"/>
                      <w:color w:val="auto"/>
                      <w:sz w:val="21"/>
                      <w:szCs w:val="21"/>
                      <w:lang w:val="en-US" w:eastAsia="zh-CN"/>
                    </w:rPr>
                    <w:t>-切割-漂洗-调味-冷却-脱水-烘干-发运</w:t>
                  </w:r>
                </w:p>
              </w:tc>
              <w:tc>
                <w:tcPr>
                  <w:tcW w:w="467" w:type="pct"/>
                  <w:tcBorders>
                    <w:tl2br w:val="nil"/>
                    <w:tr2bl w:val="nil"/>
                  </w:tcBorders>
                  <w:vAlign w:val="center"/>
                </w:tcPr>
                <w:p w14:paraId="6538FD93">
                  <w:pPr>
                    <w:adjustRightInd w:val="0"/>
                    <w:snapToGrid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类似</w:t>
                  </w:r>
                </w:p>
              </w:tc>
            </w:tr>
            <w:tr w14:paraId="692C410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646" w:type="pct"/>
                  <w:tcBorders>
                    <w:tl2br w:val="nil"/>
                    <w:tr2bl w:val="nil"/>
                  </w:tcBorders>
                  <w:vAlign w:val="center"/>
                </w:tcPr>
                <w:p w14:paraId="22D1F145">
                  <w:pPr>
                    <w:adjustRightInd w:val="0"/>
                    <w:snapToGrid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原辅料</w:t>
                  </w:r>
                </w:p>
              </w:tc>
              <w:tc>
                <w:tcPr>
                  <w:tcW w:w="1936" w:type="pct"/>
                  <w:tcBorders>
                    <w:tl2br w:val="nil"/>
                    <w:tr2bl w:val="nil"/>
                  </w:tcBorders>
                  <w:shd w:val="clear" w:color="auto" w:fill="auto"/>
                  <w:vAlign w:val="center"/>
                </w:tcPr>
                <w:p w14:paraId="56FE63E6">
                  <w:pPr>
                    <w:adjustRightInd w:val="0"/>
                    <w:snapToGrid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冷冻海鲜、冷冻肉类</w:t>
                  </w:r>
                </w:p>
              </w:tc>
              <w:tc>
                <w:tcPr>
                  <w:tcW w:w="1950" w:type="pct"/>
                  <w:tcBorders>
                    <w:tl2br w:val="nil"/>
                    <w:tr2bl w:val="nil"/>
                  </w:tcBorders>
                  <w:shd w:val="clear" w:color="auto" w:fill="auto"/>
                  <w:vAlign w:val="center"/>
                </w:tcPr>
                <w:p w14:paraId="0B429F5D">
                  <w:pPr>
                    <w:adjustRightInd w:val="0"/>
                    <w:snapToGrid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冷冻海鲜、冷冻肉类</w:t>
                  </w:r>
                </w:p>
              </w:tc>
              <w:tc>
                <w:tcPr>
                  <w:tcW w:w="467" w:type="pct"/>
                  <w:tcBorders>
                    <w:tl2br w:val="nil"/>
                    <w:tr2bl w:val="nil"/>
                  </w:tcBorders>
                  <w:vAlign w:val="center"/>
                </w:tcPr>
                <w:p w14:paraId="03C1BF39">
                  <w:pPr>
                    <w:adjustRightInd w:val="0"/>
                    <w:snapToGrid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类似</w:t>
                  </w:r>
                </w:p>
              </w:tc>
            </w:tr>
          </w:tbl>
          <w:p w14:paraId="24FEE991">
            <w:pPr>
              <w:adjustRightInd w:val="0"/>
              <w:snapToGrid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根据上表类比分析可知，本项目与重庆市渝味漂香食品有限公司渝味漂香预制菜及休闲食品加工项目具有相似性，故本项目处理废水水质参照类比项目分析是可行的，产生浓度见下表</w:t>
            </w:r>
          </w:p>
          <w:p w14:paraId="4AE407B3">
            <w:pPr>
              <w:adjustRightInd w:val="0"/>
              <w:snapToGrid w:val="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表4-9比项目污染物浓度</w:t>
            </w:r>
          </w:p>
          <w:tbl>
            <w:tblPr>
              <w:tblStyle w:val="33"/>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51"/>
              <w:gridCol w:w="958"/>
              <w:gridCol w:w="958"/>
              <w:gridCol w:w="958"/>
              <w:gridCol w:w="958"/>
              <w:gridCol w:w="958"/>
              <w:gridCol w:w="959"/>
              <w:gridCol w:w="959"/>
              <w:gridCol w:w="966"/>
            </w:tblGrid>
            <w:tr w14:paraId="1C46CE9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99" w:type="pct"/>
                  <w:vMerge w:val="restart"/>
                  <w:tcBorders>
                    <w:tl2br w:val="nil"/>
                    <w:tr2bl w:val="nil"/>
                  </w:tcBorders>
                  <w:vAlign w:val="center"/>
                </w:tcPr>
                <w:p w14:paraId="16CA580E">
                  <w:pPr>
                    <w:adjustRightInd w:val="0"/>
                    <w:snapToGrid w:val="0"/>
                    <w:jc w:val="center"/>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废水类型</w:t>
                  </w:r>
                </w:p>
              </w:tc>
              <w:tc>
                <w:tcPr>
                  <w:tcW w:w="4500" w:type="pct"/>
                  <w:gridSpan w:val="8"/>
                  <w:tcBorders>
                    <w:tl2br w:val="nil"/>
                    <w:tr2bl w:val="nil"/>
                  </w:tcBorders>
                  <w:vAlign w:val="center"/>
                </w:tcPr>
                <w:p w14:paraId="4E9DD9E9">
                  <w:pPr>
                    <w:adjustRightInd w:val="0"/>
                    <w:snapToGrid w:val="0"/>
                    <w:jc w:val="center"/>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产生浓度（mg/L）</w:t>
                  </w:r>
                </w:p>
              </w:tc>
            </w:tr>
            <w:tr w14:paraId="05C74A0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6" w:hRule="atLeast"/>
              </w:trPr>
              <w:tc>
                <w:tcPr>
                  <w:tcW w:w="499" w:type="pct"/>
                  <w:vMerge w:val="continue"/>
                  <w:tcBorders>
                    <w:tl2br w:val="nil"/>
                    <w:tr2bl w:val="nil"/>
                  </w:tcBorders>
                  <w:vAlign w:val="center"/>
                </w:tcPr>
                <w:p w14:paraId="788AB183">
                  <w:pPr>
                    <w:adjustRightInd w:val="0"/>
                    <w:snapToGrid w:val="0"/>
                    <w:jc w:val="center"/>
                    <w:rPr>
                      <w:rFonts w:hint="eastAsia" w:ascii="Times New Roman" w:hAnsi="Times New Roman" w:eastAsia="宋体" w:cs="Times New Roman"/>
                      <w:b/>
                      <w:bCs/>
                      <w:color w:val="auto"/>
                      <w:sz w:val="21"/>
                      <w:szCs w:val="21"/>
                      <w:lang w:eastAsia="zh-CN"/>
                    </w:rPr>
                  </w:pPr>
                </w:p>
              </w:tc>
              <w:tc>
                <w:tcPr>
                  <w:tcW w:w="562" w:type="pct"/>
                  <w:tcBorders>
                    <w:tl2br w:val="nil"/>
                    <w:tr2bl w:val="nil"/>
                  </w:tcBorders>
                  <w:vAlign w:val="center"/>
                </w:tcPr>
                <w:p w14:paraId="6DAC827A">
                  <w:pPr>
                    <w:adjustRightInd w:val="0"/>
                    <w:snapToGrid w:val="0"/>
                    <w:jc w:val="center"/>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COD</w:t>
                  </w:r>
                </w:p>
              </w:tc>
              <w:tc>
                <w:tcPr>
                  <w:tcW w:w="562" w:type="pct"/>
                  <w:tcBorders>
                    <w:tl2br w:val="nil"/>
                    <w:tr2bl w:val="nil"/>
                  </w:tcBorders>
                  <w:vAlign w:val="center"/>
                </w:tcPr>
                <w:p w14:paraId="2361839A">
                  <w:pPr>
                    <w:adjustRightInd w:val="0"/>
                    <w:snapToGrid w:val="0"/>
                    <w:jc w:val="center"/>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SS</w:t>
                  </w:r>
                </w:p>
              </w:tc>
              <w:tc>
                <w:tcPr>
                  <w:tcW w:w="562" w:type="pct"/>
                  <w:tcBorders>
                    <w:tl2br w:val="nil"/>
                    <w:tr2bl w:val="nil"/>
                  </w:tcBorders>
                  <w:vAlign w:val="center"/>
                </w:tcPr>
                <w:p w14:paraId="0B6427A2">
                  <w:pPr>
                    <w:adjustRightInd w:val="0"/>
                    <w:snapToGrid w:val="0"/>
                    <w:jc w:val="center"/>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BOD</w:t>
                  </w:r>
                  <w:r>
                    <w:rPr>
                      <w:rFonts w:hint="eastAsia" w:ascii="Times New Roman" w:hAnsi="Times New Roman" w:eastAsia="宋体" w:cs="Times New Roman"/>
                      <w:b/>
                      <w:bCs/>
                      <w:color w:val="auto"/>
                      <w:sz w:val="21"/>
                      <w:szCs w:val="21"/>
                      <w:vertAlign w:val="subscript"/>
                      <w:lang w:eastAsia="zh-CN"/>
                    </w:rPr>
                    <w:t>5</w:t>
                  </w:r>
                </w:p>
              </w:tc>
              <w:tc>
                <w:tcPr>
                  <w:tcW w:w="562" w:type="pct"/>
                  <w:tcBorders>
                    <w:tl2br w:val="nil"/>
                    <w:tr2bl w:val="nil"/>
                  </w:tcBorders>
                  <w:shd w:val="clear" w:color="auto" w:fill="auto"/>
                  <w:vAlign w:val="center"/>
                </w:tcPr>
                <w:p w14:paraId="2B728BD1">
                  <w:pPr>
                    <w:adjustRightInd w:val="0"/>
                    <w:snapToGrid w:val="0"/>
                    <w:jc w:val="center"/>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NH</w:t>
                  </w:r>
                  <w:r>
                    <w:rPr>
                      <w:rFonts w:hint="eastAsia" w:ascii="Times New Roman" w:hAnsi="Times New Roman" w:eastAsia="宋体" w:cs="Times New Roman"/>
                      <w:b/>
                      <w:bCs/>
                      <w:color w:val="auto"/>
                      <w:sz w:val="21"/>
                      <w:szCs w:val="21"/>
                      <w:vertAlign w:val="subscript"/>
                      <w:lang w:eastAsia="zh-CN"/>
                    </w:rPr>
                    <w:t>3</w:t>
                  </w:r>
                  <w:r>
                    <w:rPr>
                      <w:rFonts w:hint="eastAsia" w:ascii="Times New Roman" w:hAnsi="Times New Roman" w:eastAsia="宋体" w:cs="Times New Roman"/>
                      <w:b/>
                      <w:bCs/>
                      <w:color w:val="auto"/>
                      <w:sz w:val="21"/>
                      <w:szCs w:val="21"/>
                      <w:lang w:eastAsia="zh-CN"/>
                    </w:rPr>
                    <w:t>-N</w:t>
                  </w:r>
                </w:p>
              </w:tc>
              <w:tc>
                <w:tcPr>
                  <w:tcW w:w="562" w:type="pct"/>
                  <w:tcBorders>
                    <w:tl2br w:val="nil"/>
                    <w:tr2bl w:val="nil"/>
                  </w:tcBorders>
                  <w:shd w:val="clear" w:color="auto" w:fill="auto"/>
                  <w:vAlign w:val="center"/>
                </w:tcPr>
                <w:p w14:paraId="40F26987">
                  <w:pPr>
                    <w:adjustRightInd w:val="0"/>
                    <w:snapToGrid w:val="0"/>
                    <w:jc w:val="center"/>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TP</w:t>
                  </w:r>
                </w:p>
              </w:tc>
              <w:tc>
                <w:tcPr>
                  <w:tcW w:w="562" w:type="pct"/>
                  <w:tcBorders>
                    <w:tl2br w:val="nil"/>
                    <w:tr2bl w:val="nil"/>
                  </w:tcBorders>
                  <w:shd w:val="clear" w:color="auto" w:fill="auto"/>
                  <w:vAlign w:val="center"/>
                </w:tcPr>
                <w:p w14:paraId="3D127524">
                  <w:pPr>
                    <w:adjustRightInd w:val="0"/>
                    <w:snapToGrid w:val="0"/>
                    <w:jc w:val="center"/>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TN</w:t>
                  </w:r>
                </w:p>
              </w:tc>
              <w:tc>
                <w:tcPr>
                  <w:tcW w:w="562" w:type="pct"/>
                  <w:tcBorders>
                    <w:tl2br w:val="nil"/>
                    <w:tr2bl w:val="nil"/>
                  </w:tcBorders>
                  <w:shd w:val="clear" w:color="auto" w:fill="auto"/>
                  <w:vAlign w:val="center"/>
                </w:tcPr>
                <w:p w14:paraId="14201924">
                  <w:pPr>
                    <w:adjustRightInd w:val="0"/>
                    <w:snapToGrid w:val="0"/>
                    <w:jc w:val="center"/>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动植物油</w:t>
                  </w:r>
                </w:p>
              </w:tc>
              <w:tc>
                <w:tcPr>
                  <w:tcW w:w="564" w:type="pct"/>
                  <w:tcBorders>
                    <w:tl2br w:val="nil"/>
                    <w:tr2bl w:val="nil"/>
                  </w:tcBorders>
                  <w:shd w:val="clear" w:color="auto" w:fill="auto"/>
                  <w:vAlign w:val="center"/>
                </w:tcPr>
                <w:p w14:paraId="5EAF2137">
                  <w:pPr>
                    <w:adjustRightInd w:val="0"/>
                    <w:snapToGrid w:val="0"/>
                    <w:jc w:val="center"/>
                    <w:rPr>
                      <w:rFonts w:hint="eastAsia" w:ascii="Times New Roman" w:hAnsi="Times New Roman" w:eastAsia="宋体" w:cs="Times New Roman"/>
                      <w:b/>
                      <w:bCs/>
                      <w:color w:val="auto"/>
                      <w:sz w:val="21"/>
                      <w:szCs w:val="21"/>
                      <w:lang w:eastAsia="zh-CN"/>
                    </w:rPr>
                  </w:pPr>
                  <w:r>
                    <w:rPr>
                      <w:rFonts w:hint="eastAsia" w:cs="Times New Roman"/>
                      <w:b/>
                      <w:bCs/>
                      <w:color w:val="auto"/>
                      <w:sz w:val="21"/>
                      <w:szCs w:val="21"/>
                      <w:lang w:eastAsia="zh-CN"/>
                    </w:rPr>
                    <w:t>全盐量</w:t>
                  </w:r>
                </w:p>
              </w:tc>
            </w:tr>
            <w:tr w14:paraId="4BDB552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99" w:type="pct"/>
                  <w:tcBorders>
                    <w:tl2br w:val="nil"/>
                    <w:tr2bl w:val="nil"/>
                  </w:tcBorders>
                  <w:vAlign w:val="center"/>
                </w:tcPr>
                <w:p w14:paraId="0292312D">
                  <w:pPr>
                    <w:adjustRightInd w:val="0"/>
                    <w:snapToGrid w:val="0"/>
                    <w:jc w:val="center"/>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清洗</w:t>
                  </w:r>
                </w:p>
                <w:p w14:paraId="6A01FD2B">
                  <w:pPr>
                    <w:adjustRightInd w:val="0"/>
                    <w:snapToGrid w:val="0"/>
                    <w:jc w:val="center"/>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废水</w:t>
                  </w:r>
                </w:p>
              </w:tc>
              <w:tc>
                <w:tcPr>
                  <w:tcW w:w="562" w:type="pct"/>
                  <w:tcBorders>
                    <w:tl2br w:val="nil"/>
                    <w:tr2bl w:val="nil"/>
                  </w:tcBorders>
                  <w:vAlign w:val="center"/>
                </w:tcPr>
                <w:p w14:paraId="587E208B">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868</w:t>
                  </w:r>
                </w:p>
              </w:tc>
              <w:tc>
                <w:tcPr>
                  <w:tcW w:w="562" w:type="pct"/>
                  <w:tcBorders>
                    <w:tl2br w:val="nil"/>
                    <w:tr2bl w:val="nil"/>
                  </w:tcBorders>
                  <w:vAlign w:val="center"/>
                </w:tcPr>
                <w:p w14:paraId="54F63080">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164</w:t>
                  </w:r>
                </w:p>
              </w:tc>
              <w:tc>
                <w:tcPr>
                  <w:tcW w:w="562" w:type="pct"/>
                  <w:tcBorders>
                    <w:tl2br w:val="nil"/>
                    <w:tr2bl w:val="nil"/>
                  </w:tcBorders>
                  <w:vAlign w:val="center"/>
                </w:tcPr>
                <w:p w14:paraId="4B4CE3A4">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391</w:t>
                  </w:r>
                </w:p>
              </w:tc>
              <w:tc>
                <w:tcPr>
                  <w:tcW w:w="562" w:type="pct"/>
                  <w:tcBorders>
                    <w:tl2br w:val="nil"/>
                    <w:tr2bl w:val="nil"/>
                  </w:tcBorders>
                  <w:vAlign w:val="center"/>
                </w:tcPr>
                <w:p w14:paraId="6E72F380">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w:t>
                  </w:r>
                  <w:r>
                    <w:rPr>
                      <w:rFonts w:hint="eastAsia" w:ascii="Times New Roman" w:hAnsi="Times New Roman" w:eastAsia="宋体" w:cs="Times New Roman"/>
                      <w:color w:val="auto"/>
                      <w:sz w:val="21"/>
                      <w:szCs w:val="21"/>
                      <w:lang w:val="en-US" w:eastAsia="zh-CN"/>
                    </w:rPr>
                    <w:t>2.2</w:t>
                  </w:r>
                </w:p>
              </w:tc>
              <w:tc>
                <w:tcPr>
                  <w:tcW w:w="562" w:type="pct"/>
                  <w:tcBorders>
                    <w:tl2br w:val="nil"/>
                    <w:tr2bl w:val="nil"/>
                  </w:tcBorders>
                  <w:vAlign w:val="center"/>
                </w:tcPr>
                <w:p w14:paraId="1491257B">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14.3</w:t>
                  </w:r>
                </w:p>
              </w:tc>
              <w:tc>
                <w:tcPr>
                  <w:tcW w:w="562" w:type="pct"/>
                  <w:tcBorders>
                    <w:tl2br w:val="nil"/>
                    <w:tr2bl w:val="nil"/>
                  </w:tcBorders>
                  <w:vAlign w:val="center"/>
                </w:tcPr>
                <w:p w14:paraId="6E1D9964">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108.4</w:t>
                  </w:r>
                </w:p>
              </w:tc>
              <w:tc>
                <w:tcPr>
                  <w:tcW w:w="562" w:type="pct"/>
                  <w:tcBorders>
                    <w:tl2br w:val="nil"/>
                    <w:tr2bl w:val="nil"/>
                  </w:tcBorders>
                  <w:vAlign w:val="center"/>
                </w:tcPr>
                <w:p w14:paraId="56A4DDA9">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5.79</w:t>
                  </w:r>
                </w:p>
              </w:tc>
              <w:tc>
                <w:tcPr>
                  <w:tcW w:w="564" w:type="pct"/>
                  <w:tcBorders>
                    <w:tl2br w:val="nil"/>
                    <w:tr2bl w:val="nil"/>
                  </w:tcBorders>
                  <w:vAlign w:val="center"/>
                </w:tcPr>
                <w:p w14:paraId="61899125">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40</w:t>
                  </w:r>
                </w:p>
              </w:tc>
            </w:tr>
          </w:tbl>
          <w:p w14:paraId="047DD9F4">
            <w:pPr>
              <w:spacing w:line="360" w:lineRule="auto"/>
              <w:ind w:firstLine="480" w:firstLineChars="200"/>
              <w:rPr>
                <w:rFonts w:hint="eastAsia"/>
                <w:color w:val="auto"/>
                <w:sz w:val="24"/>
                <w:lang w:eastAsia="zh-CN"/>
              </w:rPr>
            </w:pPr>
            <w:r>
              <w:rPr>
                <w:rFonts w:hint="eastAsia"/>
                <w:color w:val="auto"/>
                <w:sz w:val="24"/>
                <w:szCs w:val="24"/>
                <w:lang w:val="en-US" w:eastAsia="zh-CN"/>
              </w:rPr>
              <w:t>B.冲洗废水：</w:t>
            </w:r>
            <w:r>
              <w:rPr>
                <w:color w:val="auto"/>
                <w:sz w:val="24"/>
              </w:rPr>
              <w:t>设备清洗废水</w:t>
            </w:r>
            <w:r>
              <w:rPr>
                <w:rFonts w:hint="eastAsia"/>
                <w:color w:val="auto"/>
                <w:sz w:val="24"/>
              </w:rPr>
              <w:t>经隔油池处理后排入厂内污水处理站；</w:t>
            </w:r>
            <w:r>
              <w:rPr>
                <w:color w:val="auto"/>
                <w:sz w:val="24"/>
              </w:rPr>
              <w:t>地面清洁废水</w:t>
            </w:r>
            <w:r>
              <w:rPr>
                <w:rFonts w:hint="eastAsia"/>
                <w:color w:val="auto"/>
                <w:sz w:val="24"/>
              </w:rPr>
              <w:t>排入厂区污水处理站，</w:t>
            </w:r>
            <w:r>
              <w:rPr>
                <w:color w:val="auto"/>
                <w:sz w:val="24"/>
              </w:rPr>
              <w:t>经污水处理站处置达标后接管至涟水经济开发区西区污水处理厂集中处置，尾水排放至公兴河。</w:t>
            </w:r>
            <w:r>
              <w:rPr>
                <w:rFonts w:hint="eastAsia"/>
                <w:color w:val="auto"/>
                <w:sz w:val="24"/>
                <w:lang w:eastAsia="zh-CN"/>
              </w:rPr>
              <w:t>根据现有项目</w:t>
            </w:r>
            <w:r>
              <w:rPr>
                <w:rFonts w:hint="eastAsia"/>
                <w:color w:val="auto"/>
                <w:sz w:val="24"/>
              </w:rPr>
              <w:t>年产1.5万吨预制凉菜智能制造（加工）项目</w:t>
            </w:r>
            <w:r>
              <w:rPr>
                <w:rFonts w:hint="eastAsia"/>
                <w:color w:val="auto"/>
                <w:sz w:val="24"/>
                <w:lang w:eastAsia="zh-CN"/>
              </w:rPr>
              <w:t>中设备清洗和地面清洁核算，本次扩建项目浓度类比参照现有项目浓度。</w:t>
            </w:r>
          </w:p>
          <w:p w14:paraId="71A13C02">
            <w:pPr>
              <w:jc w:val="center"/>
              <w:rPr>
                <w:rFonts w:hint="default"/>
                <w:b/>
                <w:color w:val="auto"/>
                <w:sz w:val="24"/>
                <w:lang w:val="en-US" w:eastAsia="zh-CN"/>
              </w:rPr>
            </w:pPr>
          </w:p>
          <w:p w14:paraId="0D1599C9">
            <w:pPr>
              <w:jc w:val="center"/>
              <w:rPr>
                <w:rFonts w:hint="eastAsia"/>
                <w:b/>
                <w:color w:val="auto"/>
                <w:sz w:val="24"/>
                <w:lang w:val="en-US" w:eastAsia="zh-CN"/>
              </w:rPr>
            </w:pPr>
          </w:p>
          <w:p w14:paraId="6F98ED8F">
            <w:pPr>
              <w:jc w:val="center"/>
              <w:rPr>
                <w:rFonts w:hint="eastAsia"/>
                <w:b/>
                <w:color w:val="auto"/>
                <w:sz w:val="24"/>
                <w:lang w:val="en-US" w:eastAsia="zh-CN"/>
              </w:rPr>
            </w:pPr>
          </w:p>
          <w:p w14:paraId="383601BC">
            <w:pPr>
              <w:jc w:val="center"/>
              <w:rPr>
                <w:b/>
                <w:color w:val="auto"/>
                <w:sz w:val="24"/>
              </w:rPr>
            </w:pPr>
          </w:p>
          <w:p w14:paraId="0C7E9BCD">
            <w:pPr>
              <w:jc w:val="center"/>
              <w:rPr>
                <w:b/>
                <w:color w:val="auto"/>
                <w:sz w:val="24"/>
              </w:rPr>
            </w:pPr>
            <w:r>
              <w:rPr>
                <w:b/>
                <w:color w:val="auto"/>
                <w:sz w:val="24"/>
              </w:rPr>
              <w:t>表4-</w:t>
            </w:r>
            <w:r>
              <w:rPr>
                <w:rFonts w:hint="eastAsia"/>
                <w:b/>
                <w:color w:val="auto"/>
                <w:sz w:val="24"/>
                <w:lang w:val="en-US" w:eastAsia="zh-CN"/>
              </w:rPr>
              <w:t>10</w:t>
            </w:r>
            <w:r>
              <w:rPr>
                <w:b/>
                <w:color w:val="auto"/>
                <w:sz w:val="24"/>
              </w:rPr>
              <w:t xml:space="preserve"> </w:t>
            </w:r>
            <w:r>
              <w:rPr>
                <w:rFonts w:hint="eastAsia"/>
                <w:b/>
                <w:color w:val="auto"/>
                <w:sz w:val="24"/>
              </w:rPr>
              <w:t>冲洗</w:t>
            </w:r>
            <w:r>
              <w:rPr>
                <w:b/>
                <w:color w:val="auto"/>
                <w:sz w:val="24"/>
              </w:rPr>
              <w:t>废水污染源源强产生情况一览表</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89"/>
              <w:gridCol w:w="971"/>
              <w:gridCol w:w="1036"/>
              <w:gridCol w:w="1162"/>
              <w:gridCol w:w="1215"/>
              <w:gridCol w:w="1422"/>
              <w:gridCol w:w="1533"/>
            </w:tblGrid>
            <w:tr w14:paraId="1D7C0B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697" w:type="pct"/>
                  <w:tcBorders>
                    <w:bottom w:val="single" w:color="auto" w:sz="12" w:space="0"/>
                  </w:tcBorders>
                  <w:shd w:val="clear" w:color="auto" w:fill="auto"/>
                  <w:vAlign w:val="center"/>
                </w:tcPr>
                <w:p w14:paraId="78D9643C">
                  <w:pPr>
                    <w:jc w:val="center"/>
                    <w:rPr>
                      <w:b/>
                      <w:color w:val="auto"/>
                      <w:szCs w:val="21"/>
                    </w:rPr>
                  </w:pPr>
                  <w:r>
                    <w:rPr>
                      <w:b/>
                      <w:color w:val="auto"/>
                      <w:szCs w:val="21"/>
                    </w:rPr>
                    <w:t>工序</w:t>
                  </w:r>
                </w:p>
              </w:tc>
              <w:tc>
                <w:tcPr>
                  <w:tcW w:w="569" w:type="pct"/>
                  <w:tcBorders>
                    <w:bottom w:val="single" w:color="auto" w:sz="12" w:space="0"/>
                  </w:tcBorders>
                  <w:shd w:val="clear" w:color="auto" w:fill="auto"/>
                  <w:vAlign w:val="center"/>
                </w:tcPr>
                <w:p w14:paraId="76755CF8">
                  <w:pPr>
                    <w:jc w:val="center"/>
                    <w:rPr>
                      <w:b/>
                      <w:color w:val="auto"/>
                      <w:szCs w:val="21"/>
                    </w:rPr>
                  </w:pPr>
                  <w:r>
                    <w:rPr>
                      <w:b/>
                      <w:color w:val="auto"/>
                      <w:szCs w:val="21"/>
                    </w:rPr>
                    <w:t>污染源</w:t>
                  </w:r>
                </w:p>
              </w:tc>
              <w:tc>
                <w:tcPr>
                  <w:tcW w:w="607" w:type="pct"/>
                  <w:tcBorders>
                    <w:bottom w:val="single" w:color="auto" w:sz="12" w:space="0"/>
                  </w:tcBorders>
                  <w:shd w:val="clear" w:color="auto" w:fill="auto"/>
                  <w:vAlign w:val="center"/>
                </w:tcPr>
                <w:p w14:paraId="4F6A1182">
                  <w:pPr>
                    <w:jc w:val="center"/>
                    <w:rPr>
                      <w:b/>
                      <w:color w:val="auto"/>
                      <w:szCs w:val="21"/>
                    </w:rPr>
                  </w:pPr>
                  <w:r>
                    <w:rPr>
                      <w:b/>
                      <w:color w:val="auto"/>
                      <w:szCs w:val="21"/>
                    </w:rPr>
                    <w:t>废水产生量</w:t>
                  </w:r>
                  <w:r>
                    <w:rPr>
                      <w:b/>
                      <w:bCs/>
                      <w:color w:val="auto"/>
                      <w:szCs w:val="21"/>
                    </w:rPr>
                    <w:t>（t/a）</w:t>
                  </w:r>
                </w:p>
              </w:tc>
              <w:tc>
                <w:tcPr>
                  <w:tcW w:w="681" w:type="pct"/>
                  <w:tcBorders>
                    <w:bottom w:val="single" w:color="auto" w:sz="12" w:space="0"/>
                  </w:tcBorders>
                  <w:shd w:val="clear" w:color="auto" w:fill="auto"/>
                  <w:vAlign w:val="center"/>
                </w:tcPr>
                <w:p w14:paraId="3A21650D">
                  <w:pPr>
                    <w:jc w:val="center"/>
                    <w:rPr>
                      <w:b/>
                      <w:color w:val="auto"/>
                      <w:szCs w:val="21"/>
                    </w:rPr>
                  </w:pPr>
                  <w:r>
                    <w:rPr>
                      <w:b/>
                      <w:color w:val="auto"/>
                      <w:szCs w:val="21"/>
                    </w:rPr>
                    <w:t>污染物名称</w:t>
                  </w:r>
                </w:p>
              </w:tc>
              <w:tc>
                <w:tcPr>
                  <w:tcW w:w="712" w:type="pct"/>
                  <w:tcBorders>
                    <w:bottom w:val="single" w:color="auto" w:sz="12" w:space="0"/>
                  </w:tcBorders>
                  <w:shd w:val="clear" w:color="auto" w:fill="auto"/>
                  <w:vAlign w:val="center"/>
                </w:tcPr>
                <w:p w14:paraId="6C134136">
                  <w:pPr>
                    <w:jc w:val="center"/>
                    <w:rPr>
                      <w:b/>
                      <w:color w:val="auto"/>
                      <w:szCs w:val="21"/>
                    </w:rPr>
                  </w:pPr>
                  <w:r>
                    <w:rPr>
                      <w:b/>
                      <w:color w:val="auto"/>
                      <w:szCs w:val="21"/>
                    </w:rPr>
                    <w:t>浓度</w:t>
                  </w:r>
                </w:p>
                <w:p w14:paraId="5B5E6BBA">
                  <w:pPr>
                    <w:jc w:val="center"/>
                    <w:rPr>
                      <w:b/>
                      <w:color w:val="auto"/>
                      <w:szCs w:val="21"/>
                    </w:rPr>
                  </w:pPr>
                  <w:r>
                    <w:rPr>
                      <w:b/>
                      <w:bCs/>
                      <w:color w:val="auto"/>
                      <w:szCs w:val="21"/>
                    </w:rPr>
                    <w:t>（mg/L）</w:t>
                  </w:r>
                </w:p>
              </w:tc>
              <w:tc>
                <w:tcPr>
                  <w:tcW w:w="833" w:type="pct"/>
                  <w:tcBorders>
                    <w:bottom w:val="single" w:color="auto" w:sz="12" w:space="0"/>
                  </w:tcBorders>
                  <w:shd w:val="clear" w:color="auto" w:fill="auto"/>
                  <w:vAlign w:val="center"/>
                </w:tcPr>
                <w:p w14:paraId="2EB7234D">
                  <w:pPr>
                    <w:jc w:val="center"/>
                    <w:rPr>
                      <w:b/>
                      <w:color w:val="auto"/>
                      <w:szCs w:val="21"/>
                    </w:rPr>
                  </w:pPr>
                  <w:r>
                    <w:rPr>
                      <w:b/>
                      <w:color w:val="auto"/>
                      <w:szCs w:val="21"/>
                    </w:rPr>
                    <w:t>产生量（</w:t>
                  </w:r>
                  <w:r>
                    <w:rPr>
                      <w:b/>
                      <w:bCs/>
                      <w:color w:val="auto"/>
                      <w:szCs w:val="21"/>
                    </w:rPr>
                    <w:t>t/a</w:t>
                  </w:r>
                  <w:r>
                    <w:rPr>
                      <w:b/>
                      <w:color w:val="auto"/>
                      <w:szCs w:val="21"/>
                    </w:rPr>
                    <w:t>）</w:t>
                  </w:r>
                </w:p>
              </w:tc>
              <w:tc>
                <w:tcPr>
                  <w:tcW w:w="898" w:type="pct"/>
                  <w:tcBorders>
                    <w:bottom w:val="single" w:color="auto" w:sz="12" w:space="0"/>
                  </w:tcBorders>
                  <w:vAlign w:val="center"/>
                </w:tcPr>
                <w:p w14:paraId="64B3BDEA">
                  <w:pPr>
                    <w:jc w:val="center"/>
                    <w:rPr>
                      <w:b/>
                      <w:color w:val="auto"/>
                      <w:szCs w:val="21"/>
                    </w:rPr>
                  </w:pPr>
                  <w:r>
                    <w:rPr>
                      <w:b/>
                      <w:color w:val="auto"/>
                      <w:szCs w:val="21"/>
                    </w:rPr>
                    <w:t>去向</w:t>
                  </w:r>
                </w:p>
              </w:tc>
            </w:tr>
            <w:tr w14:paraId="063B67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7" w:type="pct"/>
                  <w:vMerge w:val="restart"/>
                  <w:tcBorders>
                    <w:top w:val="single" w:color="auto" w:sz="12" w:space="0"/>
                  </w:tcBorders>
                  <w:shd w:val="clear" w:color="auto" w:fill="auto"/>
                  <w:vAlign w:val="center"/>
                </w:tcPr>
                <w:p w14:paraId="7A58D57D">
                  <w:pPr>
                    <w:jc w:val="center"/>
                    <w:rPr>
                      <w:color w:val="auto"/>
                      <w:szCs w:val="21"/>
                    </w:rPr>
                  </w:pPr>
                  <w:r>
                    <w:rPr>
                      <w:color w:val="auto"/>
                      <w:szCs w:val="21"/>
                    </w:rPr>
                    <w:t>设备清洗</w:t>
                  </w:r>
                </w:p>
              </w:tc>
              <w:tc>
                <w:tcPr>
                  <w:tcW w:w="569" w:type="pct"/>
                  <w:vMerge w:val="restart"/>
                  <w:tcBorders>
                    <w:top w:val="single" w:color="auto" w:sz="12" w:space="0"/>
                  </w:tcBorders>
                  <w:shd w:val="clear" w:color="auto" w:fill="auto"/>
                  <w:vAlign w:val="center"/>
                </w:tcPr>
                <w:p w14:paraId="3CBD443C">
                  <w:pPr>
                    <w:jc w:val="center"/>
                    <w:rPr>
                      <w:color w:val="auto"/>
                      <w:szCs w:val="21"/>
                    </w:rPr>
                  </w:pPr>
                  <w:r>
                    <w:rPr>
                      <w:color w:val="auto"/>
                      <w:szCs w:val="21"/>
                    </w:rPr>
                    <w:t>设备清洗废水</w:t>
                  </w:r>
                </w:p>
              </w:tc>
              <w:tc>
                <w:tcPr>
                  <w:tcW w:w="607" w:type="pct"/>
                  <w:vMerge w:val="restart"/>
                  <w:tcBorders>
                    <w:top w:val="single" w:color="auto" w:sz="12" w:space="0"/>
                  </w:tcBorders>
                  <w:shd w:val="clear" w:color="auto" w:fill="auto"/>
                  <w:vAlign w:val="center"/>
                </w:tcPr>
                <w:p w14:paraId="64D863DA">
                  <w:pPr>
                    <w:jc w:val="center"/>
                    <w:rPr>
                      <w:color w:val="auto"/>
                      <w:szCs w:val="21"/>
                    </w:rPr>
                  </w:pPr>
                  <w:r>
                    <w:rPr>
                      <w:rFonts w:hint="eastAsia"/>
                      <w:color w:val="auto"/>
                      <w:szCs w:val="21"/>
                    </w:rPr>
                    <w:t>5</w:t>
                  </w:r>
                  <w:r>
                    <w:rPr>
                      <w:color w:val="auto"/>
                      <w:szCs w:val="21"/>
                    </w:rPr>
                    <w:t>100</w:t>
                  </w:r>
                </w:p>
              </w:tc>
              <w:tc>
                <w:tcPr>
                  <w:tcW w:w="681" w:type="pct"/>
                  <w:tcBorders>
                    <w:top w:val="single" w:color="auto" w:sz="12" w:space="0"/>
                  </w:tcBorders>
                  <w:shd w:val="clear" w:color="auto" w:fill="auto"/>
                  <w:vAlign w:val="center"/>
                </w:tcPr>
                <w:p w14:paraId="3D087A04">
                  <w:pPr>
                    <w:jc w:val="center"/>
                    <w:rPr>
                      <w:color w:val="auto"/>
                      <w:szCs w:val="21"/>
                    </w:rPr>
                  </w:pPr>
                  <w:r>
                    <w:rPr>
                      <w:color w:val="auto"/>
                      <w:szCs w:val="21"/>
                    </w:rPr>
                    <w:t>COD</w:t>
                  </w:r>
                </w:p>
              </w:tc>
              <w:tc>
                <w:tcPr>
                  <w:tcW w:w="712" w:type="pct"/>
                  <w:tcBorders>
                    <w:top w:val="single" w:color="auto" w:sz="12" w:space="0"/>
                  </w:tcBorders>
                  <w:shd w:val="clear" w:color="auto" w:fill="auto"/>
                  <w:vAlign w:val="center"/>
                </w:tcPr>
                <w:p w14:paraId="529BC3AD">
                  <w:pPr>
                    <w:jc w:val="center"/>
                    <w:rPr>
                      <w:color w:val="auto"/>
                      <w:szCs w:val="21"/>
                    </w:rPr>
                  </w:pPr>
                  <w:r>
                    <w:rPr>
                      <w:color w:val="auto"/>
                      <w:szCs w:val="21"/>
                    </w:rPr>
                    <w:t>600</w:t>
                  </w:r>
                </w:p>
              </w:tc>
              <w:tc>
                <w:tcPr>
                  <w:tcW w:w="833" w:type="pct"/>
                  <w:tcBorders>
                    <w:top w:val="single" w:color="auto" w:sz="12" w:space="0"/>
                  </w:tcBorders>
                  <w:shd w:val="clear" w:color="auto" w:fill="auto"/>
                  <w:vAlign w:val="center"/>
                </w:tcPr>
                <w:p w14:paraId="5F9A0897">
                  <w:pPr>
                    <w:widowControl/>
                    <w:jc w:val="center"/>
                    <w:rPr>
                      <w:rFonts w:eastAsia="等线"/>
                      <w:color w:val="auto"/>
                      <w:szCs w:val="21"/>
                    </w:rPr>
                  </w:pPr>
                  <w:r>
                    <w:rPr>
                      <w:rFonts w:eastAsia="等线"/>
                      <w:color w:val="auto"/>
                      <w:szCs w:val="21"/>
                    </w:rPr>
                    <w:t>3.06</w:t>
                  </w:r>
                </w:p>
              </w:tc>
              <w:tc>
                <w:tcPr>
                  <w:tcW w:w="898" w:type="pct"/>
                  <w:vMerge w:val="restart"/>
                  <w:tcBorders>
                    <w:top w:val="single" w:color="auto" w:sz="12" w:space="0"/>
                  </w:tcBorders>
                  <w:vAlign w:val="center"/>
                </w:tcPr>
                <w:p w14:paraId="27A968D4">
                  <w:pPr>
                    <w:jc w:val="center"/>
                    <w:rPr>
                      <w:color w:val="auto"/>
                      <w:szCs w:val="21"/>
                    </w:rPr>
                  </w:pPr>
                  <w:r>
                    <w:rPr>
                      <w:color w:val="auto"/>
                      <w:szCs w:val="21"/>
                    </w:rPr>
                    <w:t>排入厂区污水处理站处置</w:t>
                  </w:r>
                </w:p>
              </w:tc>
            </w:tr>
            <w:tr w14:paraId="129B8D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7" w:type="pct"/>
                  <w:vMerge w:val="continue"/>
                  <w:shd w:val="clear" w:color="auto" w:fill="auto"/>
                  <w:vAlign w:val="center"/>
                </w:tcPr>
                <w:p w14:paraId="060A8BB6">
                  <w:pPr>
                    <w:jc w:val="center"/>
                    <w:rPr>
                      <w:color w:val="auto"/>
                      <w:szCs w:val="21"/>
                    </w:rPr>
                  </w:pPr>
                </w:p>
              </w:tc>
              <w:tc>
                <w:tcPr>
                  <w:tcW w:w="569" w:type="pct"/>
                  <w:vMerge w:val="continue"/>
                  <w:shd w:val="clear" w:color="auto" w:fill="auto"/>
                  <w:vAlign w:val="center"/>
                </w:tcPr>
                <w:p w14:paraId="16990B8D">
                  <w:pPr>
                    <w:jc w:val="center"/>
                    <w:rPr>
                      <w:color w:val="auto"/>
                      <w:szCs w:val="21"/>
                    </w:rPr>
                  </w:pPr>
                </w:p>
              </w:tc>
              <w:tc>
                <w:tcPr>
                  <w:tcW w:w="607" w:type="pct"/>
                  <w:vMerge w:val="continue"/>
                  <w:shd w:val="clear" w:color="auto" w:fill="auto"/>
                  <w:vAlign w:val="center"/>
                </w:tcPr>
                <w:p w14:paraId="596A80F5">
                  <w:pPr>
                    <w:jc w:val="center"/>
                    <w:rPr>
                      <w:color w:val="auto"/>
                      <w:szCs w:val="21"/>
                    </w:rPr>
                  </w:pPr>
                </w:p>
              </w:tc>
              <w:tc>
                <w:tcPr>
                  <w:tcW w:w="681" w:type="pct"/>
                  <w:shd w:val="clear" w:color="auto" w:fill="auto"/>
                  <w:vAlign w:val="center"/>
                </w:tcPr>
                <w:p w14:paraId="38288B74">
                  <w:pPr>
                    <w:jc w:val="center"/>
                    <w:rPr>
                      <w:color w:val="auto"/>
                      <w:szCs w:val="21"/>
                    </w:rPr>
                  </w:pPr>
                  <w:r>
                    <w:rPr>
                      <w:rFonts w:hint="eastAsia"/>
                      <w:color w:val="auto"/>
                      <w:szCs w:val="21"/>
                    </w:rPr>
                    <w:t>B</w:t>
                  </w:r>
                  <w:r>
                    <w:rPr>
                      <w:color w:val="auto"/>
                      <w:szCs w:val="21"/>
                    </w:rPr>
                    <w:t>OD</w:t>
                  </w:r>
                  <w:r>
                    <w:rPr>
                      <w:color w:val="auto"/>
                      <w:szCs w:val="21"/>
                      <w:vertAlign w:val="subscript"/>
                    </w:rPr>
                    <w:t>5</w:t>
                  </w:r>
                </w:p>
              </w:tc>
              <w:tc>
                <w:tcPr>
                  <w:tcW w:w="712" w:type="pct"/>
                  <w:shd w:val="clear" w:color="auto" w:fill="auto"/>
                  <w:vAlign w:val="center"/>
                </w:tcPr>
                <w:p w14:paraId="0F633798">
                  <w:pPr>
                    <w:jc w:val="center"/>
                    <w:rPr>
                      <w:color w:val="auto"/>
                      <w:szCs w:val="21"/>
                    </w:rPr>
                  </w:pPr>
                  <w:r>
                    <w:rPr>
                      <w:rFonts w:hint="eastAsia"/>
                      <w:color w:val="auto"/>
                      <w:szCs w:val="21"/>
                    </w:rPr>
                    <w:t>3</w:t>
                  </w:r>
                  <w:r>
                    <w:rPr>
                      <w:color w:val="auto"/>
                      <w:szCs w:val="21"/>
                    </w:rPr>
                    <w:t>00</w:t>
                  </w:r>
                </w:p>
              </w:tc>
              <w:tc>
                <w:tcPr>
                  <w:tcW w:w="833" w:type="pct"/>
                  <w:shd w:val="clear" w:color="auto" w:fill="auto"/>
                  <w:vAlign w:val="center"/>
                </w:tcPr>
                <w:p w14:paraId="36E2BAE9">
                  <w:pPr>
                    <w:jc w:val="center"/>
                    <w:rPr>
                      <w:rFonts w:eastAsia="等线"/>
                      <w:color w:val="auto"/>
                      <w:szCs w:val="21"/>
                    </w:rPr>
                  </w:pPr>
                  <w:r>
                    <w:rPr>
                      <w:rFonts w:hint="eastAsia" w:eastAsia="等线"/>
                      <w:color w:val="auto"/>
                      <w:szCs w:val="21"/>
                    </w:rPr>
                    <w:t>1</w:t>
                  </w:r>
                  <w:r>
                    <w:rPr>
                      <w:rFonts w:eastAsia="等线"/>
                      <w:color w:val="auto"/>
                      <w:szCs w:val="21"/>
                    </w:rPr>
                    <w:t>.53</w:t>
                  </w:r>
                </w:p>
              </w:tc>
              <w:tc>
                <w:tcPr>
                  <w:tcW w:w="898" w:type="pct"/>
                  <w:vMerge w:val="continue"/>
                  <w:vAlign w:val="center"/>
                </w:tcPr>
                <w:p w14:paraId="2B112956">
                  <w:pPr>
                    <w:jc w:val="center"/>
                    <w:rPr>
                      <w:color w:val="auto"/>
                      <w:szCs w:val="21"/>
                    </w:rPr>
                  </w:pPr>
                </w:p>
              </w:tc>
            </w:tr>
            <w:tr w14:paraId="329951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7" w:type="pct"/>
                  <w:vMerge w:val="continue"/>
                  <w:shd w:val="clear" w:color="auto" w:fill="auto"/>
                  <w:vAlign w:val="center"/>
                </w:tcPr>
                <w:p w14:paraId="21A9070F">
                  <w:pPr>
                    <w:jc w:val="center"/>
                    <w:rPr>
                      <w:color w:val="auto"/>
                      <w:szCs w:val="21"/>
                    </w:rPr>
                  </w:pPr>
                </w:p>
              </w:tc>
              <w:tc>
                <w:tcPr>
                  <w:tcW w:w="569" w:type="pct"/>
                  <w:vMerge w:val="continue"/>
                  <w:shd w:val="clear" w:color="auto" w:fill="auto"/>
                  <w:vAlign w:val="center"/>
                </w:tcPr>
                <w:p w14:paraId="17F43A14">
                  <w:pPr>
                    <w:jc w:val="center"/>
                    <w:rPr>
                      <w:color w:val="auto"/>
                      <w:szCs w:val="21"/>
                    </w:rPr>
                  </w:pPr>
                </w:p>
              </w:tc>
              <w:tc>
                <w:tcPr>
                  <w:tcW w:w="607" w:type="pct"/>
                  <w:vMerge w:val="continue"/>
                  <w:shd w:val="clear" w:color="auto" w:fill="auto"/>
                  <w:vAlign w:val="center"/>
                </w:tcPr>
                <w:p w14:paraId="7547A7BC">
                  <w:pPr>
                    <w:jc w:val="center"/>
                    <w:rPr>
                      <w:color w:val="auto"/>
                      <w:szCs w:val="21"/>
                    </w:rPr>
                  </w:pPr>
                </w:p>
              </w:tc>
              <w:tc>
                <w:tcPr>
                  <w:tcW w:w="681" w:type="pct"/>
                  <w:shd w:val="clear" w:color="auto" w:fill="auto"/>
                  <w:vAlign w:val="center"/>
                </w:tcPr>
                <w:p w14:paraId="53811743">
                  <w:pPr>
                    <w:jc w:val="center"/>
                    <w:rPr>
                      <w:color w:val="auto"/>
                      <w:szCs w:val="21"/>
                    </w:rPr>
                  </w:pPr>
                  <w:r>
                    <w:rPr>
                      <w:rFonts w:hint="eastAsia"/>
                      <w:color w:val="auto"/>
                      <w:szCs w:val="21"/>
                    </w:rPr>
                    <w:t>S</w:t>
                  </w:r>
                  <w:r>
                    <w:rPr>
                      <w:color w:val="auto"/>
                      <w:szCs w:val="21"/>
                    </w:rPr>
                    <w:t>S</w:t>
                  </w:r>
                </w:p>
              </w:tc>
              <w:tc>
                <w:tcPr>
                  <w:tcW w:w="712" w:type="pct"/>
                  <w:shd w:val="clear" w:color="auto" w:fill="auto"/>
                  <w:vAlign w:val="center"/>
                </w:tcPr>
                <w:p w14:paraId="2E28741F">
                  <w:pPr>
                    <w:jc w:val="center"/>
                    <w:rPr>
                      <w:color w:val="auto"/>
                      <w:szCs w:val="21"/>
                    </w:rPr>
                  </w:pPr>
                  <w:r>
                    <w:rPr>
                      <w:rFonts w:hint="eastAsia"/>
                      <w:color w:val="auto"/>
                      <w:szCs w:val="21"/>
                    </w:rPr>
                    <w:t>5</w:t>
                  </w:r>
                  <w:r>
                    <w:rPr>
                      <w:color w:val="auto"/>
                      <w:szCs w:val="21"/>
                    </w:rPr>
                    <w:t>00</w:t>
                  </w:r>
                </w:p>
              </w:tc>
              <w:tc>
                <w:tcPr>
                  <w:tcW w:w="833" w:type="pct"/>
                  <w:shd w:val="clear" w:color="auto" w:fill="auto"/>
                  <w:vAlign w:val="center"/>
                </w:tcPr>
                <w:p w14:paraId="294929F4">
                  <w:pPr>
                    <w:jc w:val="center"/>
                    <w:rPr>
                      <w:rFonts w:eastAsia="等线"/>
                      <w:color w:val="auto"/>
                      <w:szCs w:val="21"/>
                    </w:rPr>
                  </w:pPr>
                  <w:r>
                    <w:rPr>
                      <w:rFonts w:eastAsia="等线"/>
                      <w:color w:val="auto"/>
                      <w:szCs w:val="21"/>
                    </w:rPr>
                    <w:t>2.55</w:t>
                  </w:r>
                </w:p>
              </w:tc>
              <w:tc>
                <w:tcPr>
                  <w:tcW w:w="898" w:type="pct"/>
                  <w:vMerge w:val="continue"/>
                  <w:vAlign w:val="center"/>
                </w:tcPr>
                <w:p w14:paraId="1E2DBB9E">
                  <w:pPr>
                    <w:jc w:val="center"/>
                    <w:rPr>
                      <w:color w:val="auto"/>
                      <w:szCs w:val="21"/>
                    </w:rPr>
                  </w:pPr>
                </w:p>
              </w:tc>
            </w:tr>
            <w:tr w14:paraId="695FE3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7" w:type="pct"/>
                  <w:vMerge w:val="continue"/>
                  <w:shd w:val="clear" w:color="auto" w:fill="auto"/>
                  <w:vAlign w:val="center"/>
                </w:tcPr>
                <w:p w14:paraId="4F97EA20">
                  <w:pPr>
                    <w:jc w:val="center"/>
                    <w:rPr>
                      <w:color w:val="auto"/>
                      <w:szCs w:val="21"/>
                    </w:rPr>
                  </w:pPr>
                </w:p>
              </w:tc>
              <w:tc>
                <w:tcPr>
                  <w:tcW w:w="569" w:type="pct"/>
                  <w:vMerge w:val="continue"/>
                  <w:shd w:val="clear" w:color="auto" w:fill="auto"/>
                  <w:vAlign w:val="center"/>
                </w:tcPr>
                <w:p w14:paraId="7689571D">
                  <w:pPr>
                    <w:jc w:val="center"/>
                    <w:rPr>
                      <w:color w:val="auto"/>
                      <w:szCs w:val="21"/>
                    </w:rPr>
                  </w:pPr>
                </w:p>
              </w:tc>
              <w:tc>
                <w:tcPr>
                  <w:tcW w:w="607" w:type="pct"/>
                  <w:vMerge w:val="continue"/>
                  <w:shd w:val="clear" w:color="auto" w:fill="auto"/>
                  <w:vAlign w:val="center"/>
                </w:tcPr>
                <w:p w14:paraId="2F3AD6EE">
                  <w:pPr>
                    <w:jc w:val="center"/>
                    <w:rPr>
                      <w:color w:val="auto"/>
                      <w:szCs w:val="21"/>
                    </w:rPr>
                  </w:pPr>
                </w:p>
              </w:tc>
              <w:tc>
                <w:tcPr>
                  <w:tcW w:w="681" w:type="pct"/>
                  <w:shd w:val="clear" w:color="auto" w:fill="auto"/>
                  <w:vAlign w:val="center"/>
                </w:tcPr>
                <w:p w14:paraId="3F7842EC">
                  <w:pPr>
                    <w:jc w:val="center"/>
                    <w:rPr>
                      <w:color w:val="auto"/>
                      <w:szCs w:val="21"/>
                    </w:rPr>
                  </w:pPr>
                  <w:r>
                    <w:rPr>
                      <w:color w:val="auto"/>
                      <w:szCs w:val="21"/>
                    </w:rPr>
                    <w:t>氨氮</w:t>
                  </w:r>
                </w:p>
              </w:tc>
              <w:tc>
                <w:tcPr>
                  <w:tcW w:w="712" w:type="pct"/>
                  <w:shd w:val="clear" w:color="auto" w:fill="auto"/>
                  <w:vAlign w:val="center"/>
                </w:tcPr>
                <w:p w14:paraId="5A53B8A4">
                  <w:pPr>
                    <w:jc w:val="center"/>
                    <w:rPr>
                      <w:color w:val="auto"/>
                      <w:szCs w:val="21"/>
                    </w:rPr>
                  </w:pPr>
                  <w:r>
                    <w:rPr>
                      <w:color w:val="auto"/>
                      <w:szCs w:val="21"/>
                    </w:rPr>
                    <w:t>35</w:t>
                  </w:r>
                </w:p>
              </w:tc>
              <w:tc>
                <w:tcPr>
                  <w:tcW w:w="833" w:type="pct"/>
                  <w:shd w:val="clear" w:color="auto" w:fill="auto"/>
                  <w:vAlign w:val="center"/>
                </w:tcPr>
                <w:p w14:paraId="39D89611">
                  <w:pPr>
                    <w:jc w:val="center"/>
                    <w:rPr>
                      <w:rFonts w:eastAsia="等线"/>
                      <w:color w:val="auto"/>
                      <w:szCs w:val="21"/>
                    </w:rPr>
                  </w:pPr>
                  <w:r>
                    <w:rPr>
                      <w:rFonts w:eastAsia="等线"/>
                      <w:color w:val="auto"/>
                      <w:szCs w:val="21"/>
                    </w:rPr>
                    <w:t>0.1785</w:t>
                  </w:r>
                </w:p>
              </w:tc>
              <w:tc>
                <w:tcPr>
                  <w:tcW w:w="898" w:type="pct"/>
                  <w:vMerge w:val="continue"/>
                  <w:vAlign w:val="center"/>
                </w:tcPr>
                <w:p w14:paraId="0748BD00">
                  <w:pPr>
                    <w:jc w:val="center"/>
                    <w:rPr>
                      <w:color w:val="auto"/>
                      <w:szCs w:val="21"/>
                    </w:rPr>
                  </w:pPr>
                </w:p>
              </w:tc>
            </w:tr>
            <w:tr w14:paraId="136D5C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7" w:type="pct"/>
                  <w:vMerge w:val="continue"/>
                  <w:shd w:val="clear" w:color="auto" w:fill="auto"/>
                  <w:vAlign w:val="center"/>
                </w:tcPr>
                <w:p w14:paraId="47E37A44">
                  <w:pPr>
                    <w:jc w:val="center"/>
                    <w:rPr>
                      <w:color w:val="auto"/>
                      <w:szCs w:val="21"/>
                    </w:rPr>
                  </w:pPr>
                </w:p>
              </w:tc>
              <w:tc>
                <w:tcPr>
                  <w:tcW w:w="569" w:type="pct"/>
                  <w:vMerge w:val="continue"/>
                  <w:shd w:val="clear" w:color="auto" w:fill="auto"/>
                  <w:vAlign w:val="center"/>
                </w:tcPr>
                <w:p w14:paraId="1597C7E9">
                  <w:pPr>
                    <w:jc w:val="center"/>
                    <w:rPr>
                      <w:color w:val="auto"/>
                      <w:szCs w:val="21"/>
                    </w:rPr>
                  </w:pPr>
                </w:p>
              </w:tc>
              <w:tc>
                <w:tcPr>
                  <w:tcW w:w="607" w:type="pct"/>
                  <w:vMerge w:val="continue"/>
                  <w:shd w:val="clear" w:color="auto" w:fill="auto"/>
                  <w:vAlign w:val="center"/>
                </w:tcPr>
                <w:p w14:paraId="2F2E8E1C">
                  <w:pPr>
                    <w:jc w:val="center"/>
                    <w:rPr>
                      <w:color w:val="auto"/>
                      <w:szCs w:val="21"/>
                    </w:rPr>
                  </w:pPr>
                </w:p>
              </w:tc>
              <w:tc>
                <w:tcPr>
                  <w:tcW w:w="681" w:type="pct"/>
                  <w:shd w:val="clear" w:color="auto" w:fill="auto"/>
                  <w:vAlign w:val="center"/>
                </w:tcPr>
                <w:p w14:paraId="6A439FEB">
                  <w:pPr>
                    <w:jc w:val="center"/>
                    <w:rPr>
                      <w:color w:val="auto"/>
                      <w:szCs w:val="21"/>
                    </w:rPr>
                  </w:pPr>
                  <w:r>
                    <w:rPr>
                      <w:color w:val="auto"/>
                      <w:szCs w:val="21"/>
                    </w:rPr>
                    <w:t>总氮</w:t>
                  </w:r>
                </w:p>
              </w:tc>
              <w:tc>
                <w:tcPr>
                  <w:tcW w:w="712" w:type="pct"/>
                  <w:shd w:val="clear" w:color="auto" w:fill="auto"/>
                  <w:vAlign w:val="center"/>
                </w:tcPr>
                <w:p w14:paraId="76EFE169">
                  <w:pPr>
                    <w:jc w:val="center"/>
                    <w:rPr>
                      <w:color w:val="auto"/>
                      <w:szCs w:val="21"/>
                    </w:rPr>
                  </w:pPr>
                  <w:r>
                    <w:rPr>
                      <w:color w:val="auto"/>
                      <w:szCs w:val="21"/>
                    </w:rPr>
                    <w:t>40</w:t>
                  </w:r>
                </w:p>
              </w:tc>
              <w:tc>
                <w:tcPr>
                  <w:tcW w:w="833" w:type="pct"/>
                  <w:shd w:val="clear" w:color="auto" w:fill="auto"/>
                  <w:vAlign w:val="center"/>
                </w:tcPr>
                <w:p w14:paraId="557C6803">
                  <w:pPr>
                    <w:jc w:val="center"/>
                    <w:rPr>
                      <w:rFonts w:eastAsia="等线"/>
                      <w:color w:val="auto"/>
                      <w:szCs w:val="21"/>
                    </w:rPr>
                  </w:pPr>
                  <w:r>
                    <w:rPr>
                      <w:rFonts w:eastAsia="等线"/>
                      <w:color w:val="auto"/>
                      <w:szCs w:val="21"/>
                    </w:rPr>
                    <w:t>0.204</w:t>
                  </w:r>
                </w:p>
              </w:tc>
              <w:tc>
                <w:tcPr>
                  <w:tcW w:w="898" w:type="pct"/>
                  <w:vMerge w:val="continue"/>
                  <w:vAlign w:val="center"/>
                </w:tcPr>
                <w:p w14:paraId="23232E40">
                  <w:pPr>
                    <w:jc w:val="center"/>
                    <w:rPr>
                      <w:color w:val="auto"/>
                      <w:szCs w:val="21"/>
                    </w:rPr>
                  </w:pPr>
                </w:p>
              </w:tc>
            </w:tr>
            <w:tr w14:paraId="3EFE39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7" w:type="pct"/>
                  <w:vMerge w:val="continue"/>
                  <w:shd w:val="clear" w:color="auto" w:fill="auto"/>
                  <w:vAlign w:val="center"/>
                </w:tcPr>
                <w:p w14:paraId="031DFDC7">
                  <w:pPr>
                    <w:jc w:val="center"/>
                    <w:rPr>
                      <w:color w:val="auto"/>
                      <w:szCs w:val="21"/>
                    </w:rPr>
                  </w:pPr>
                </w:p>
              </w:tc>
              <w:tc>
                <w:tcPr>
                  <w:tcW w:w="569" w:type="pct"/>
                  <w:vMerge w:val="continue"/>
                  <w:shd w:val="clear" w:color="auto" w:fill="auto"/>
                  <w:vAlign w:val="center"/>
                </w:tcPr>
                <w:p w14:paraId="457619E2">
                  <w:pPr>
                    <w:jc w:val="center"/>
                    <w:rPr>
                      <w:color w:val="auto"/>
                      <w:szCs w:val="21"/>
                    </w:rPr>
                  </w:pPr>
                </w:p>
              </w:tc>
              <w:tc>
                <w:tcPr>
                  <w:tcW w:w="607" w:type="pct"/>
                  <w:vMerge w:val="continue"/>
                  <w:shd w:val="clear" w:color="auto" w:fill="auto"/>
                  <w:vAlign w:val="center"/>
                </w:tcPr>
                <w:p w14:paraId="56906182">
                  <w:pPr>
                    <w:jc w:val="center"/>
                    <w:rPr>
                      <w:color w:val="auto"/>
                      <w:szCs w:val="21"/>
                    </w:rPr>
                  </w:pPr>
                </w:p>
              </w:tc>
              <w:tc>
                <w:tcPr>
                  <w:tcW w:w="681" w:type="pct"/>
                  <w:shd w:val="clear" w:color="auto" w:fill="auto"/>
                  <w:vAlign w:val="center"/>
                </w:tcPr>
                <w:p w14:paraId="3906E225">
                  <w:pPr>
                    <w:jc w:val="center"/>
                    <w:rPr>
                      <w:color w:val="auto"/>
                      <w:szCs w:val="21"/>
                    </w:rPr>
                  </w:pPr>
                  <w:r>
                    <w:rPr>
                      <w:color w:val="auto"/>
                      <w:szCs w:val="21"/>
                    </w:rPr>
                    <w:t>总磷</w:t>
                  </w:r>
                </w:p>
              </w:tc>
              <w:tc>
                <w:tcPr>
                  <w:tcW w:w="712" w:type="pct"/>
                  <w:shd w:val="clear" w:color="auto" w:fill="auto"/>
                  <w:vAlign w:val="center"/>
                </w:tcPr>
                <w:p w14:paraId="252BED1E">
                  <w:pPr>
                    <w:jc w:val="center"/>
                    <w:rPr>
                      <w:color w:val="auto"/>
                      <w:szCs w:val="21"/>
                    </w:rPr>
                  </w:pPr>
                  <w:r>
                    <w:rPr>
                      <w:color w:val="auto"/>
                      <w:szCs w:val="21"/>
                    </w:rPr>
                    <w:t>5</w:t>
                  </w:r>
                </w:p>
              </w:tc>
              <w:tc>
                <w:tcPr>
                  <w:tcW w:w="833" w:type="pct"/>
                  <w:shd w:val="clear" w:color="auto" w:fill="auto"/>
                  <w:vAlign w:val="center"/>
                </w:tcPr>
                <w:p w14:paraId="79FA4F09">
                  <w:pPr>
                    <w:jc w:val="center"/>
                    <w:rPr>
                      <w:rFonts w:eastAsia="等线"/>
                      <w:color w:val="auto"/>
                      <w:szCs w:val="21"/>
                    </w:rPr>
                  </w:pPr>
                  <w:r>
                    <w:rPr>
                      <w:rFonts w:eastAsia="等线"/>
                      <w:color w:val="auto"/>
                      <w:szCs w:val="21"/>
                    </w:rPr>
                    <w:t>0.0255</w:t>
                  </w:r>
                </w:p>
              </w:tc>
              <w:tc>
                <w:tcPr>
                  <w:tcW w:w="898" w:type="pct"/>
                  <w:vMerge w:val="continue"/>
                  <w:vAlign w:val="center"/>
                </w:tcPr>
                <w:p w14:paraId="58CA3FA8">
                  <w:pPr>
                    <w:jc w:val="center"/>
                    <w:rPr>
                      <w:color w:val="auto"/>
                      <w:szCs w:val="21"/>
                    </w:rPr>
                  </w:pPr>
                </w:p>
              </w:tc>
            </w:tr>
            <w:tr w14:paraId="0A7C44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697" w:type="pct"/>
                  <w:vMerge w:val="continue"/>
                  <w:shd w:val="clear" w:color="auto" w:fill="auto"/>
                  <w:vAlign w:val="center"/>
                </w:tcPr>
                <w:p w14:paraId="44396DAA">
                  <w:pPr>
                    <w:jc w:val="center"/>
                    <w:rPr>
                      <w:color w:val="auto"/>
                      <w:szCs w:val="21"/>
                    </w:rPr>
                  </w:pPr>
                </w:p>
              </w:tc>
              <w:tc>
                <w:tcPr>
                  <w:tcW w:w="569" w:type="pct"/>
                  <w:vMerge w:val="continue"/>
                  <w:shd w:val="clear" w:color="auto" w:fill="auto"/>
                  <w:vAlign w:val="center"/>
                </w:tcPr>
                <w:p w14:paraId="3A7A4B08">
                  <w:pPr>
                    <w:jc w:val="center"/>
                    <w:rPr>
                      <w:color w:val="auto"/>
                      <w:szCs w:val="21"/>
                    </w:rPr>
                  </w:pPr>
                </w:p>
              </w:tc>
              <w:tc>
                <w:tcPr>
                  <w:tcW w:w="607" w:type="pct"/>
                  <w:vMerge w:val="continue"/>
                  <w:shd w:val="clear" w:color="auto" w:fill="auto"/>
                  <w:vAlign w:val="center"/>
                </w:tcPr>
                <w:p w14:paraId="7A363886">
                  <w:pPr>
                    <w:jc w:val="center"/>
                    <w:rPr>
                      <w:color w:val="auto"/>
                      <w:szCs w:val="21"/>
                    </w:rPr>
                  </w:pPr>
                </w:p>
              </w:tc>
              <w:tc>
                <w:tcPr>
                  <w:tcW w:w="681" w:type="pct"/>
                  <w:shd w:val="clear" w:color="auto" w:fill="auto"/>
                  <w:vAlign w:val="center"/>
                </w:tcPr>
                <w:p w14:paraId="05F3CBB1">
                  <w:pPr>
                    <w:jc w:val="center"/>
                    <w:rPr>
                      <w:color w:val="auto"/>
                      <w:szCs w:val="21"/>
                    </w:rPr>
                  </w:pPr>
                  <w:r>
                    <w:rPr>
                      <w:color w:val="auto"/>
                      <w:szCs w:val="21"/>
                    </w:rPr>
                    <w:t>动植物油</w:t>
                  </w:r>
                </w:p>
              </w:tc>
              <w:tc>
                <w:tcPr>
                  <w:tcW w:w="712" w:type="pct"/>
                  <w:shd w:val="clear" w:color="auto" w:fill="auto"/>
                  <w:vAlign w:val="center"/>
                </w:tcPr>
                <w:p w14:paraId="23B78A0B">
                  <w:pPr>
                    <w:jc w:val="center"/>
                    <w:rPr>
                      <w:color w:val="auto"/>
                      <w:szCs w:val="21"/>
                    </w:rPr>
                  </w:pPr>
                  <w:r>
                    <w:rPr>
                      <w:color w:val="auto"/>
                      <w:szCs w:val="21"/>
                    </w:rPr>
                    <w:t>150</w:t>
                  </w:r>
                </w:p>
              </w:tc>
              <w:tc>
                <w:tcPr>
                  <w:tcW w:w="833" w:type="pct"/>
                  <w:shd w:val="clear" w:color="auto" w:fill="auto"/>
                  <w:vAlign w:val="center"/>
                </w:tcPr>
                <w:p w14:paraId="3771F4CA">
                  <w:pPr>
                    <w:jc w:val="center"/>
                    <w:rPr>
                      <w:rFonts w:eastAsia="等线"/>
                      <w:color w:val="auto"/>
                      <w:szCs w:val="21"/>
                    </w:rPr>
                  </w:pPr>
                  <w:r>
                    <w:rPr>
                      <w:rFonts w:eastAsia="等线"/>
                      <w:color w:val="auto"/>
                      <w:szCs w:val="21"/>
                    </w:rPr>
                    <w:t>0.765</w:t>
                  </w:r>
                </w:p>
              </w:tc>
              <w:tc>
                <w:tcPr>
                  <w:tcW w:w="898" w:type="pct"/>
                  <w:vMerge w:val="continue"/>
                  <w:vAlign w:val="center"/>
                </w:tcPr>
                <w:p w14:paraId="338D4AD4">
                  <w:pPr>
                    <w:jc w:val="center"/>
                    <w:rPr>
                      <w:color w:val="auto"/>
                      <w:szCs w:val="21"/>
                    </w:rPr>
                  </w:pPr>
                </w:p>
              </w:tc>
            </w:tr>
            <w:tr w14:paraId="385E81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7" w:type="pct"/>
                  <w:vMerge w:val="continue"/>
                  <w:shd w:val="clear" w:color="auto" w:fill="auto"/>
                  <w:vAlign w:val="center"/>
                </w:tcPr>
                <w:p w14:paraId="1EB27B99">
                  <w:pPr>
                    <w:jc w:val="center"/>
                    <w:rPr>
                      <w:color w:val="auto"/>
                      <w:szCs w:val="21"/>
                    </w:rPr>
                  </w:pPr>
                </w:p>
              </w:tc>
              <w:tc>
                <w:tcPr>
                  <w:tcW w:w="569" w:type="pct"/>
                  <w:vMerge w:val="continue"/>
                  <w:shd w:val="clear" w:color="auto" w:fill="auto"/>
                  <w:vAlign w:val="center"/>
                </w:tcPr>
                <w:p w14:paraId="083ED8B4">
                  <w:pPr>
                    <w:jc w:val="center"/>
                    <w:rPr>
                      <w:color w:val="auto"/>
                      <w:szCs w:val="21"/>
                    </w:rPr>
                  </w:pPr>
                </w:p>
              </w:tc>
              <w:tc>
                <w:tcPr>
                  <w:tcW w:w="607" w:type="pct"/>
                  <w:vMerge w:val="continue"/>
                  <w:shd w:val="clear" w:color="auto" w:fill="auto"/>
                  <w:vAlign w:val="center"/>
                </w:tcPr>
                <w:p w14:paraId="5ED33EEE">
                  <w:pPr>
                    <w:jc w:val="center"/>
                    <w:rPr>
                      <w:color w:val="auto"/>
                      <w:szCs w:val="21"/>
                    </w:rPr>
                  </w:pPr>
                </w:p>
              </w:tc>
              <w:tc>
                <w:tcPr>
                  <w:tcW w:w="681" w:type="pct"/>
                  <w:shd w:val="clear" w:color="auto" w:fill="auto"/>
                  <w:vAlign w:val="center"/>
                </w:tcPr>
                <w:p w14:paraId="7A920CD2">
                  <w:pPr>
                    <w:jc w:val="center"/>
                    <w:rPr>
                      <w:color w:val="auto"/>
                      <w:szCs w:val="21"/>
                    </w:rPr>
                  </w:pPr>
                  <w:r>
                    <w:rPr>
                      <w:rFonts w:hint="eastAsia"/>
                      <w:color w:val="auto"/>
                      <w:szCs w:val="21"/>
                    </w:rPr>
                    <w:t>L</w:t>
                  </w:r>
                  <w:r>
                    <w:rPr>
                      <w:color w:val="auto"/>
                      <w:szCs w:val="21"/>
                    </w:rPr>
                    <w:t>AS</w:t>
                  </w:r>
                </w:p>
              </w:tc>
              <w:tc>
                <w:tcPr>
                  <w:tcW w:w="712" w:type="pct"/>
                  <w:shd w:val="clear" w:color="auto" w:fill="auto"/>
                  <w:vAlign w:val="center"/>
                </w:tcPr>
                <w:p w14:paraId="45B1B8CF">
                  <w:pPr>
                    <w:jc w:val="center"/>
                    <w:rPr>
                      <w:color w:val="auto"/>
                      <w:szCs w:val="21"/>
                    </w:rPr>
                  </w:pPr>
                  <w:r>
                    <w:rPr>
                      <w:color w:val="auto"/>
                      <w:szCs w:val="21"/>
                    </w:rPr>
                    <w:t>200</w:t>
                  </w:r>
                </w:p>
              </w:tc>
              <w:tc>
                <w:tcPr>
                  <w:tcW w:w="833" w:type="pct"/>
                  <w:shd w:val="clear" w:color="auto" w:fill="auto"/>
                  <w:vAlign w:val="center"/>
                </w:tcPr>
                <w:p w14:paraId="586FC375">
                  <w:pPr>
                    <w:jc w:val="center"/>
                    <w:rPr>
                      <w:rFonts w:eastAsia="等线"/>
                      <w:color w:val="auto"/>
                      <w:szCs w:val="21"/>
                    </w:rPr>
                  </w:pPr>
                  <w:r>
                    <w:rPr>
                      <w:rFonts w:eastAsia="等线"/>
                      <w:color w:val="auto"/>
                      <w:szCs w:val="21"/>
                    </w:rPr>
                    <w:t>1.02</w:t>
                  </w:r>
                </w:p>
              </w:tc>
              <w:tc>
                <w:tcPr>
                  <w:tcW w:w="898" w:type="pct"/>
                  <w:vMerge w:val="continue"/>
                  <w:vAlign w:val="center"/>
                </w:tcPr>
                <w:p w14:paraId="6AF77C57">
                  <w:pPr>
                    <w:jc w:val="center"/>
                    <w:rPr>
                      <w:color w:val="auto"/>
                      <w:szCs w:val="21"/>
                    </w:rPr>
                  </w:pPr>
                </w:p>
              </w:tc>
            </w:tr>
            <w:tr w14:paraId="4C80D4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7" w:type="pct"/>
                  <w:vMerge w:val="restart"/>
                  <w:shd w:val="clear" w:color="auto" w:fill="auto"/>
                  <w:vAlign w:val="center"/>
                </w:tcPr>
                <w:p w14:paraId="15D1F656">
                  <w:pPr>
                    <w:jc w:val="center"/>
                    <w:rPr>
                      <w:color w:val="auto"/>
                      <w:szCs w:val="21"/>
                    </w:rPr>
                  </w:pPr>
                  <w:r>
                    <w:rPr>
                      <w:color w:val="auto"/>
                      <w:szCs w:val="21"/>
                    </w:rPr>
                    <w:t>地面清洁</w:t>
                  </w:r>
                </w:p>
              </w:tc>
              <w:tc>
                <w:tcPr>
                  <w:tcW w:w="569" w:type="pct"/>
                  <w:vMerge w:val="restart"/>
                  <w:shd w:val="clear" w:color="auto" w:fill="auto"/>
                  <w:vAlign w:val="center"/>
                </w:tcPr>
                <w:p w14:paraId="1C06403A">
                  <w:pPr>
                    <w:jc w:val="center"/>
                    <w:rPr>
                      <w:color w:val="auto"/>
                      <w:szCs w:val="21"/>
                    </w:rPr>
                  </w:pPr>
                  <w:r>
                    <w:rPr>
                      <w:color w:val="auto"/>
                      <w:szCs w:val="21"/>
                    </w:rPr>
                    <w:t>地面清洁废水</w:t>
                  </w:r>
                </w:p>
              </w:tc>
              <w:tc>
                <w:tcPr>
                  <w:tcW w:w="607" w:type="pct"/>
                  <w:vMerge w:val="restart"/>
                  <w:shd w:val="clear" w:color="auto" w:fill="auto"/>
                  <w:vAlign w:val="center"/>
                </w:tcPr>
                <w:p w14:paraId="29F1A3CE">
                  <w:pPr>
                    <w:jc w:val="center"/>
                    <w:rPr>
                      <w:color w:val="auto"/>
                      <w:szCs w:val="21"/>
                    </w:rPr>
                  </w:pPr>
                  <w:r>
                    <w:rPr>
                      <w:rFonts w:hint="eastAsia"/>
                      <w:color w:val="auto"/>
                      <w:szCs w:val="21"/>
                    </w:rPr>
                    <w:t>2</w:t>
                  </w:r>
                  <w:r>
                    <w:rPr>
                      <w:color w:val="auto"/>
                      <w:szCs w:val="21"/>
                    </w:rPr>
                    <w:t>550</w:t>
                  </w:r>
                </w:p>
              </w:tc>
              <w:tc>
                <w:tcPr>
                  <w:tcW w:w="681" w:type="pct"/>
                  <w:shd w:val="clear" w:color="auto" w:fill="auto"/>
                  <w:vAlign w:val="center"/>
                </w:tcPr>
                <w:p w14:paraId="24148439">
                  <w:pPr>
                    <w:jc w:val="center"/>
                    <w:rPr>
                      <w:color w:val="auto"/>
                      <w:szCs w:val="21"/>
                    </w:rPr>
                  </w:pPr>
                  <w:r>
                    <w:rPr>
                      <w:color w:val="auto"/>
                      <w:szCs w:val="21"/>
                    </w:rPr>
                    <w:t>COD</w:t>
                  </w:r>
                </w:p>
              </w:tc>
              <w:tc>
                <w:tcPr>
                  <w:tcW w:w="712" w:type="pct"/>
                  <w:shd w:val="clear" w:color="auto" w:fill="auto"/>
                  <w:vAlign w:val="center"/>
                </w:tcPr>
                <w:p w14:paraId="3305A934">
                  <w:pPr>
                    <w:jc w:val="center"/>
                    <w:rPr>
                      <w:color w:val="auto"/>
                      <w:szCs w:val="21"/>
                    </w:rPr>
                  </w:pPr>
                  <w:r>
                    <w:rPr>
                      <w:color w:val="auto"/>
                      <w:szCs w:val="21"/>
                    </w:rPr>
                    <w:t>400</w:t>
                  </w:r>
                </w:p>
              </w:tc>
              <w:tc>
                <w:tcPr>
                  <w:tcW w:w="833" w:type="pct"/>
                  <w:shd w:val="clear" w:color="auto" w:fill="auto"/>
                  <w:vAlign w:val="center"/>
                </w:tcPr>
                <w:p w14:paraId="665E903B">
                  <w:pPr>
                    <w:widowControl/>
                    <w:jc w:val="center"/>
                    <w:rPr>
                      <w:rFonts w:eastAsia="等线"/>
                      <w:color w:val="auto"/>
                      <w:szCs w:val="21"/>
                    </w:rPr>
                  </w:pPr>
                  <w:r>
                    <w:rPr>
                      <w:rFonts w:eastAsia="等线"/>
                      <w:color w:val="auto"/>
                      <w:szCs w:val="21"/>
                    </w:rPr>
                    <w:t>1.02</w:t>
                  </w:r>
                </w:p>
              </w:tc>
              <w:tc>
                <w:tcPr>
                  <w:tcW w:w="898" w:type="pct"/>
                  <w:vMerge w:val="restart"/>
                  <w:vAlign w:val="center"/>
                </w:tcPr>
                <w:p w14:paraId="194E7075">
                  <w:pPr>
                    <w:jc w:val="center"/>
                    <w:rPr>
                      <w:color w:val="auto"/>
                      <w:szCs w:val="21"/>
                    </w:rPr>
                  </w:pPr>
                  <w:r>
                    <w:rPr>
                      <w:color w:val="auto"/>
                      <w:szCs w:val="21"/>
                    </w:rPr>
                    <w:t>排入厂区污水处理站处置</w:t>
                  </w:r>
                </w:p>
              </w:tc>
            </w:tr>
            <w:tr w14:paraId="2A181A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7" w:type="pct"/>
                  <w:vMerge w:val="continue"/>
                  <w:shd w:val="clear" w:color="auto" w:fill="auto"/>
                  <w:vAlign w:val="center"/>
                </w:tcPr>
                <w:p w14:paraId="4BAB77A9">
                  <w:pPr>
                    <w:jc w:val="center"/>
                    <w:rPr>
                      <w:color w:val="auto"/>
                      <w:szCs w:val="21"/>
                    </w:rPr>
                  </w:pPr>
                </w:p>
              </w:tc>
              <w:tc>
                <w:tcPr>
                  <w:tcW w:w="569" w:type="pct"/>
                  <w:vMerge w:val="continue"/>
                  <w:shd w:val="clear" w:color="auto" w:fill="auto"/>
                  <w:vAlign w:val="center"/>
                </w:tcPr>
                <w:p w14:paraId="6BB4BA2D">
                  <w:pPr>
                    <w:jc w:val="center"/>
                    <w:rPr>
                      <w:color w:val="auto"/>
                      <w:szCs w:val="21"/>
                    </w:rPr>
                  </w:pPr>
                </w:p>
              </w:tc>
              <w:tc>
                <w:tcPr>
                  <w:tcW w:w="607" w:type="pct"/>
                  <w:vMerge w:val="continue"/>
                  <w:shd w:val="clear" w:color="auto" w:fill="auto"/>
                  <w:vAlign w:val="center"/>
                </w:tcPr>
                <w:p w14:paraId="4A9ED24D">
                  <w:pPr>
                    <w:jc w:val="center"/>
                    <w:rPr>
                      <w:color w:val="auto"/>
                      <w:szCs w:val="21"/>
                    </w:rPr>
                  </w:pPr>
                </w:p>
              </w:tc>
              <w:tc>
                <w:tcPr>
                  <w:tcW w:w="681" w:type="pct"/>
                  <w:shd w:val="clear" w:color="auto" w:fill="auto"/>
                  <w:vAlign w:val="center"/>
                </w:tcPr>
                <w:p w14:paraId="0D2F2E5D">
                  <w:pPr>
                    <w:jc w:val="center"/>
                    <w:rPr>
                      <w:color w:val="auto"/>
                      <w:szCs w:val="21"/>
                    </w:rPr>
                  </w:pPr>
                  <w:r>
                    <w:rPr>
                      <w:rFonts w:hint="eastAsia"/>
                      <w:color w:val="auto"/>
                      <w:szCs w:val="21"/>
                    </w:rPr>
                    <w:t>B</w:t>
                  </w:r>
                  <w:r>
                    <w:rPr>
                      <w:color w:val="auto"/>
                      <w:szCs w:val="21"/>
                    </w:rPr>
                    <w:t>OD</w:t>
                  </w:r>
                  <w:r>
                    <w:rPr>
                      <w:color w:val="auto"/>
                      <w:szCs w:val="21"/>
                      <w:vertAlign w:val="subscript"/>
                    </w:rPr>
                    <w:t>5</w:t>
                  </w:r>
                </w:p>
              </w:tc>
              <w:tc>
                <w:tcPr>
                  <w:tcW w:w="712" w:type="pct"/>
                  <w:shd w:val="clear" w:color="auto" w:fill="auto"/>
                  <w:vAlign w:val="center"/>
                </w:tcPr>
                <w:p w14:paraId="5F1669E4">
                  <w:pPr>
                    <w:jc w:val="center"/>
                    <w:rPr>
                      <w:color w:val="auto"/>
                      <w:szCs w:val="21"/>
                    </w:rPr>
                  </w:pPr>
                  <w:r>
                    <w:rPr>
                      <w:rFonts w:hint="eastAsia"/>
                      <w:color w:val="auto"/>
                      <w:szCs w:val="21"/>
                    </w:rPr>
                    <w:t>3</w:t>
                  </w:r>
                  <w:r>
                    <w:rPr>
                      <w:color w:val="auto"/>
                      <w:szCs w:val="21"/>
                    </w:rPr>
                    <w:t>00</w:t>
                  </w:r>
                </w:p>
              </w:tc>
              <w:tc>
                <w:tcPr>
                  <w:tcW w:w="833" w:type="pct"/>
                  <w:shd w:val="clear" w:color="auto" w:fill="auto"/>
                  <w:vAlign w:val="center"/>
                </w:tcPr>
                <w:p w14:paraId="70601E18">
                  <w:pPr>
                    <w:jc w:val="center"/>
                    <w:rPr>
                      <w:rFonts w:eastAsia="等线"/>
                      <w:color w:val="auto"/>
                      <w:szCs w:val="21"/>
                    </w:rPr>
                  </w:pPr>
                  <w:r>
                    <w:rPr>
                      <w:rFonts w:hint="eastAsia" w:eastAsia="等线"/>
                      <w:color w:val="auto"/>
                      <w:szCs w:val="21"/>
                    </w:rPr>
                    <w:t>0</w:t>
                  </w:r>
                  <w:r>
                    <w:rPr>
                      <w:rFonts w:eastAsia="等线"/>
                      <w:color w:val="auto"/>
                      <w:szCs w:val="21"/>
                    </w:rPr>
                    <w:t>.765</w:t>
                  </w:r>
                </w:p>
              </w:tc>
              <w:tc>
                <w:tcPr>
                  <w:tcW w:w="898" w:type="pct"/>
                  <w:vMerge w:val="continue"/>
                  <w:vAlign w:val="center"/>
                </w:tcPr>
                <w:p w14:paraId="0579F1E9">
                  <w:pPr>
                    <w:jc w:val="center"/>
                    <w:rPr>
                      <w:color w:val="auto"/>
                      <w:szCs w:val="21"/>
                    </w:rPr>
                  </w:pPr>
                </w:p>
              </w:tc>
            </w:tr>
            <w:tr w14:paraId="522B79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7" w:type="pct"/>
                  <w:vMerge w:val="continue"/>
                  <w:shd w:val="clear" w:color="auto" w:fill="auto"/>
                  <w:vAlign w:val="center"/>
                </w:tcPr>
                <w:p w14:paraId="78360F76">
                  <w:pPr>
                    <w:jc w:val="center"/>
                    <w:rPr>
                      <w:color w:val="auto"/>
                      <w:szCs w:val="21"/>
                    </w:rPr>
                  </w:pPr>
                </w:p>
              </w:tc>
              <w:tc>
                <w:tcPr>
                  <w:tcW w:w="569" w:type="pct"/>
                  <w:vMerge w:val="continue"/>
                  <w:shd w:val="clear" w:color="auto" w:fill="auto"/>
                  <w:vAlign w:val="center"/>
                </w:tcPr>
                <w:p w14:paraId="46D5CEFD">
                  <w:pPr>
                    <w:jc w:val="center"/>
                    <w:rPr>
                      <w:color w:val="auto"/>
                      <w:szCs w:val="21"/>
                    </w:rPr>
                  </w:pPr>
                </w:p>
              </w:tc>
              <w:tc>
                <w:tcPr>
                  <w:tcW w:w="607" w:type="pct"/>
                  <w:vMerge w:val="continue"/>
                  <w:shd w:val="clear" w:color="auto" w:fill="auto"/>
                  <w:vAlign w:val="center"/>
                </w:tcPr>
                <w:p w14:paraId="2DA51307">
                  <w:pPr>
                    <w:jc w:val="center"/>
                    <w:rPr>
                      <w:color w:val="auto"/>
                      <w:szCs w:val="21"/>
                    </w:rPr>
                  </w:pPr>
                </w:p>
              </w:tc>
              <w:tc>
                <w:tcPr>
                  <w:tcW w:w="681" w:type="pct"/>
                  <w:shd w:val="clear" w:color="auto" w:fill="auto"/>
                  <w:vAlign w:val="center"/>
                </w:tcPr>
                <w:p w14:paraId="28836AF6">
                  <w:pPr>
                    <w:jc w:val="center"/>
                    <w:rPr>
                      <w:color w:val="auto"/>
                      <w:szCs w:val="21"/>
                    </w:rPr>
                  </w:pPr>
                  <w:r>
                    <w:rPr>
                      <w:rFonts w:hint="eastAsia"/>
                      <w:color w:val="auto"/>
                      <w:szCs w:val="21"/>
                    </w:rPr>
                    <w:t>S</w:t>
                  </w:r>
                  <w:r>
                    <w:rPr>
                      <w:color w:val="auto"/>
                      <w:szCs w:val="21"/>
                    </w:rPr>
                    <w:t>S</w:t>
                  </w:r>
                </w:p>
              </w:tc>
              <w:tc>
                <w:tcPr>
                  <w:tcW w:w="712" w:type="pct"/>
                  <w:shd w:val="clear" w:color="auto" w:fill="auto"/>
                  <w:vAlign w:val="center"/>
                </w:tcPr>
                <w:p w14:paraId="17ACB8D1">
                  <w:pPr>
                    <w:jc w:val="center"/>
                    <w:rPr>
                      <w:color w:val="auto"/>
                      <w:szCs w:val="21"/>
                    </w:rPr>
                  </w:pPr>
                  <w:r>
                    <w:rPr>
                      <w:color w:val="auto"/>
                      <w:szCs w:val="21"/>
                    </w:rPr>
                    <w:t>350</w:t>
                  </w:r>
                </w:p>
              </w:tc>
              <w:tc>
                <w:tcPr>
                  <w:tcW w:w="833" w:type="pct"/>
                  <w:shd w:val="clear" w:color="auto" w:fill="auto"/>
                  <w:vAlign w:val="center"/>
                </w:tcPr>
                <w:p w14:paraId="7D26AD22">
                  <w:pPr>
                    <w:jc w:val="center"/>
                    <w:rPr>
                      <w:rFonts w:eastAsia="等线"/>
                      <w:color w:val="auto"/>
                      <w:szCs w:val="21"/>
                    </w:rPr>
                  </w:pPr>
                  <w:r>
                    <w:rPr>
                      <w:rFonts w:eastAsia="等线"/>
                      <w:color w:val="auto"/>
                      <w:szCs w:val="21"/>
                    </w:rPr>
                    <w:t>0.8925</w:t>
                  </w:r>
                </w:p>
              </w:tc>
              <w:tc>
                <w:tcPr>
                  <w:tcW w:w="898" w:type="pct"/>
                  <w:vMerge w:val="continue"/>
                  <w:vAlign w:val="center"/>
                </w:tcPr>
                <w:p w14:paraId="7E1AC218">
                  <w:pPr>
                    <w:jc w:val="center"/>
                    <w:rPr>
                      <w:color w:val="auto"/>
                      <w:szCs w:val="21"/>
                    </w:rPr>
                  </w:pPr>
                </w:p>
              </w:tc>
            </w:tr>
            <w:tr w14:paraId="3A7439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7" w:type="pct"/>
                  <w:vMerge w:val="continue"/>
                  <w:shd w:val="clear" w:color="auto" w:fill="auto"/>
                  <w:vAlign w:val="center"/>
                </w:tcPr>
                <w:p w14:paraId="09A460B0">
                  <w:pPr>
                    <w:jc w:val="center"/>
                    <w:rPr>
                      <w:color w:val="auto"/>
                      <w:szCs w:val="21"/>
                    </w:rPr>
                  </w:pPr>
                </w:p>
              </w:tc>
              <w:tc>
                <w:tcPr>
                  <w:tcW w:w="569" w:type="pct"/>
                  <w:vMerge w:val="continue"/>
                  <w:shd w:val="clear" w:color="auto" w:fill="auto"/>
                  <w:vAlign w:val="center"/>
                </w:tcPr>
                <w:p w14:paraId="2B5F1C34">
                  <w:pPr>
                    <w:jc w:val="center"/>
                    <w:rPr>
                      <w:color w:val="auto"/>
                      <w:szCs w:val="21"/>
                    </w:rPr>
                  </w:pPr>
                </w:p>
              </w:tc>
              <w:tc>
                <w:tcPr>
                  <w:tcW w:w="607" w:type="pct"/>
                  <w:vMerge w:val="continue"/>
                  <w:shd w:val="clear" w:color="auto" w:fill="auto"/>
                  <w:vAlign w:val="center"/>
                </w:tcPr>
                <w:p w14:paraId="44B8AF9C">
                  <w:pPr>
                    <w:jc w:val="center"/>
                    <w:rPr>
                      <w:color w:val="auto"/>
                      <w:szCs w:val="21"/>
                    </w:rPr>
                  </w:pPr>
                </w:p>
              </w:tc>
              <w:tc>
                <w:tcPr>
                  <w:tcW w:w="681" w:type="pct"/>
                  <w:shd w:val="clear" w:color="auto" w:fill="auto"/>
                  <w:vAlign w:val="center"/>
                </w:tcPr>
                <w:p w14:paraId="54945E6D">
                  <w:pPr>
                    <w:jc w:val="center"/>
                    <w:rPr>
                      <w:color w:val="auto"/>
                      <w:szCs w:val="21"/>
                    </w:rPr>
                  </w:pPr>
                  <w:r>
                    <w:rPr>
                      <w:color w:val="auto"/>
                      <w:szCs w:val="21"/>
                    </w:rPr>
                    <w:t>氨氮</w:t>
                  </w:r>
                </w:p>
              </w:tc>
              <w:tc>
                <w:tcPr>
                  <w:tcW w:w="712" w:type="pct"/>
                  <w:shd w:val="clear" w:color="auto" w:fill="auto"/>
                  <w:vAlign w:val="center"/>
                </w:tcPr>
                <w:p w14:paraId="0350131F">
                  <w:pPr>
                    <w:jc w:val="center"/>
                    <w:rPr>
                      <w:color w:val="auto"/>
                      <w:szCs w:val="21"/>
                    </w:rPr>
                  </w:pPr>
                  <w:r>
                    <w:rPr>
                      <w:color w:val="auto"/>
                      <w:szCs w:val="21"/>
                    </w:rPr>
                    <w:t>30</w:t>
                  </w:r>
                </w:p>
              </w:tc>
              <w:tc>
                <w:tcPr>
                  <w:tcW w:w="833" w:type="pct"/>
                  <w:shd w:val="clear" w:color="auto" w:fill="auto"/>
                  <w:vAlign w:val="center"/>
                </w:tcPr>
                <w:p w14:paraId="33D7EE43">
                  <w:pPr>
                    <w:jc w:val="center"/>
                    <w:rPr>
                      <w:rFonts w:eastAsia="等线"/>
                      <w:color w:val="auto"/>
                      <w:szCs w:val="21"/>
                    </w:rPr>
                  </w:pPr>
                  <w:r>
                    <w:rPr>
                      <w:rFonts w:eastAsia="等线"/>
                      <w:color w:val="auto"/>
                      <w:szCs w:val="21"/>
                    </w:rPr>
                    <w:t>0.0765</w:t>
                  </w:r>
                </w:p>
              </w:tc>
              <w:tc>
                <w:tcPr>
                  <w:tcW w:w="898" w:type="pct"/>
                  <w:vMerge w:val="continue"/>
                  <w:vAlign w:val="center"/>
                </w:tcPr>
                <w:p w14:paraId="6F48E1B2">
                  <w:pPr>
                    <w:jc w:val="center"/>
                    <w:rPr>
                      <w:color w:val="auto"/>
                      <w:szCs w:val="21"/>
                    </w:rPr>
                  </w:pPr>
                </w:p>
              </w:tc>
            </w:tr>
            <w:tr w14:paraId="3E48A6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7" w:type="pct"/>
                  <w:vMerge w:val="continue"/>
                  <w:shd w:val="clear" w:color="auto" w:fill="auto"/>
                  <w:vAlign w:val="center"/>
                </w:tcPr>
                <w:p w14:paraId="15215C6B">
                  <w:pPr>
                    <w:jc w:val="center"/>
                    <w:rPr>
                      <w:color w:val="auto"/>
                      <w:szCs w:val="21"/>
                    </w:rPr>
                  </w:pPr>
                </w:p>
              </w:tc>
              <w:tc>
                <w:tcPr>
                  <w:tcW w:w="569" w:type="pct"/>
                  <w:vMerge w:val="continue"/>
                  <w:shd w:val="clear" w:color="auto" w:fill="auto"/>
                  <w:vAlign w:val="center"/>
                </w:tcPr>
                <w:p w14:paraId="1FA3A636">
                  <w:pPr>
                    <w:jc w:val="center"/>
                    <w:rPr>
                      <w:color w:val="auto"/>
                      <w:szCs w:val="21"/>
                    </w:rPr>
                  </w:pPr>
                </w:p>
              </w:tc>
              <w:tc>
                <w:tcPr>
                  <w:tcW w:w="607" w:type="pct"/>
                  <w:vMerge w:val="continue"/>
                  <w:shd w:val="clear" w:color="auto" w:fill="auto"/>
                  <w:vAlign w:val="center"/>
                </w:tcPr>
                <w:p w14:paraId="226E96F3">
                  <w:pPr>
                    <w:jc w:val="center"/>
                    <w:rPr>
                      <w:color w:val="auto"/>
                      <w:szCs w:val="21"/>
                    </w:rPr>
                  </w:pPr>
                </w:p>
              </w:tc>
              <w:tc>
                <w:tcPr>
                  <w:tcW w:w="681" w:type="pct"/>
                  <w:shd w:val="clear" w:color="auto" w:fill="auto"/>
                  <w:vAlign w:val="center"/>
                </w:tcPr>
                <w:p w14:paraId="40C84263">
                  <w:pPr>
                    <w:jc w:val="center"/>
                    <w:rPr>
                      <w:color w:val="auto"/>
                      <w:szCs w:val="21"/>
                    </w:rPr>
                  </w:pPr>
                  <w:r>
                    <w:rPr>
                      <w:color w:val="auto"/>
                      <w:szCs w:val="21"/>
                    </w:rPr>
                    <w:t>总氮</w:t>
                  </w:r>
                </w:p>
              </w:tc>
              <w:tc>
                <w:tcPr>
                  <w:tcW w:w="712" w:type="pct"/>
                  <w:shd w:val="clear" w:color="auto" w:fill="auto"/>
                  <w:vAlign w:val="center"/>
                </w:tcPr>
                <w:p w14:paraId="6FBBF98A">
                  <w:pPr>
                    <w:jc w:val="center"/>
                    <w:rPr>
                      <w:color w:val="auto"/>
                      <w:szCs w:val="21"/>
                    </w:rPr>
                  </w:pPr>
                  <w:r>
                    <w:rPr>
                      <w:color w:val="auto"/>
                      <w:szCs w:val="21"/>
                    </w:rPr>
                    <w:t>35</w:t>
                  </w:r>
                </w:p>
              </w:tc>
              <w:tc>
                <w:tcPr>
                  <w:tcW w:w="833" w:type="pct"/>
                  <w:shd w:val="clear" w:color="auto" w:fill="auto"/>
                  <w:vAlign w:val="center"/>
                </w:tcPr>
                <w:p w14:paraId="26967C30">
                  <w:pPr>
                    <w:jc w:val="center"/>
                    <w:rPr>
                      <w:rFonts w:eastAsia="等线"/>
                      <w:color w:val="auto"/>
                      <w:szCs w:val="21"/>
                    </w:rPr>
                  </w:pPr>
                  <w:r>
                    <w:rPr>
                      <w:rFonts w:eastAsia="等线"/>
                      <w:color w:val="auto"/>
                      <w:szCs w:val="21"/>
                    </w:rPr>
                    <w:t>0.08925</w:t>
                  </w:r>
                </w:p>
              </w:tc>
              <w:tc>
                <w:tcPr>
                  <w:tcW w:w="898" w:type="pct"/>
                  <w:vMerge w:val="continue"/>
                  <w:vAlign w:val="center"/>
                </w:tcPr>
                <w:p w14:paraId="067135EA">
                  <w:pPr>
                    <w:jc w:val="center"/>
                    <w:rPr>
                      <w:color w:val="auto"/>
                      <w:szCs w:val="21"/>
                    </w:rPr>
                  </w:pPr>
                </w:p>
              </w:tc>
            </w:tr>
            <w:tr w14:paraId="30C80D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7" w:type="pct"/>
                  <w:vMerge w:val="continue"/>
                  <w:shd w:val="clear" w:color="auto" w:fill="auto"/>
                  <w:vAlign w:val="center"/>
                </w:tcPr>
                <w:p w14:paraId="705D256E">
                  <w:pPr>
                    <w:jc w:val="center"/>
                    <w:rPr>
                      <w:color w:val="auto"/>
                      <w:szCs w:val="21"/>
                    </w:rPr>
                  </w:pPr>
                </w:p>
              </w:tc>
              <w:tc>
                <w:tcPr>
                  <w:tcW w:w="569" w:type="pct"/>
                  <w:vMerge w:val="continue"/>
                  <w:shd w:val="clear" w:color="auto" w:fill="auto"/>
                  <w:vAlign w:val="center"/>
                </w:tcPr>
                <w:p w14:paraId="381EC17F">
                  <w:pPr>
                    <w:jc w:val="center"/>
                    <w:rPr>
                      <w:color w:val="auto"/>
                      <w:szCs w:val="21"/>
                    </w:rPr>
                  </w:pPr>
                </w:p>
              </w:tc>
              <w:tc>
                <w:tcPr>
                  <w:tcW w:w="607" w:type="pct"/>
                  <w:vMerge w:val="continue"/>
                  <w:shd w:val="clear" w:color="auto" w:fill="auto"/>
                  <w:vAlign w:val="center"/>
                </w:tcPr>
                <w:p w14:paraId="4B81DD08">
                  <w:pPr>
                    <w:jc w:val="center"/>
                    <w:rPr>
                      <w:color w:val="auto"/>
                      <w:szCs w:val="21"/>
                    </w:rPr>
                  </w:pPr>
                </w:p>
              </w:tc>
              <w:tc>
                <w:tcPr>
                  <w:tcW w:w="681" w:type="pct"/>
                  <w:shd w:val="clear" w:color="auto" w:fill="auto"/>
                  <w:vAlign w:val="center"/>
                </w:tcPr>
                <w:p w14:paraId="7CACD5B8">
                  <w:pPr>
                    <w:jc w:val="center"/>
                    <w:rPr>
                      <w:color w:val="auto"/>
                      <w:szCs w:val="21"/>
                    </w:rPr>
                  </w:pPr>
                  <w:r>
                    <w:rPr>
                      <w:color w:val="auto"/>
                      <w:szCs w:val="21"/>
                    </w:rPr>
                    <w:t>总磷</w:t>
                  </w:r>
                </w:p>
              </w:tc>
              <w:tc>
                <w:tcPr>
                  <w:tcW w:w="712" w:type="pct"/>
                  <w:shd w:val="clear" w:color="auto" w:fill="auto"/>
                  <w:vAlign w:val="center"/>
                </w:tcPr>
                <w:p w14:paraId="357B9DB7">
                  <w:pPr>
                    <w:jc w:val="center"/>
                    <w:rPr>
                      <w:color w:val="auto"/>
                      <w:szCs w:val="21"/>
                    </w:rPr>
                  </w:pPr>
                  <w:r>
                    <w:rPr>
                      <w:color w:val="auto"/>
                      <w:szCs w:val="21"/>
                    </w:rPr>
                    <w:t>5</w:t>
                  </w:r>
                </w:p>
              </w:tc>
              <w:tc>
                <w:tcPr>
                  <w:tcW w:w="833" w:type="pct"/>
                  <w:shd w:val="clear" w:color="auto" w:fill="auto"/>
                  <w:vAlign w:val="center"/>
                </w:tcPr>
                <w:p w14:paraId="6CB23148">
                  <w:pPr>
                    <w:jc w:val="center"/>
                    <w:rPr>
                      <w:rFonts w:eastAsia="等线"/>
                      <w:color w:val="auto"/>
                      <w:szCs w:val="21"/>
                    </w:rPr>
                  </w:pPr>
                  <w:r>
                    <w:rPr>
                      <w:rFonts w:eastAsia="等线"/>
                      <w:color w:val="auto"/>
                      <w:szCs w:val="21"/>
                    </w:rPr>
                    <w:t>0.01275</w:t>
                  </w:r>
                </w:p>
              </w:tc>
              <w:tc>
                <w:tcPr>
                  <w:tcW w:w="898" w:type="pct"/>
                  <w:vMerge w:val="continue"/>
                  <w:vAlign w:val="center"/>
                </w:tcPr>
                <w:p w14:paraId="07045BA0">
                  <w:pPr>
                    <w:jc w:val="center"/>
                    <w:rPr>
                      <w:color w:val="auto"/>
                      <w:szCs w:val="21"/>
                    </w:rPr>
                  </w:pPr>
                </w:p>
              </w:tc>
            </w:tr>
            <w:tr w14:paraId="53B541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7" w:type="pct"/>
                  <w:vMerge w:val="continue"/>
                  <w:shd w:val="clear" w:color="auto" w:fill="auto"/>
                  <w:vAlign w:val="center"/>
                </w:tcPr>
                <w:p w14:paraId="7B74438F">
                  <w:pPr>
                    <w:jc w:val="center"/>
                    <w:rPr>
                      <w:color w:val="auto"/>
                      <w:szCs w:val="21"/>
                    </w:rPr>
                  </w:pPr>
                </w:p>
              </w:tc>
              <w:tc>
                <w:tcPr>
                  <w:tcW w:w="569" w:type="pct"/>
                  <w:vMerge w:val="continue"/>
                  <w:shd w:val="clear" w:color="auto" w:fill="auto"/>
                  <w:vAlign w:val="center"/>
                </w:tcPr>
                <w:p w14:paraId="2607CAE9">
                  <w:pPr>
                    <w:jc w:val="center"/>
                    <w:rPr>
                      <w:color w:val="auto"/>
                      <w:szCs w:val="21"/>
                    </w:rPr>
                  </w:pPr>
                </w:p>
              </w:tc>
              <w:tc>
                <w:tcPr>
                  <w:tcW w:w="607" w:type="pct"/>
                  <w:vMerge w:val="continue"/>
                  <w:shd w:val="clear" w:color="auto" w:fill="auto"/>
                  <w:vAlign w:val="center"/>
                </w:tcPr>
                <w:p w14:paraId="58E6A465">
                  <w:pPr>
                    <w:jc w:val="center"/>
                    <w:rPr>
                      <w:color w:val="auto"/>
                      <w:szCs w:val="21"/>
                    </w:rPr>
                  </w:pPr>
                </w:p>
              </w:tc>
              <w:tc>
                <w:tcPr>
                  <w:tcW w:w="681" w:type="pct"/>
                  <w:shd w:val="clear" w:color="auto" w:fill="auto"/>
                  <w:vAlign w:val="center"/>
                </w:tcPr>
                <w:p w14:paraId="61B4AFB6">
                  <w:pPr>
                    <w:jc w:val="center"/>
                    <w:rPr>
                      <w:rFonts w:hint="default" w:eastAsia="宋体"/>
                      <w:color w:val="auto"/>
                      <w:szCs w:val="21"/>
                      <w:lang w:val="en-US" w:eastAsia="zh-CN"/>
                    </w:rPr>
                  </w:pPr>
                  <w:r>
                    <w:rPr>
                      <w:rFonts w:hint="eastAsia"/>
                      <w:color w:val="auto"/>
                      <w:szCs w:val="21"/>
                      <w:lang w:val="en-US" w:eastAsia="zh-CN"/>
                    </w:rPr>
                    <w:t>LAS</w:t>
                  </w:r>
                </w:p>
              </w:tc>
              <w:tc>
                <w:tcPr>
                  <w:tcW w:w="712" w:type="pct"/>
                  <w:shd w:val="clear" w:color="auto" w:fill="auto"/>
                  <w:vAlign w:val="center"/>
                </w:tcPr>
                <w:p w14:paraId="260B01EA">
                  <w:pPr>
                    <w:jc w:val="center"/>
                    <w:rPr>
                      <w:color w:val="auto"/>
                      <w:szCs w:val="21"/>
                    </w:rPr>
                  </w:pPr>
                  <w:r>
                    <w:rPr>
                      <w:rFonts w:hint="eastAsia"/>
                      <w:color w:val="auto"/>
                      <w:szCs w:val="21"/>
                    </w:rPr>
                    <w:t>3</w:t>
                  </w:r>
                  <w:r>
                    <w:rPr>
                      <w:color w:val="auto"/>
                      <w:szCs w:val="21"/>
                    </w:rPr>
                    <w:t>00</w:t>
                  </w:r>
                </w:p>
              </w:tc>
              <w:tc>
                <w:tcPr>
                  <w:tcW w:w="833" w:type="pct"/>
                  <w:shd w:val="clear" w:color="auto" w:fill="auto"/>
                  <w:vAlign w:val="center"/>
                </w:tcPr>
                <w:p w14:paraId="0103CB4D">
                  <w:pPr>
                    <w:jc w:val="center"/>
                    <w:rPr>
                      <w:rFonts w:eastAsia="等线"/>
                      <w:color w:val="auto"/>
                      <w:szCs w:val="21"/>
                    </w:rPr>
                  </w:pPr>
                  <w:r>
                    <w:rPr>
                      <w:rFonts w:eastAsia="等线"/>
                      <w:color w:val="auto"/>
                      <w:szCs w:val="21"/>
                    </w:rPr>
                    <w:t>0.0072</w:t>
                  </w:r>
                </w:p>
              </w:tc>
              <w:tc>
                <w:tcPr>
                  <w:tcW w:w="898" w:type="pct"/>
                  <w:vMerge w:val="continue"/>
                  <w:vAlign w:val="center"/>
                </w:tcPr>
                <w:p w14:paraId="385130F9">
                  <w:pPr>
                    <w:jc w:val="center"/>
                    <w:rPr>
                      <w:color w:val="auto"/>
                      <w:szCs w:val="21"/>
                    </w:rPr>
                  </w:pPr>
                </w:p>
              </w:tc>
            </w:tr>
          </w:tbl>
          <w:p w14:paraId="7141C310">
            <w:pPr>
              <w:widowControl/>
              <w:autoSpaceDE w:val="0"/>
              <w:autoSpaceDN w:val="0"/>
              <w:adjustRightInd w:val="0"/>
              <w:snapToGrid w:val="0"/>
              <w:spacing w:line="360" w:lineRule="auto"/>
              <w:ind w:firstLine="440" w:firstLineChars="200"/>
              <w:jc w:val="left"/>
              <w:rPr>
                <w:rFonts w:hint="eastAsia" w:eastAsia="宋体"/>
                <w:color w:val="auto"/>
                <w:sz w:val="24"/>
                <w:lang w:eastAsia="zh-CN"/>
              </w:rPr>
            </w:pPr>
            <w:r>
              <w:rPr>
                <w:bCs/>
                <w:color w:val="auto"/>
                <w:spacing w:val="-10"/>
                <w:sz w:val="24"/>
                <w:szCs w:val="21"/>
              </w:rPr>
              <w:t>本项目</w:t>
            </w:r>
            <w:r>
              <w:rPr>
                <w:rFonts w:hint="eastAsia"/>
                <w:bCs/>
                <w:color w:val="auto"/>
                <w:spacing w:val="-10"/>
                <w:sz w:val="24"/>
                <w:szCs w:val="21"/>
                <w:lang w:eastAsia="zh-CN"/>
              </w:rPr>
              <w:t>综合废水</w:t>
            </w:r>
            <w:r>
              <w:rPr>
                <w:color w:val="auto"/>
                <w:sz w:val="24"/>
              </w:rPr>
              <w:t>污染源源强核算结果详见表4-</w:t>
            </w:r>
            <w:r>
              <w:rPr>
                <w:rFonts w:hint="eastAsia"/>
                <w:color w:val="auto"/>
                <w:sz w:val="24"/>
                <w:lang w:val="en-US" w:eastAsia="zh-CN"/>
              </w:rPr>
              <w:t>11</w:t>
            </w:r>
            <w:r>
              <w:rPr>
                <w:color w:val="auto"/>
                <w:sz w:val="24"/>
              </w:rPr>
              <w:t>，</w:t>
            </w:r>
            <w:r>
              <w:rPr>
                <w:rFonts w:hint="eastAsia"/>
                <w:color w:val="auto"/>
                <w:sz w:val="24"/>
              </w:rPr>
              <w:t>涟水经济开发区西区污水处理厂</w:t>
            </w:r>
            <w:r>
              <w:rPr>
                <w:color w:val="auto"/>
                <w:sz w:val="24"/>
              </w:rPr>
              <w:t>水污染源源强核算详见表4-1</w:t>
            </w:r>
            <w:r>
              <w:rPr>
                <w:rFonts w:hint="eastAsia"/>
                <w:color w:val="auto"/>
                <w:sz w:val="24"/>
                <w:lang w:val="en-US" w:eastAsia="zh-CN"/>
              </w:rPr>
              <w:t>2</w:t>
            </w:r>
            <w:r>
              <w:rPr>
                <w:color w:val="auto"/>
                <w:sz w:val="24"/>
              </w:rPr>
              <w:t>，</w:t>
            </w:r>
            <w:r>
              <w:rPr>
                <w:rFonts w:hint="eastAsia"/>
                <w:color w:val="auto"/>
                <w:sz w:val="24"/>
                <w:lang w:val="en-US" w:eastAsia="zh-CN"/>
              </w:rPr>
              <w:t>扩建后全厂项目</w:t>
            </w:r>
            <w:r>
              <w:rPr>
                <w:color w:val="auto"/>
                <w:sz w:val="24"/>
              </w:rPr>
              <w:t>废水污染源源强核算结果及相关参数一览表</w:t>
            </w:r>
            <w:r>
              <w:rPr>
                <w:rFonts w:hint="eastAsia"/>
                <w:color w:val="auto"/>
                <w:sz w:val="24"/>
                <w:lang w:eastAsia="zh-CN"/>
              </w:rPr>
              <w:t>见表</w:t>
            </w:r>
            <w:r>
              <w:rPr>
                <w:rFonts w:hint="eastAsia"/>
                <w:color w:val="auto"/>
                <w:sz w:val="24"/>
                <w:lang w:val="en-US" w:eastAsia="zh-CN"/>
              </w:rPr>
              <w:t>4-13，</w:t>
            </w:r>
            <w:r>
              <w:rPr>
                <w:color w:val="auto"/>
                <w:sz w:val="24"/>
              </w:rPr>
              <w:t>废水排放口基本情况见表4-</w:t>
            </w:r>
            <w:r>
              <w:rPr>
                <w:rFonts w:hint="eastAsia"/>
                <w:color w:val="auto"/>
                <w:sz w:val="24"/>
                <w:lang w:val="en-US" w:eastAsia="zh-CN"/>
              </w:rPr>
              <w:t>14</w:t>
            </w:r>
            <w:r>
              <w:rPr>
                <w:color w:val="auto"/>
                <w:sz w:val="24"/>
              </w:rPr>
              <w:t>。</w:t>
            </w:r>
            <w:r>
              <w:rPr>
                <w:rFonts w:hint="eastAsia"/>
                <w:color w:val="auto"/>
                <w:sz w:val="24"/>
                <w:lang w:eastAsia="zh-CN"/>
              </w:rPr>
              <w:t>综合废水源强</w:t>
            </w:r>
          </w:p>
          <w:p w14:paraId="1C669B12">
            <w:pPr>
              <w:spacing w:before="120" w:beforeLines="50"/>
              <w:ind w:firstLine="482" w:firstLineChars="200"/>
              <w:jc w:val="center"/>
              <w:rPr>
                <w:b/>
                <w:color w:val="auto"/>
                <w:sz w:val="24"/>
              </w:rPr>
            </w:pPr>
            <w:r>
              <w:rPr>
                <w:b/>
                <w:color w:val="auto"/>
                <w:sz w:val="24"/>
              </w:rPr>
              <w:t>表4-</w:t>
            </w:r>
            <w:r>
              <w:rPr>
                <w:rFonts w:hint="eastAsia"/>
                <w:b/>
                <w:color w:val="auto"/>
                <w:sz w:val="24"/>
                <w:lang w:val="en-US" w:eastAsia="zh-CN"/>
              </w:rPr>
              <w:t>11</w:t>
            </w:r>
            <w:r>
              <w:rPr>
                <w:b/>
                <w:color w:val="auto"/>
                <w:sz w:val="24"/>
              </w:rPr>
              <w:t xml:space="preserve"> 废水污染源源强核算结果及相关参数一览表（pH为无量常纲）</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17"/>
              <w:gridCol w:w="436"/>
              <w:gridCol w:w="809"/>
              <w:gridCol w:w="371"/>
              <w:gridCol w:w="485"/>
              <w:gridCol w:w="766"/>
              <w:gridCol w:w="734"/>
              <w:gridCol w:w="795"/>
              <w:gridCol w:w="870"/>
              <w:gridCol w:w="270"/>
              <w:gridCol w:w="559"/>
              <w:gridCol w:w="860"/>
              <w:gridCol w:w="688"/>
              <w:gridCol w:w="368"/>
            </w:tblGrid>
            <w:tr w14:paraId="0927CA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3" w:type="pct"/>
                  <w:vMerge w:val="restart"/>
                  <w:tcBorders>
                    <w:top w:val="single" w:color="auto" w:sz="12" w:space="0"/>
                    <w:bottom w:val="single" w:color="auto" w:sz="4" w:space="0"/>
                  </w:tcBorders>
                  <w:shd w:val="clear" w:color="auto" w:fill="auto"/>
                  <w:vAlign w:val="center"/>
                </w:tcPr>
                <w:p w14:paraId="5F8312D1">
                  <w:pPr>
                    <w:adjustRightInd w:val="0"/>
                    <w:snapToGrid w:val="0"/>
                    <w:jc w:val="center"/>
                    <w:rPr>
                      <w:b/>
                      <w:color w:val="auto"/>
                      <w:sz w:val="18"/>
                      <w:szCs w:val="18"/>
                    </w:rPr>
                  </w:pPr>
                  <w:r>
                    <w:rPr>
                      <w:b/>
                      <w:color w:val="auto"/>
                      <w:sz w:val="18"/>
                      <w:szCs w:val="18"/>
                    </w:rPr>
                    <w:t>工序/生产线</w:t>
                  </w:r>
                </w:p>
              </w:tc>
              <w:tc>
                <w:tcPr>
                  <w:tcW w:w="255" w:type="pct"/>
                  <w:vMerge w:val="restart"/>
                  <w:tcBorders>
                    <w:top w:val="single" w:color="auto" w:sz="12" w:space="0"/>
                    <w:bottom w:val="single" w:color="auto" w:sz="4" w:space="0"/>
                  </w:tcBorders>
                  <w:shd w:val="clear" w:color="auto" w:fill="auto"/>
                  <w:vAlign w:val="center"/>
                </w:tcPr>
                <w:p w14:paraId="7759D7E7">
                  <w:pPr>
                    <w:adjustRightInd w:val="0"/>
                    <w:snapToGrid w:val="0"/>
                    <w:jc w:val="center"/>
                    <w:rPr>
                      <w:b/>
                      <w:color w:val="auto"/>
                      <w:sz w:val="18"/>
                      <w:szCs w:val="18"/>
                    </w:rPr>
                  </w:pPr>
                  <w:r>
                    <w:rPr>
                      <w:b/>
                      <w:color w:val="auto"/>
                      <w:sz w:val="18"/>
                      <w:szCs w:val="18"/>
                    </w:rPr>
                    <w:t>污染源</w:t>
                  </w:r>
                </w:p>
              </w:tc>
              <w:tc>
                <w:tcPr>
                  <w:tcW w:w="474" w:type="pct"/>
                  <w:vMerge w:val="restart"/>
                  <w:tcBorders>
                    <w:top w:val="single" w:color="auto" w:sz="12" w:space="0"/>
                    <w:bottom w:val="single" w:color="auto" w:sz="4" w:space="0"/>
                  </w:tcBorders>
                  <w:shd w:val="clear" w:color="auto" w:fill="auto"/>
                  <w:vAlign w:val="center"/>
                </w:tcPr>
                <w:p w14:paraId="0231932F">
                  <w:pPr>
                    <w:adjustRightInd w:val="0"/>
                    <w:snapToGrid w:val="0"/>
                    <w:jc w:val="center"/>
                    <w:rPr>
                      <w:b/>
                      <w:color w:val="auto"/>
                      <w:sz w:val="18"/>
                      <w:szCs w:val="18"/>
                    </w:rPr>
                  </w:pPr>
                  <w:r>
                    <w:rPr>
                      <w:b/>
                      <w:color w:val="auto"/>
                      <w:sz w:val="18"/>
                      <w:szCs w:val="18"/>
                    </w:rPr>
                    <w:t>污染物</w:t>
                  </w:r>
                </w:p>
              </w:tc>
              <w:tc>
                <w:tcPr>
                  <w:tcW w:w="1381" w:type="pct"/>
                  <w:gridSpan w:val="4"/>
                  <w:tcBorders>
                    <w:top w:val="single" w:color="auto" w:sz="12" w:space="0"/>
                    <w:bottom w:val="single" w:color="auto" w:sz="4" w:space="0"/>
                  </w:tcBorders>
                  <w:shd w:val="clear" w:color="auto" w:fill="auto"/>
                  <w:vAlign w:val="center"/>
                </w:tcPr>
                <w:p w14:paraId="07723EF6">
                  <w:pPr>
                    <w:adjustRightInd w:val="0"/>
                    <w:snapToGrid w:val="0"/>
                    <w:jc w:val="center"/>
                    <w:rPr>
                      <w:b/>
                      <w:color w:val="auto"/>
                      <w:sz w:val="18"/>
                      <w:szCs w:val="18"/>
                    </w:rPr>
                  </w:pPr>
                  <w:r>
                    <w:rPr>
                      <w:b/>
                      <w:color w:val="auto"/>
                      <w:sz w:val="18"/>
                      <w:szCs w:val="18"/>
                    </w:rPr>
                    <w:t>污染物产生</w:t>
                  </w:r>
                </w:p>
              </w:tc>
              <w:tc>
                <w:tcPr>
                  <w:tcW w:w="976" w:type="pct"/>
                  <w:gridSpan w:val="2"/>
                  <w:tcBorders>
                    <w:top w:val="single" w:color="auto" w:sz="12" w:space="0"/>
                    <w:bottom w:val="single" w:color="auto" w:sz="4" w:space="0"/>
                  </w:tcBorders>
                  <w:shd w:val="clear" w:color="auto" w:fill="auto"/>
                  <w:vAlign w:val="center"/>
                </w:tcPr>
                <w:p w14:paraId="7A18357E">
                  <w:pPr>
                    <w:adjustRightInd w:val="0"/>
                    <w:snapToGrid w:val="0"/>
                    <w:jc w:val="center"/>
                    <w:rPr>
                      <w:b/>
                      <w:color w:val="auto"/>
                      <w:sz w:val="18"/>
                      <w:szCs w:val="18"/>
                    </w:rPr>
                  </w:pPr>
                  <w:r>
                    <w:rPr>
                      <w:b/>
                      <w:color w:val="auto"/>
                      <w:sz w:val="18"/>
                      <w:szCs w:val="18"/>
                    </w:rPr>
                    <w:t>治理措施</w:t>
                  </w:r>
                </w:p>
              </w:tc>
              <w:tc>
                <w:tcPr>
                  <w:tcW w:w="1393" w:type="pct"/>
                  <w:gridSpan w:val="4"/>
                  <w:tcBorders>
                    <w:top w:val="single" w:color="auto" w:sz="12" w:space="0"/>
                    <w:bottom w:val="single" w:color="auto" w:sz="4" w:space="0"/>
                  </w:tcBorders>
                  <w:shd w:val="clear" w:color="auto" w:fill="auto"/>
                  <w:vAlign w:val="center"/>
                </w:tcPr>
                <w:p w14:paraId="6DE4EDCF">
                  <w:pPr>
                    <w:adjustRightInd w:val="0"/>
                    <w:snapToGrid w:val="0"/>
                    <w:jc w:val="center"/>
                    <w:rPr>
                      <w:b/>
                      <w:color w:val="auto"/>
                      <w:sz w:val="18"/>
                      <w:szCs w:val="18"/>
                    </w:rPr>
                  </w:pPr>
                  <w:r>
                    <w:rPr>
                      <w:b/>
                      <w:color w:val="auto"/>
                      <w:sz w:val="18"/>
                      <w:szCs w:val="18"/>
                    </w:rPr>
                    <w:t>污染物排放</w:t>
                  </w:r>
                </w:p>
              </w:tc>
              <w:tc>
                <w:tcPr>
                  <w:tcW w:w="215" w:type="pct"/>
                  <w:vMerge w:val="restart"/>
                  <w:tcBorders>
                    <w:top w:val="single" w:color="auto" w:sz="12" w:space="0"/>
                    <w:bottom w:val="single" w:color="auto" w:sz="12" w:space="0"/>
                  </w:tcBorders>
                  <w:shd w:val="clear" w:color="auto" w:fill="auto"/>
                  <w:vAlign w:val="center"/>
                </w:tcPr>
                <w:p w14:paraId="54C2BEC8">
                  <w:pPr>
                    <w:adjustRightInd w:val="0"/>
                    <w:snapToGrid w:val="0"/>
                    <w:jc w:val="center"/>
                    <w:rPr>
                      <w:b/>
                      <w:color w:val="auto"/>
                      <w:sz w:val="18"/>
                      <w:szCs w:val="18"/>
                    </w:rPr>
                  </w:pPr>
                  <w:r>
                    <w:rPr>
                      <w:b/>
                      <w:color w:val="auto"/>
                      <w:sz w:val="18"/>
                      <w:szCs w:val="18"/>
                    </w:rPr>
                    <w:t>排放时间/h</w:t>
                  </w:r>
                </w:p>
              </w:tc>
            </w:tr>
            <w:tr w14:paraId="106B8F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3" w:type="pct"/>
                  <w:vMerge w:val="continue"/>
                  <w:tcBorders>
                    <w:top w:val="single" w:color="auto" w:sz="4" w:space="0"/>
                    <w:bottom w:val="single" w:color="auto" w:sz="4" w:space="0"/>
                  </w:tcBorders>
                  <w:shd w:val="clear" w:color="auto" w:fill="auto"/>
                  <w:vAlign w:val="center"/>
                </w:tcPr>
                <w:p w14:paraId="240A000D">
                  <w:pPr>
                    <w:adjustRightInd w:val="0"/>
                    <w:snapToGrid w:val="0"/>
                    <w:jc w:val="center"/>
                    <w:rPr>
                      <w:b/>
                      <w:color w:val="auto"/>
                      <w:sz w:val="18"/>
                      <w:szCs w:val="18"/>
                    </w:rPr>
                  </w:pPr>
                </w:p>
              </w:tc>
              <w:tc>
                <w:tcPr>
                  <w:tcW w:w="255" w:type="pct"/>
                  <w:vMerge w:val="continue"/>
                  <w:shd w:val="clear" w:color="auto" w:fill="auto"/>
                  <w:vAlign w:val="center"/>
                </w:tcPr>
                <w:p w14:paraId="21912194">
                  <w:pPr>
                    <w:adjustRightInd w:val="0"/>
                    <w:snapToGrid w:val="0"/>
                    <w:jc w:val="center"/>
                    <w:rPr>
                      <w:b/>
                      <w:color w:val="auto"/>
                      <w:sz w:val="18"/>
                      <w:szCs w:val="18"/>
                    </w:rPr>
                  </w:pPr>
                </w:p>
              </w:tc>
              <w:tc>
                <w:tcPr>
                  <w:tcW w:w="474" w:type="pct"/>
                  <w:vMerge w:val="continue"/>
                  <w:tcBorders>
                    <w:top w:val="single" w:color="auto" w:sz="4" w:space="0"/>
                    <w:bottom w:val="single" w:color="auto" w:sz="4" w:space="0"/>
                  </w:tcBorders>
                  <w:shd w:val="clear" w:color="auto" w:fill="auto"/>
                  <w:vAlign w:val="center"/>
                </w:tcPr>
                <w:p w14:paraId="25F7AEBE">
                  <w:pPr>
                    <w:adjustRightInd w:val="0"/>
                    <w:snapToGrid w:val="0"/>
                    <w:jc w:val="center"/>
                    <w:rPr>
                      <w:b/>
                      <w:color w:val="auto"/>
                      <w:sz w:val="18"/>
                      <w:szCs w:val="18"/>
                    </w:rPr>
                  </w:pPr>
                </w:p>
              </w:tc>
              <w:tc>
                <w:tcPr>
                  <w:tcW w:w="217" w:type="pct"/>
                  <w:tcBorders>
                    <w:top w:val="single" w:color="auto" w:sz="4" w:space="0"/>
                    <w:bottom w:val="single" w:color="auto" w:sz="4" w:space="0"/>
                  </w:tcBorders>
                  <w:shd w:val="clear" w:color="auto" w:fill="auto"/>
                  <w:vAlign w:val="center"/>
                </w:tcPr>
                <w:p w14:paraId="21381A47">
                  <w:pPr>
                    <w:adjustRightInd w:val="0"/>
                    <w:snapToGrid w:val="0"/>
                    <w:jc w:val="center"/>
                    <w:rPr>
                      <w:b/>
                      <w:color w:val="auto"/>
                      <w:sz w:val="18"/>
                      <w:szCs w:val="18"/>
                    </w:rPr>
                  </w:pPr>
                  <w:r>
                    <w:rPr>
                      <w:b/>
                      <w:color w:val="auto"/>
                      <w:sz w:val="18"/>
                      <w:szCs w:val="18"/>
                    </w:rPr>
                    <w:t>核算方法</w:t>
                  </w:r>
                </w:p>
              </w:tc>
              <w:tc>
                <w:tcPr>
                  <w:tcW w:w="284" w:type="pct"/>
                  <w:tcBorders>
                    <w:top w:val="single" w:color="auto" w:sz="4" w:space="0"/>
                    <w:bottom w:val="single" w:color="auto" w:sz="4" w:space="0"/>
                  </w:tcBorders>
                  <w:shd w:val="clear" w:color="auto" w:fill="auto"/>
                  <w:vAlign w:val="center"/>
                </w:tcPr>
                <w:p w14:paraId="581E64BF">
                  <w:pPr>
                    <w:adjustRightInd w:val="0"/>
                    <w:snapToGrid w:val="0"/>
                    <w:jc w:val="center"/>
                    <w:rPr>
                      <w:b/>
                      <w:color w:val="auto"/>
                      <w:sz w:val="18"/>
                      <w:szCs w:val="18"/>
                    </w:rPr>
                  </w:pPr>
                  <w:r>
                    <w:rPr>
                      <w:b/>
                      <w:color w:val="auto"/>
                      <w:sz w:val="18"/>
                      <w:szCs w:val="18"/>
                    </w:rPr>
                    <w:t>产生废水量（t/a）</w:t>
                  </w:r>
                </w:p>
              </w:tc>
              <w:tc>
                <w:tcPr>
                  <w:tcW w:w="449" w:type="pct"/>
                  <w:tcBorders>
                    <w:top w:val="single" w:color="auto" w:sz="4" w:space="0"/>
                    <w:bottom w:val="single" w:color="auto" w:sz="4" w:space="0"/>
                  </w:tcBorders>
                  <w:shd w:val="clear" w:color="auto" w:fill="auto"/>
                  <w:vAlign w:val="center"/>
                </w:tcPr>
                <w:p w14:paraId="16E795F2">
                  <w:pPr>
                    <w:adjustRightInd w:val="0"/>
                    <w:snapToGrid w:val="0"/>
                    <w:jc w:val="center"/>
                    <w:rPr>
                      <w:b/>
                      <w:color w:val="auto"/>
                      <w:sz w:val="18"/>
                      <w:szCs w:val="18"/>
                    </w:rPr>
                  </w:pPr>
                  <w:r>
                    <w:rPr>
                      <w:b/>
                      <w:color w:val="auto"/>
                      <w:sz w:val="18"/>
                      <w:szCs w:val="18"/>
                    </w:rPr>
                    <w:t>产生浓度/（mg/L）</w:t>
                  </w:r>
                </w:p>
              </w:tc>
              <w:tc>
                <w:tcPr>
                  <w:tcW w:w="430" w:type="pct"/>
                  <w:tcBorders>
                    <w:top w:val="single" w:color="auto" w:sz="4" w:space="0"/>
                    <w:bottom w:val="single" w:color="auto" w:sz="4" w:space="0"/>
                  </w:tcBorders>
                  <w:shd w:val="clear" w:color="auto" w:fill="auto"/>
                  <w:vAlign w:val="center"/>
                </w:tcPr>
                <w:p w14:paraId="4F37E06D">
                  <w:pPr>
                    <w:adjustRightInd w:val="0"/>
                    <w:snapToGrid w:val="0"/>
                    <w:jc w:val="center"/>
                    <w:rPr>
                      <w:b/>
                      <w:color w:val="auto"/>
                      <w:sz w:val="18"/>
                      <w:szCs w:val="18"/>
                    </w:rPr>
                  </w:pPr>
                  <w:r>
                    <w:rPr>
                      <w:b/>
                      <w:color w:val="auto"/>
                      <w:sz w:val="18"/>
                      <w:szCs w:val="18"/>
                    </w:rPr>
                    <w:t>产生量/（t/a）</w:t>
                  </w:r>
                </w:p>
              </w:tc>
              <w:tc>
                <w:tcPr>
                  <w:tcW w:w="466" w:type="pct"/>
                  <w:tcBorders>
                    <w:top w:val="single" w:color="auto" w:sz="4" w:space="0"/>
                    <w:bottom w:val="single" w:color="auto" w:sz="4" w:space="0"/>
                  </w:tcBorders>
                  <w:shd w:val="clear" w:color="auto" w:fill="auto"/>
                  <w:vAlign w:val="center"/>
                </w:tcPr>
                <w:p w14:paraId="004AC270">
                  <w:pPr>
                    <w:adjustRightInd w:val="0"/>
                    <w:snapToGrid w:val="0"/>
                    <w:jc w:val="center"/>
                    <w:rPr>
                      <w:b/>
                      <w:color w:val="auto"/>
                      <w:sz w:val="18"/>
                      <w:szCs w:val="18"/>
                    </w:rPr>
                  </w:pPr>
                  <w:r>
                    <w:rPr>
                      <w:b/>
                      <w:color w:val="auto"/>
                      <w:sz w:val="18"/>
                      <w:szCs w:val="18"/>
                    </w:rPr>
                    <w:t>工艺</w:t>
                  </w:r>
                </w:p>
              </w:tc>
              <w:tc>
                <w:tcPr>
                  <w:tcW w:w="510" w:type="pct"/>
                  <w:tcBorders>
                    <w:top w:val="single" w:color="auto" w:sz="4" w:space="0"/>
                    <w:bottom w:val="single" w:color="auto" w:sz="4" w:space="0"/>
                  </w:tcBorders>
                  <w:shd w:val="clear" w:color="auto" w:fill="auto"/>
                  <w:vAlign w:val="center"/>
                </w:tcPr>
                <w:p w14:paraId="13736546">
                  <w:pPr>
                    <w:adjustRightInd w:val="0"/>
                    <w:snapToGrid w:val="0"/>
                    <w:jc w:val="center"/>
                    <w:rPr>
                      <w:b/>
                      <w:color w:val="auto"/>
                      <w:sz w:val="18"/>
                      <w:szCs w:val="18"/>
                    </w:rPr>
                  </w:pPr>
                  <w:r>
                    <w:rPr>
                      <w:b/>
                      <w:color w:val="auto"/>
                      <w:sz w:val="18"/>
                      <w:szCs w:val="18"/>
                    </w:rPr>
                    <w:t>效率%</w:t>
                  </w:r>
                </w:p>
              </w:tc>
              <w:tc>
                <w:tcPr>
                  <w:tcW w:w="158" w:type="pct"/>
                  <w:tcBorders>
                    <w:top w:val="single" w:color="auto" w:sz="4" w:space="0"/>
                    <w:bottom w:val="single" w:color="auto" w:sz="4" w:space="0"/>
                  </w:tcBorders>
                  <w:shd w:val="clear" w:color="auto" w:fill="auto"/>
                  <w:vAlign w:val="center"/>
                </w:tcPr>
                <w:p w14:paraId="1A3B0D58">
                  <w:pPr>
                    <w:adjustRightInd w:val="0"/>
                    <w:snapToGrid w:val="0"/>
                    <w:jc w:val="center"/>
                    <w:rPr>
                      <w:b/>
                      <w:color w:val="auto"/>
                      <w:sz w:val="18"/>
                      <w:szCs w:val="18"/>
                    </w:rPr>
                  </w:pPr>
                  <w:r>
                    <w:rPr>
                      <w:b/>
                      <w:color w:val="auto"/>
                      <w:sz w:val="18"/>
                      <w:szCs w:val="18"/>
                    </w:rPr>
                    <w:t>核算方法</w:t>
                  </w:r>
                </w:p>
              </w:tc>
              <w:tc>
                <w:tcPr>
                  <w:tcW w:w="327" w:type="pct"/>
                  <w:tcBorders>
                    <w:top w:val="single" w:color="auto" w:sz="4" w:space="0"/>
                    <w:bottom w:val="single" w:color="auto" w:sz="4" w:space="0"/>
                  </w:tcBorders>
                  <w:shd w:val="clear" w:color="auto" w:fill="auto"/>
                  <w:vAlign w:val="center"/>
                </w:tcPr>
                <w:p w14:paraId="4A688570">
                  <w:pPr>
                    <w:adjustRightInd w:val="0"/>
                    <w:snapToGrid w:val="0"/>
                    <w:jc w:val="center"/>
                    <w:rPr>
                      <w:b/>
                      <w:color w:val="auto"/>
                      <w:sz w:val="18"/>
                      <w:szCs w:val="18"/>
                    </w:rPr>
                  </w:pPr>
                  <w:r>
                    <w:rPr>
                      <w:b/>
                      <w:color w:val="auto"/>
                      <w:sz w:val="18"/>
                      <w:szCs w:val="18"/>
                    </w:rPr>
                    <w:t>排放废水量（t/a）</w:t>
                  </w:r>
                </w:p>
              </w:tc>
              <w:tc>
                <w:tcPr>
                  <w:tcW w:w="504" w:type="pct"/>
                  <w:tcBorders>
                    <w:top w:val="single" w:color="auto" w:sz="4" w:space="0"/>
                    <w:bottom w:val="single" w:color="auto" w:sz="4" w:space="0"/>
                  </w:tcBorders>
                  <w:shd w:val="clear" w:color="auto" w:fill="auto"/>
                  <w:vAlign w:val="center"/>
                </w:tcPr>
                <w:p w14:paraId="3CED1D03">
                  <w:pPr>
                    <w:adjustRightInd w:val="0"/>
                    <w:snapToGrid w:val="0"/>
                    <w:jc w:val="center"/>
                    <w:rPr>
                      <w:b/>
                      <w:color w:val="auto"/>
                      <w:sz w:val="18"/>
                      <w:szCs w:val="18"/>
                    </w:rPr>
                  </w:pPr>
                  <w:r>
                    <w:rPr>
                      <w:b/>
                      <w:color w:val="auto"/>
                      <w:sz w:val="18"/>
                      <w:szCs w:val="18"/>
                    </w:rPr>
                    <w:t>排放浓度（mg/L）</w:t>
                  </w:r>
                </w:p>
              </w:tc>
              <w:tc>
                <w:tcPr>
                  <w:tcW w:w="403" w:type="pct"/>
                  <w:tcBorders>
                    <w:top w:val="single" w:color="auto" w:sz="4" w:space="0"/>
                    <w:bottom w:val="single" w:color="auto" w:sz="4" w:space="0"/>
                  </w:tcBorders>
                  <w:shd w:val="clear" w:color="auto" w:fill="auto"/>
                  <w:vAlign w:val="center"/>
                </w:tcPr>
                <w:p w14:paraId="2EFB8868">
                  <w:pPr>
                    <w:adjustRightInd w:val="0"/>
                    <w:snapToGrid w:val="0"/>
                    <w:jc w:val="center"/>
                    <w:rPr>
                      <w:b/>
                      <w:color w:val="auto"/>
                      <w:sz w:val="18"/>
                      <w:szCs w:val="18"/>
                    </w:rPr>
                  </w:pPr>
                  <w:r>
                    <w:rPr>
                      <w:b/>
                      <w:color w:val="auto"/>
                      <w:sz w:val="18"/>
                      <w:szCs w:val="18"/>
                    </w:rPr>
                    <w:t>排放量（t/a）</w:t>
                  </w:r>
                </w:p>
              </w:tc>
              <w:tc>
                <w:tcPr>
                  <w:tcW w:w="215" w:type="pct"/>
                  <w:vMerge w:val="continue"/>
                  <w:tcBorders>
                    <w:top w:val="single" w:color="auto" w:sz="4" w:space="0"/>
                    <w:bottom w:val="single" w:color="auto" w:sz="4" w:space="0"/>
                  </w:tcBorders>
                  <w:shd w:val="clear" w:color="auto" w:fill="auto"/>
                  <w:vAlign w:val="center"/>
                </w:tcPr>
                <w:p w14:paraId="25014407">
                  <w:pPr>
                    <w:adjustRightInd w:val="0"/>
                    <w:snapToGrid w:val="0"/>
                    <w:jc w:val="center"/>
                    <w:rPr>
                      <w:color w:val="auto"/>
                      <w:sz w:val="18"/>
                      <w:szCs w:val="18"/>
                    </w:rPr>
                  </w:pPr>
                </w:p>
              </w:tc>
            </w:tr>
            <w:tr w14:paraId="47307C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3" w:type="pct"/>
                  <w:vMerge w:val="restart"/>
                  <w:tcBorders>
                    <w:top w:val="single" w:color="auto" w:sz="4" w:space="0"/>
                  </w:tcBorders>
                  <w:shd w:val="clear" w:color="auto" w:fill="auto"/>
                  <w:vAlign w:val="center"/>
                </w:tcPr>
                <w:p w14:paraId="1C2CB745">
                  <w:pPr>
                    <w:adjustRightInd w:val="0"/>
                    <w:snapToGrid w:val="0"/>
                    <w:jc w:val="center"/>
                    <w:rPr>
                      <w:color w:val="auto"/>
                      <w:sz w:val="18"/>
                      <w:szCs w:val="18"/>
                    </w:rPr>
                  </w:pPr>
                  <w:r>
                    <w:rPr>
                      <w:color w:val="auto"/>
                      <w:sz w:val="18"/>
                      <w:szCs w:val="18"/>
                    </w:rPr>
                    <w:t>综合废水（生产废水+生活污水）</w:t>
                  </w:r>
                </w:p>
              </w:tc>
              <w:tc>
                <w:tcPr>
                  <w:tcW w:w="255" w:type="pct"/>
                  <w:vMerge w:val="restart"/>
                  <w:shd w:val="clear" w:color="auto" w:fill="auto"/>
                  <w:vAlign w:val="center"/>
                </w:tcPr>
                <w:p w14:paraId="4AA1F6DE">
                  <w:pPr>
                    <w:adjustRightInd w:val="0"/>
                    <w:snapToGrid w:val="0"/>
                    <w:jc w:val="center"/>
                    <w:rPr>
                      <w:color w:val="auto"/>
                      <w:sz w:val="18"/>
                      <w:szCs w:val="18"/>
                    </w:rPr>
                  </w:pPr>
                  <w:r>
                    <w:rPr>
                      <w:color w:val="auto"/>
                      <w:sz w:val="18"/>
                      <w:szCs w:val="18"/>
                    </w:rPr>
                    <w:t>生产废水、冲洗废水、生活用水</w:t>
                  </w:r>
                </w:p>
              </w:tc>
              <w:tc>
                <w:tcPr>
                  <w:tcW w:w="474" w:type="pct"/>
                  <w:tcBorders>
                    <w:top w:val="single" w:color="auto" w:sz="4" w:space="0"/>
                    <w:bottom w:val="single" w:color="auto" w:sz="4" w:space="0"/>
                  </w:tcBorders>
                  <w:shd w:val="clear" w:color="auto" w:fill="auto"/>
                  <w:vAlign w:val="center"/>
                </w:tcPr>
                <w:p w14:paraId="077D6C70">
                  <w:pPr>
                    <w:adjustRightInd w:val="0"/>
                    <w:snapToGrid w:val="0"/>
                    <w:jc w:val="center"/>
                    <w:rPr>
                      <w:color w:val="auto"/>
                      <w:sz w:val="18"/>
                      <w:szCs w:val="18"/>
                    </w:rPr>
                  </w:pPr>
                  <w:r>
                    <w:rPr>
                      <w:color w:val="auto"/>
                      <w:sz w:val="18"/>
                      <w:szCs w:val="18"/>
                    </w:rPr>
                    <w:t>pH</w:t>
                  </w:r>
                </w:p>
              </w:tc>
              <w:tc>
                <w:tcPr>
                  <w:tcW w:w="217" w:type="pct"/>
                  <w:vMerge w:val="restart"/>
                  <w:tcBorders>
                    <w:top w:val="single" w:color="auto" w:sz="4" w:space="0"/>
                  </w:tcBorders>
                  <w:shd w:val="clear" w:color="auto" w:fill="auto"/>
                  <w:vAlign w:val="center"/>
                </w:tcPr>
                <w:p w14:paraId="6167338C">
                  <w:pPr>
                    <w:adjustRightInd w:val="0"/>
                    <w:snapToGrid w:val="0"/>
                    <w:jc w:val="center"/>
                    <w:rPr>
                      <w:color w:val="auto"/>
                      <w:sz w:val="18"/>
                      <w:szCs w:val="18"/>
                    </w:rPr>
                  </w:pPr>
                  <w:r>
                    <w:rPr>
                      <w:color w:val="auto"/>
                      <w:sz w:val="18"/>
                      <w:szCs w:val="18"/>
                    </w:rPr>
                    <w:t>系数法、类比法</w:t>
                  </w:r>
                </w:p>
              </w:tc>
              <w:tc>
                <w:tcPr>
                  <w:tcW w:w="284" w:type="pct"/>
                  <w:vMerge w:val="restart"/>
                  <w:tcBorders>
                    <w:top w:val="single" w:color="auto" w:sz="4" w:space="0"/>
                  </w:tcBorders>
                  <w:shd w:val="clear" w:color="auto" w:fill="auto"/>
                  <w:vAlign w:val="center"/>
                </w:tcPr>
                <w:p w14:paraId="73575194">
                  <w:pPr>
                    <w:jc w:val="center"/>
                    <w:rPr>
                      <w:rFonts w:hint="default"/>
                      <w:color w:val="auto"/>
                      <w:sz w:val="18"/>
                      <w:szCs w:val="18"/>
                      <w:lang w:val="en-US" w:eastAsia="zh-CN"/>
                    </w:rPr>
                  </w:pPr>
                  <w:r>
                    <w:rPr>
                      <w:rFonts w:hint="eastAsia"/>
                      <w:color w:val="auto"/>
                      <w:sz w:val="18"/>
                      <w:szCs w:val="18"/>
                      <w:lang w:val="en-US" w:eastAsia="zh-CN"/>
                    </w:rPr>
                    <w:t>148530</w:t>
                  </w:r>
                </w:p>
              </w:tc>
              <w:tc>
                <w:tcPr>
                  <w:tcW w:w="879" w:type="pct"/>
                  <w:gridSpan w:val="2"/>
                  <w:tcBorders>
                    <w:top w:val="single" w:color="auto" w:sz="4" w:space="0"/>
                    <w:bottom w:val="single" w:color="auto" w:sz="4" w:space="0"/>
                  </w:tcBorders>
                  <w:shd w:val="clear" w:color="auto" w:fill="auto"/>
                  <w:vAlign w:val="center"/>
                </w:tcPr>
                <w:p w14:paraId="10730200">
                  <w:pPr>
                    <w:jc w:val="center"/>
                    <w:rPr>
                      <w:rFonts w:hint="default" w:eastAsia="宋体"/>
                      <w:color w:val="auto"/>
                      <w:sz w:val="18"/>
                      <w:szCs w:val="18"/>
                      <w:lang w:val="en-US" w:eastAsia="zh-CN"/>
                    </w:rPr>
                  </w:pPr>
                  <w:r>
                    <w:rPr>
                      <w:rFonts w:hint="eastAsia"/>
                      <w:color w:val="auto"/>
                      <w:sz w:val="18"/>
                      <w:szCs w:val="18"/>
                      <w:lang w:val="en-US" w:eastAsia="zh-CN"/>
                    </w:rPr>
                    <w:t>7.2</w:t>
                  </w:r>
                </w:p>
              </w:tc>
              <w:tc>
                <w:tcPr>
                  <w:tcW w:w="466" w:type="pct"/>
                  <w:vMerge w:val="restart"/>
                  <w:tcBorders>
                    <w:top w:val="single" w:color="auto" w:sz="4" w:space="0"/>
                  </w:tcBorders>
                  <w:shd w:val="clear" w:color="auto" w:fill="auto"/>
                  <w:vAlign w:val="center"/>
                </w:tcPr>
                <w:p w14:paraId="39560EF9">
                  <w:pPr>
                    <w:adjustRightInd w:val="0"/>
                    <w:snapToGrid w:val="0"/>
                    <w:jc w:val="center"/>
                    <w:rPr>
                      <w:color w:val="auto"/>
                      <w:sz w:val="18"/>
                      <w:szCs w:val="18"/>
                    </w:rPr>
                  </w:pPr>
                  <w:r>
                    <w:rPr>
                      <w:color w:val="auto"/>
                      <w:sz w:val="18"/>
                      <w:szCs w:val="18"/>
                    </w:rPr>
                    <w:t>化粪池；隔油池；格栅+折流式沉淀池+调节池+混凝气浮池+水解酸化池+接触氧化池+二沉池</w:t>
                  </w:r>
                </w:p>
              </w:tc>
              <w:tc>
                <w:tcPr>
                  <w:tcW w:w="510" w:type="pct"/>
                  <w:tcBorders>
                    <w:top w:val="single" w:color="auto" w:sz="4" w:space="0"/>
                    <w:bottom w:val="single" w:color="auto" w:sz="4" w:space="0"/>
                  </w:tcBorders>
                  <w:shd w:val="clear" w:color="auto" w:fill="auto"/>
                  <w:vAlign w:val="center"/>
                </w:tcPr>
                <w:p w14:paraId="69B54AF7">
                  <w:pPr>
                    <w:adjustRightInd w:val="0"/>
                    <w:snapToGrid w:val="0"/>
                    <w:jc w:val="center"/>
                    <w:rPr>
                      <w:color w:val="auto"/>
                      <w:sz w:val="18"/>
                      <w:szCs w:val="18"/>
                    </w:rPr>
                  </w:pPr>
                  <w:r>
                    <w:rPr>
                      <w:color w:val="auto"/>
                      <w:sz w:val="18"/>
                      <w:szCs w:val="18"/>
                    </w:rPr>
                    <w:t>/</w:t>
                  </w:r>
                </w:p>
              </w:tc>
              <w:tc>
                <w:tcPr>
                  <w:tcW w:w="158" w:type="pct"/>
                  <w:vMerge w:val="restart"/>
                  <w:tcBorders>
                    <w:top w:val="single" w:color="auto" w:sz="4" w:space="0"/>
                  </w:tcBorders>
                  <w:shd w:val="clear" w:color="auto" w:fill="auto"/>
                  <w:vAlign w:val="center"/>
                </w:tcPr>
                <w:p w14:paraId="2D20A77D">
                  <w:pPr>
                    <w:adjustRightInd w:val="0"/>
                    <w:snapToGrid w:val="0"/>
                    <w:jc w:val="center"/>
                    <w:rPr>
                      <w:color w:val="auto"/>
                      <w:sz w:val="18"/>
                      <w:szCs w:val="18"/>
                    </w:rPr>
                  </w:pPr>
                  <w:r>
                    <w:rPr>
                      <w:color w:val="auto"/>
                      <w:sz w:val="18"/>
                      <w:szCs w:val="18"/>
                    </w:rPr>
                    <w:t>/</w:t>
                  </w:r>
                </w:p>
              </w:tc>
              <w:tc>
                <w:tcPr>
                  <w:tcW w:w="327" w:type="pct"/>
                  <w:vMerge w:val="restart"/>
                  <w:tcBorders>
                    <w:top w:val="single" w:color="auto" w:sz="4" w:space="0"/>
                  </w:tcBorders>
                  <w:shd w:val="clear" w:color="auto" w:fill="auto"/>
                  <w:vAlign w:val="center"/>
                </w:tcPr>
                <w:p w14:paraId="2B7E39CF">
                  <w:pPr>
                    <w:jc w:val="center"/>
                    <w:rPr>
                      <w:color w:val="auto"/>
                      <w:sz w:val="18"/>
                      <w:szCs w:val="18"/>
                    </w:rPr>
                  </w:pPr>
                  <w:r>
                    <w:rPr>
                      <w:rFonts w:hint="eastAsia"/>
                      <w:color w:val="auto"/>
                      <w:sz w:val="18"/>
                      <w:szCs w:val="18"/>
                      <w:lang w:val="en-US" w:eastAsia="zh-CN"/>
                    </w:rPr>
                    <w:t>148530</w:t>
                  </w:r>
                </w:p>
              </w:tc>
              <w:tc>
                <w:tcPr>
                  <w:tcW w:w="907" w:type="pct"/>
                  <w:gridSpan w:val="2"/>
                  <w:tcBorders>
                    <w:top w:val="single" w:color="auto" w:sz="4" w:space="0"/>
                    <w:bottom w:val="single" w:color="auto" w:sz="4" w:space="0"/>
                  </w:tcBorders>
                  <w:shd w:val="clear" w:color="auto" w:fill="auto"/>
                  <w:vAlign w:val="center"/>
                </w:tcPr>
                <w:p w14:paraId="7C32E25F">
                  <w:pPr>
                    <w:jc w:val="center"/>
                    <w:rPr>
                      <w:color w:val="auto"/>
                      <w:sz w:val="18"/>
                      <w:szCs w:val="18"/>
                    </w:rPr>
                  </w:pPr>
                  <w:r>
                    <w:rPr>
                      <w:rFonts w:hint="eastAsia"/>
                      <w:color w:val="auto"/>
                      <w:sz w:val="18"/>
                      <w:szCs w:val="18"/>
                      <w:lang w:val="en-US" w:eastAsia="zh-CN"/>
                    </w:rPr>
                    <w:t>7.2</w:t>
                  </w:r>
                </w:p>
              </w:tc>
              <w:tc>
                <w:tcPr>
                  <w:tcW w:w="215" w:type="pct"/>
                  <w:vMerge w:val="restart"/>
                  <w:tcBorders>
                    <w:top w:val="single" w:color="auto" w:sz="4" w:space="0"/>
                  </w:tcBorders>
                  <w:shd w:val="clear" w:color="auto" w:fill="auto"/>
                  <w:vAlign w:val="center"/>
                </w:tcPr>
                <w:p w14:paraId="4A6B807D">
                  <w:pPr>
                    <w:adjustRightInd w:val="0"/>
                    <w:snapToGrid w:val="0"/>
                    <w:jc w:val="center"/>
                    <w:rPr>
                      <w:color w:val="auto"/>
                      <w:sz w:val="18"/>
                      <w:szCs w:val="18"/>
                    </w:rPr>
                  </w:pPr>
                  <w:r>
                    <w:rPr>
                      <w:color w:val="auto"/>
                      <w:sz w:val="18"/>
                      <w:szCs w:val="18"/>
                    </w:rPr>
                    <w:t>间歇排放</w:t>
                  </w:r>
                </w:p>
              </w:tc>
            </w:tr>
            <w:tr w14:paraId="21F2EA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3" w:type="pct"/>
                  <w:vMerge w:val="continue"/>
                  <w:shd w:val="clear" w:color="auto" w:fill="auto"/>
                  <w:vAlign w:val="center"/>
                </w:tcPr>
                <w:p w14:paraId="35B7B23D">
                  <w:pPr>
                    <w:adjustRightInd w:val="0"/>
                    <w:snapToGrid w:val="0"/>
                    <w:jc w:val="center"/>
                    <w:rPr>
                      <w:color w:val="auto"/>
                      <w:sz w:val="18"/>
                      <w:szCs w:val="18"/>
                    </w:rPr>
                  </w:pPr>
                </w:p>
              </w:tc>
              <w:tc>
                <w:tcPr>
                  <w:tcW w:w="255" w:type="pct"/>
                  <w:vMerge w:val="continue"/>
                  <w:shd w:val="clear" w:color="auto" w:fill="auto"/>
                  <w:vAlign w:val="center"/>
                </w:tcPr>
                <w:p w14:paraId="3920C781">
                  <w:pPr>
                    <w:adjustRightInd w:val="0"/>
                    <w:snapToGrid w:val="0"/>
                    <w:jc w:val="center"/>
                    <w:rPr>
                      <w:color w:val="auto"/>
                      <w:sz w:val="18"/>
                      <w:szCs w:val="18"/>
                    </w:rPr>
                  </w:pPr>
                </w:p>
              </w:tc>
              <w:tc>
                <w:tcPr>
                  <w:tcW w:w="474" w:type="pct"/>
                  <w:tcBorders>
                    <w:top w:val="single" w:color="auto" w:sz="4" w:space="0"/>
                    <w:bottom w:val="single" w:color="auto" w:sz="4" w:space="0"/>
                  </w:tcBorders>
                  <w:shd w:val="clear" w:color="auto" w:fill="auto"/>
                  <w:vAlign w:val="center"/>
                </w:tcPr>
                <w:p w14:paraId="309C14C4">
                  <w:pPr>
                    <w:adjustRightInd w:val="0"/>
                    <w:snapToGrid w:val="0"/>
                    <w:jc w:val="center"/>
                    <w:rPr>
                      <w:color w:val="auto"/>
                      <w:sz w:val="18"/>
                      <w:szCs w:val="18"/>
                    </w:rPr>
                  </w:pPr>
                  <w:r>
                    <w:rPr>
                      <w:color w:val="auto"/>
                      <w:sz w:val="18"/>
                      <w:szCs w:val="18"/>
                    </w:rPr>
                    <w:t>COD</w:t>
                  </w:r>
                </w:p>
              </w:tc>
              <w:tc>
                <w:tcPr>
                  <w:tcW w:w="217" w:type="pct"/>
                  <w:vMerge w:val="continue"/>
                  <w:shd w:val="clear" w:color="auto" w:fill="auto"/>
                  <w:vAlign w:val="center"/>
                </w:tcPr>
                <w:p w14:paraId="2197D167">
                  <w:pPr>
                    <w:adjustRightInd w:val="0"/>
                    <w:snapToGrid w:val="0"/>
                    <w:jc w:val="center"/>
                    <w:rPr>
                      <w:color w:val="auto"/>
                      <w:sz w:val="18"/>
                      <w:szCs w:val="18"/>
                    </w:rPr>
                  </w:pPr>
                </w:p>
              </w:tc>
              <w:tc>
                <w:tcPr>
                  <w:tcW w:w="284" w:type="pct"/>
                  <w:vMerge w:val="continue"/>
                  <w:shd w:val="clear" w:color="auto" w:fill="auto"/>
                  <w:vAlign w:val="center"/>
                </w:tcPr>
                <w:p w14:paraId="65892F31">
                  <w:pPr>
                    <w:jc w:val="center"/>
                    <w:rPr>
                      <w:color w:val="auto"/>
                      <w:sz w:val="18"/>
                      <w:szCs w:val="18"/>
                    </w:rPr>
                  </w:pPr>
                </w:p>
              </w:tc>
              <w:tc>
                <w:tcPr>
                  <w:tcW w:w="766" w:type="dxa"/>
                  <w:tcBorders>
                    <w:top w:val="single" w:color="auto" w:sz="4" w:space="0"/>
                    <w:bottom w:val="single" w:color="auto" w:sz="4" w:space="0"/>
                  </w:tcBorders>
                  <w:shd w:val="clear" w:color="auto" w:fill="auto"/>
                  <w:vAlign w:val="center"/>
                </w:tcPr>
                <w:p w14:paraId="66212FF8">
                  <w:pPr>
                    <w:keepNext w:val="0"/>
                    <w:keepLines w:val="0"/>
                    <w:widowControl/>
                    <w:suppressLineNumbers w:val="0"/>
                    <w:jc w:val="center"/>
                    <w:textAlignment w:val="center"/>
                    <w:rPr>
                      <w:rFonts w:hint="default"/>
                      <w:color w:val="auto"/>
                      <w:sz w:val="18"/>
                      <w:szCs w:val="18"/>
                      <w:lang w:val="en-US"/>
                    </w:rPr>
                  </w:pPr>
                  <w:r>
                    <w:rPr>
                      <w:rFonts w:hint="eastAsia" w:cs="Times New Roman"/>
                      <w:i w:val="0"/>
                      <w:iCs w:val="0"/>
                      <w:color w:val="auto"/>
                      <w:kern w:val="0"/>
                      <w:sz w:val="18"/>
                      <w:szCs w:val="18"/>
                      <w:u w:val="none"/>
                      <w:lang w:val="en-US" w:eastAsia="zh-CN" w:bidi="ar"/>
                    </w:rPr>
                    <w:t>841.73</w:t>
                  </w:r>
                </w:p>
              </w:tc>
              <w:tc>
                <w:tcPr>
                  <w:tcW w:w="430" w:type="pct"/>
                  <w:tcBorders>
                    <w:top w:val="single" w:color="auto" w:sz="4" w:space="0"/>
                    <w:bottom w:val="single" w:color="auto" w:sz="4" w:space="0"/>
                  </w:tcBorders>
                  <w:shd w:val="clear" w:color="auto" w:fill="auto"/>
                  <w:vAlign w:val="center"/>
                </w:tcPr>
                <w:p w14:paraId="386F5EB4">
                  <w:pPr>
                    <w:keepNext w:val="0"/>
                    <w:keepLines w:val="0"/>
                    <w:widowControl/>
                    <w:suppressLineNumbers w:val="0"/>
                    <w:jc w:val="center"/>
                    <w:textAlignment w:val="center"/>
                    <w:rPr>
                      <w:rFonts w:hint="default"/>
                      <w:color w:val="auto"/>
                      <w:sz w:val="18"/>
                      <w:szCs w:val="18"/>
                      <w:lang w:val="en-US"/>
                    </w:rPr>
                  </w:pPr>
                  <w:r>
                    <w:rPr>
                      <w:rFonts w:hint="eastAsia" w:cs="Times New Roman"/>
                      <w:i w:val="0"/>
                      <w:iCs w:val="0"/>
                      <w:color w:val="auto"/>
                      <w:kern w:val="0"/>
                      <w:sz w:val="18"/>
                      <w:szCs w:val="18"/>
                      <w:u w:val="none"/>
                      <w:lang w:val="en-US" w:eastAsia="zh-CN" w:bidi="ar"/>
                    </w:rPr>
                    <w:t>125.022</w:t>
                  </w:r>
                </w:p>
              </w:tc>
              <w:tc>
                <w:tcPr>
                  <w:tcW w:w="466" w:type="pct"/>
                  <w:vMerge w:val="continue"/>
                  <w:shd w:val="clear" w:color="auto" w:fill="auto"/>
                  <w:vAlign w:val="center"/>
                </w:tcPr>
                <w:p w14:paraId="1EBBD16D">
                  <w:pPr>
                    <w:jc w:val="center"/>
                    <w:rPr>
                      <w:color w:val="auto"/>
                      <w:sz w:val="18"/>
                      <w:szCs w:val="18"/>
                    </w:rPr>
                  </w:pPr>
                </w:p>
              </w:tc>
              <w:tc>
                <w:tcPr>
                  <w:tcW w:w="870" w:type="dxa"/>
                  <w:tcBorders>
                    <w:top w:val="single" w:color="auto" w:sz="4" w:space="0"/>
                    <w:bottom w:val="single" w:color="auto" w:sz="4" w:space="0"/>
                  </w:tcBorders>
                  <w:shd w:val="clear" w:color="auto" w:fill="auto"/>
                  <w:vAlign w:val="center"/>
                </w:tcPr>
                <w:p w14:paraId="5FA040B9">
                  <w:pPr>
                    <w:keepNext w:val="0"/>
                    <w:keepLines w:val="0"/>
                    <w:widowControl/>
                    <w:suppressLineNumbers w:val="0"/>
                    <w:jc w:val="center"/>
                    <w:textAlignment w:val="center"/>
                    <w:rPr>
                      <w:rFonts w:eastAsia="等线"/>
                      <w:color w:val="auto"/>
                      <w:sz w:val="18"/>
                      <w:szCs w:val="18"/>
                    </w:rPr>
                  </w:pPr>
                  <w:r>
                    <w:rPr>
                      <w:rFonts w:hint="eastAsia" w:cs="Times New Roman"/>
                      <w:i w:val="0"/>
                      <w:iCs w:val="0"/>
                      <w:color w:val="auto"/>
                      <w:kern w:val="0"/>
                      <w:sz w:val="18"/>
                      <w:szCs w:val="18"/>
                      <w:u w:val="none"/>
                      <w:lang w:val="en-US" w:eastAsia="zh-CN" w:bidi="ar"/>
                    </w:rPr>
                    <w:t>95.39</w:t>
                  </w:r>
                  <w:r>
                    <w:rPr>
                      <w:rFonts w:hint="default" w:ascii="Times New Roman" w:hAnsi="Times New Roman" w:eastAsia="宋体" w:cs="Times New Roman"/>
                      <w:i w:val="0"/>
                      <w:iCs w:val="0"/>
                      <w:color w:val="auto"/>
                      <w:kern w:val="0"/>
                      <w:sz w:val="18"/>
                      <w:szCs w:val="18"/>
                      <w:u w:val="none"/>
                      <w:lang w:val="en-US" w:eastAsia="zh-CN" w:bidi="ar"/>
                    </w:rPr>
                    <w:t>%</w:t>
                  </w:r>
                </w:p>
              </w:tc>
              <w:tc>
                <w:tcPr>
                  <w:tcW w:w="158" w:type="pct"/>
                  <w:vMerge w:val="continue"/>
                  <w:shd w:val="clear" w:color="auto" w:fill="auto"/>
                  <w:vAlign w:val="center"/>
                </w:tcPr>
                <w:p w14:paraId="6AFF82F1">
                  <w:pPr>
                    <w:adjustRightInd w:val="0"/>
                    <w:snapToGrid w:val="0"/>
                    <w:jc w:val="center"/>
                    <w:rPr>
                      <w:color w:val="auto"/>
                      <w:sz w:val="18"/>
                      <w:szCs w:val="18"/>
                    </w:rPr>
                  </w:pPr>
                </w:p>
              </w:tc>
              <w:tc>
                <w:tcPr>
                  <w:tcW w:w="327" w:type="pct"/>
                  <w:vMerge w:val="continue"/>
                  <w:shd w:val="clear" w:color="auto" w:fill="auto"/>
                  <w:vAlign w:val="center"/>
                </w:tcPr>
                <w:p w14:paraId="57978576">
                  <w:pPr>
                    <w:jc w:val="center"/>
                    <w:rPr>
                      <w:color w:val="auto"/>
                      <w:sz w:val="18"/>
                      <w:szCs w:val="18"/>
                    </w:rPr>
                  </w:pPr>
                </w:p>
              </w:tc>
              <w:tc>
                <w:tcPr>
                  <w:tcW w:w="860" w:type="dxa"/>
                  <w:tcBorders>
                    <w:top w:val="single" w:color="auto" w:sz="4" w:space="0"/>
                    <w:bottom w:val="single" w:color="auto" w:sz="4" w:space="0"/>
                  </w:tcBorders>
                  <w:shd w:val="clear" w:color="auto" w:fill="auto"/>
                  <w:vAlign w:val="center"/>
                </w:tcPr>
                <w:p w14:paraId="1D1AAC71">
                  <w:pPr>
                    <w:jc w:val="center"/>
                    <w:rPr>
                      <w:rFonts w:hint="default"/>
                      <w:color w:val="auto"/>
                      <w:sz w:val="18"/>
                      <w:szCs w:val="18"/>
                      <w:lang w:val="en-US"/>
                    </w:rPr>
                  </w:pPr>
                  <w:r>
                    <w:rPr>
                      <w:rFonts w:hint="eastAsia"/>
                      <w:color w:val="auto"/>
                      <w:sz w:val="18"/>
                      <w:szCs w:val="18"/>
                      <w:lang w:val="en-US" w:eastAsia="zh-CN"/>
                    </w:rPr>
                    <w:t>58.81</w:t>
                  </w:r>
                </w:p>
              </w:tc>
              <w:tc>
                <w:tcPr>
                  <w:tcW w:w="688" w:type="dxa"/>
                  <w:tcBorders>
                    <w:top w:val="single" w:color="auto" w:sz="4" w:space="0"/>
                    <w:bottom w:val="single" w:color="auto" w:sz="4" w:space="0"/>
                  </w:tcBorders>
                  <w:shd w:val="clear" w:color="auto" w:fill="auto"/>
                  <w:vAlign w:val="center"/>
                </w:tcPr>
                <w:p w14:paraId="53E65184">
                  <w:pPr>
                    <w:keepNext w:val="0"/>
                    <w:keepLines w:val="0"/>
                    <w:widowControl/>
                    <w:suppressLineNumbers w:val="0"/>
                    <w:jc w:val="center"/>
                    <w:textAlignment w:val="center"/>
                    <w:rPr>
                      <w:rFonts w:hint="default"/>
                      <w:color w:val="auto"/>
                      <w:sz w:val="18"/>
                      <w:szCs w:val="18"/>
                      <w:lang w:val="en-US"/>
                    </w:rPr>
                  </w:pPr>
                  <w:r>
                    <w:rPr>
                      <w:rFonts w:hint="eastAsia" w:cs="Times New Roman"/>
                      <w:i w:val="0"/>
                      <w:iCs w:val="0"/>
                      <w:color w:val="auto"/>
                      <w:kern w:val="0"/>
                      <w:sz w:val="18"/>
                      <w:szCs w:val="18"/>
                      <w:u w:val="none"/>
                      <w:lang w:val="en-US" w:eastAsia="zh-CN" w:bidi="ar"/>
                    </w:rPr>
                    <w:t>8.74</w:t>
                  </w:r>
                </w:p>
              </w:tc>
              <w:tc>
                <w:tcPr>
                  <w:tcW w:w="215" w:type="pct"/>
                  <w:vMerge w:val="continue"/>
                  <w:shd w:val="clear" w:color="auto" w:fill="auto"/>
                  <w:vAlign w:val="center"/>
                </w:tcPr>
                <w:p w14:paraId="49A8123F">
                  <w:pPr>
                    <w:adjustRightInd w:val="0"/>
                    <w:snapToGrid w:val="0"/>
                    <w:jc w:val="center"/>
                    <w:rPr>
                      <w:color w:val="auto"/>
                      <w:sz w:val="18"/>
                      <w:szCs w:val="18"/>
                    </w:rPr>
                  </w:pPr>
                </w:p>
              </w:tc>
            </w:tr>
            <w:tr w14:paraId="754958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3" w:type="pct"/>
                  <w:vMerge w:val="continue"/>
                  <w:shd w:val="clear" w:color="auto" w:fill="auto"/>
                  <w:vAlign w:val="center"/>
                </w:tcPr>
                <w:p w14:paraId="0542FC13">
                  <w:pPr>
                    <w:adjustRightInd w:val="0"/>
                    <w:snapToGrid w:val="0"/>
                    <w:jc w:val="center"/>
                    <w:rPr>
                      <w:color w:val="auto"/>
                      <w:sz w:val="18"/>
                      <w:szCs w:val="18"/>
                    </w:rPr>
                  </w:pPr>
                </w:p>
              </w:tc>
              <w:tc>
                <w:tcPr>
                  <w:tcW w:w="255" w:type="pct"/>
                  <w:vMerge w:val="continue"/>
                  <w:shd w:val="clear" w:color="auto" w:fill="auto"/>
                  <w:vAlign w:val="center"/>
                </w:tcPr>
                <w:p w14:paraId="7BB587FB">
                  <w:pPr>
                    <w:adjustRightInd w:val="0"/>
                    <w:snapToGrid w:val="0"/>
                    <w:jc w:val="center"/>
                    <w:rPr>
                      <w:color w:val="auto"/>
                      <w:sz w:val="18"/>
                      <w:szCs w:val="18"/>
                    </w:rPr>
                  </w:pPr>
                </w:p>
              </w:tc>
              <w:tc>
                <w:tcPr>
                  <w:tcW w:w="474" w:type="pct"/>
                  <w:tcBorders>
                    <w:top w:val="single" w:color="auto" w:sz="4" w:space="0"/>
                    <w:bottom w:val="single" w:color="auto" w:sz="4" w:space="0"/>
                  </w:tcBorders>
                  <w:shd w:val="clear" w:color="auto" w:fill="auto"/>
                  <w:vAlign w:val="center"/>
                </w:tcPr>
                <w:p w14:paraId="47F2E2DD">
                  <w:pPr>
                    <w:adjustRightInd w:val="0"/>
                    <w:snapToGrid w:val="0"/>
                    <w:jc w:val="center"/>
                    <w:rPr>
                      <w:color w:val="auto"/>
                      <w:sz w:val="18"/>
                      <w:szCs w:val="18"/>
                    </w:rPr>
                  </w:pPr>
                  <w:r>
                    <w:rPr>
                      <w:rFonts w:hint="eastAsia"/>
                      <w:color w:val="auto"/>
                      <w:sz w:val="18"/>
                      <w:szCs w:val="18"/>
                    </w:rPr>
                    <w:t>B</w:t>
                  </w:r>
                  <w:r>
                    <w:rPr>
                      <w:color w:val="auto"/>
                      <w:sz w:val="18"/>
                      <w:szCs w:val="18"/>
                    </w:rPr>
                    <w:t>OD</w:t>
                  </w:r>
                  <w:r>
                    <w:rPr>
                      <w:color w:val="auto"/>
                      <w:sz w:val="18"/>
                      <w:szCs w:val="18"/>
                      <w:vertAlign w:val="subscript"/>
                    </w:rPr>
                    <w:t>5</w:t>
                  </w:r>
                </w:p>
              </w:tc>
              <w:tc>
                <w:tcPr>
                  <w:tcW w:w="217" w:type="pct"/>
                  <w:vMerge w:val="continue"/>
                  <w:shd w:val="clear" w:color="auto" w:fill="auto"/>
                  <w:vAlign w:val="center"/>
                </w:tcPr>
                <w:p w14:paraId="39DD8A68">
                  <w:pPr>
                    <w:adjustRightInd w:val="0"/>
                    <w:snapToGrid w:val="0"/>
                    <w:jc w:val="center"/>
                    <w:rPr>
                      <w:color w:val="auto"/>
                      <w:sz w:val="18"/>
                      <w:szCs w:val="18"/>
                    </w:rPr>
                  </w:pPr>
                </w:p>
              </w:tc>
              <w:tc>
                <w:tcPr>
                  <w:tcW w:w="284" w:type="pct"/>
                  <w:vMerge w:val="continue"/>
                  <w:shd w:val="clear" w:color="auto" w:fill="auto"/>
                  <w:vAlign w:val="center"/>
                </w:tcPr>
                <w:p w14:paraId="56AEE5CC">
                  <w:pPr>
                    <w:jc w:val="center"/>
                    <w:rPr>
                      <w:color w:val="auto"/>
                      <w:sz w:val="18"/>
                      <w:szCs w:val="18"/>
                    </w:rPr>
                  </w:pPr>
                </w:p>
              </w:tc>
              <w:tc>
                <w:tcPr>
                  <w:tcW w:w="766" w:type="dxa"/>
                  <w:tcBorders>
                    <w:top w:val="single" w:color="auto" w:sz="4" w:space="0"/>
                    <w:bottom w:val="single" w:color="auto" w:sz="4" w:space="0"/>
                  </w:tcBorders>
                  <w:shd w:val="clear" w:color="auto" w:fill="auto"/>
                  <w:vAlign w:val="center"/>
                </w:tcPr>
                <w:p w14:paraId="647356FF">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384.56</w:t>
                  </w:r>
                </w:p>
              </w:tc>
              <w:tc>
                <w:tcPr>
                  <w:tcW w:w="430" w:type="pct"/>
                  <w:tcBorders>
                    <w:top w:val="single" w:color="auto" w:sz="4" w:space="0"/>
                    <w:bottom w:val="single" w:color="auto" w:sz="4" w:space="0"/>
                  </w:tcBorders>
                  <w:shd w:val="clear" w:color="auto" w:fill="auto"/>
                  <w:vAlign w:val="center"/>
                </w:tcPr>
                <w:p w14:paraId="4B5947F4">
                  <w:pPr>
                    <w:keepNext w:val="0"/>
                    <w:keepLines w:val="0"/>
                    <w:widowControl/>
                    <w:suppressLineNumbers w:val="0"/>
                    <w:jc w:val="center"/>
                    <w:textAlignment w:val="center"/>
                    <w:rPr>
                      <w:rFonts w:hint="default"/>
                      <w:color w:val="auto"/>
                      <w:sz w:val="18"/>
                      <w:szCs w:val="18"/>
                      <w:lang w:val="en-US"/>
                    </w:rPr>
                  </w:pPr>
                  <w:r>
                    <w:rPr>
                      <w:rFonts w:hint="default" w:ascii="Times New Roman" w:hAnsi="Times New Roman" w:eastAsia="宋体" w:cs="Times New Roman"/>
                      <w:i w:val="0"/>
                      <w:iCs w:val="0"/>
                      <w:color w:val="auto"/>
                      <w:kern w:val="0"/>
                      <w:sz w:val="18"/>
                      <w:szCs w:val="18"/>
                      <w:u w:val="none"/>
                      <w:lang w:val="en-US" w:eastAsia="zh-CN" w:bidi="ar"/>
                    </w:rPr>
                    <w:t>57.</w:t>
                  </w:r>
                  <w:r>
                    <w:rPr>
                      <w:rFonts w:hint="eastAsia" w:cs="Times New Roman"/>
                      <w:i w:val="0"/>
                      <w:iCs w:val="0"/>
                      <w:color w:val="auto"/>
                      <w:kern w:val="0"/>
                      <w:sz w:val="18"/>
                      <w:szCs w:val="18"/>
                      <w:u w:val="none"/>
                      <w:lang w:val="en-US" w:eastAsia="zh-CN" w:bidi="ar"/>
                    </w:rPr>
                    <w:t>119</w:t>
                  </w:r>
                </w:p>
              </w:tc>
              <w:tc>
                <w:tcPr>
                  <w:tcW w:w="466" w:type="pct"/>
                  <w:vMerge w:val="continue"/>
                  <w:shd w:val="clear" w:color="auto" w:fill="auto"/>
                  <w:vAlign w:val="center"/>
                </w:tcPr>
                <w:p w14:paraId="6D6ABFD6">
                  <w:pPr>
                    <w:jc w:val="center"/>
                    <w:rPr>
                      <w:color w:val="auto"/>
                      <w:sz w:val="18"/>
                      <w:szCs w:val="18"/>
                    </w:rPr>
                  </w:pPr>
                </w:p>
              </w:tc>
              <w:tc>
                <w:tcPr>
                  <w:tcW w:w="870" w:type="dxa"/>
                  <w:tcBorders>
                    <w:top w:val="single" w:color="auto" w:sz="4" w:space="0"/>
                    <w:bottom w:val="single" w:color="auto" w:sz="4" w:space="0"/>
                  </w:tcBorders>
                  <w:shd w:val="clear" w:color="auto" w:fill="auto"/>
                  <w:vAlign w:val="center"/>
                </w:tcPr>
                <w:p w14:paraId="20EEFEB2">
                  <w:pPr>
                    <w:keepNext w:val="0"/>
                    <w:keepLines w:val="0"/>
                    <w:widowControl/>
                    <w:suppressLineNumbers w:val="0"/>
                    <w:jc w:val="center"/>
                    <w:textAlignment w:val="center"/>
                    <w:rPr>
                      <w:rFonts w:eastAsia="等线"/>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77.14%</w:t>
                  </w:r>
                </w:p>
              </w:tc>
              <w:tc>
                <w:tcPr>
                  <w:tcW w:w="158" w:type="pct"/>
                  <w:vMerge w:val="continue"/>
                  <w:shd w:val="clear" w:color="auto" w:fill="auto"/>
                  <w:vAlign w:val="center"/>
                </w:tcPr>
                <w:p w14:paraId="4CCF66C7">
                  <w:pPr>
                    <w:adjustRightInd w:val="0"/>
                    <w:snapToGrid w:val="0"/>
                    <w:jc w:val="center"/>
                    <w:rPr>
                      <w:color w:val="auto"/>
                      <w:sz w:val="18"/>
                      <w:szCs w:val="18"/>
                    </w:rPr>
                  </w:pPr>
                </w:p>
              </w:tc>
              <w:tc>
                <w:tcPr>
                  <w:tcW w:w="327" w:type="pct"/>
                  <w:vMerge w:val="continue"/>
                  <w:shd w:val="clear" w:color="auto" w:fill="auto"/>
                  <w:vAlign w:val="center"/>
                </w:tcPr>
                <w:p w14:paraId="08E585E2">
                  <w:pPr>
                    <w:jc w:val="center"/>
                    <w:rPr>
                      <w:color w:val="auto"/>
                      <w:sz w:val="18"/>
                      <w:szCs w:val="18"/>
                    </w:rPr>
                  </w:pPr>
                </w:p>
              </w:tc>
              <w:tc>
                <w:tcPr>
                  <w:tcW w:w="504" w:type="pct"/>
                  <w:tcBorders>
                    <w:top w:val="single" w:color="auto" w:sz="4" w:space="0"/>
                    <w:bottom w:val="single" w:color="auto" w:sz="4" w:space="0"/>
                  </w:tcBorders>
                  <w:shd w:val="clear" w:color="auto" w:fill="auto"/>
                  <w:vAlign w:val="center"/>
                </w:tcPr>
                <w:p w14:paraId="54AEB5BE">
                  <w:pPr>
                    <w:jc w:val="center"/>
                    <w:rPr>
                      <w:color w:val="auto"/>
                      <w:sz w:val="18"/>
                      <w:szCs w:val="18"/>
                    </w:rPr>
                  </w:pPr>
                  <w:r>
                    <w:rPr>
                      <w:rFonts w:hint="eastAsia"/>
                      <w:color w:val="auto"/>
                      <w:sz w:val="18"/>
                      <w:szCs w:val="18"/>
                      <w:lang w:val="en-US" w:eastAsia="zh-CN"/>
                    </w:rPr>
                    <w:t>87.83</w:t>
                  </w:r>
                </w:p>
              </w:tc>
              <w:tc>
                <w:tcPr>
                  <w:tcW w:w="403" w:type="pct"/>
                  <w:tcBorders>
                    <w:top w:val="single" w:color="auto" w:sz="4" w:space="0"/>
                    <w:bottom w:val="single" w:color="auto" w:sz="4" w:space="0"/>
                  </w:tcBorders>
                  <w:shd w:val="clear" w:color="auto" w:fill="auto"/>
                  <w:vAlign w:val="center"/>
                </w:tcPr>
                <w:p w14:paraId="61BB7897">
                  <w:pPr>
                    <w:keepNext w:val="0"/>
                    <w:keepLines w:val="0"/>
                    <w:widowControl/>
                    <w:suppressLineNumbers w:val="0"/>
                    <w:jc w:val="center"/>
                    <w:textAlignment w:val="center"/>
                    <w:rPr>
                      <w:color w:val="auto"/>
                      <w:sz w:val="18"/>
                      <w:szCs w:val="18"/>
                    </w:rPr>
                  </w:pPr>
                  <w:r>
                    <w:rPr>
                      <w:rFonts w:hint="eastAsia" w:cs="Times New Roman"/>
                      <w:i w:val="0"/>
                      <w:iCs w:val="0"/>
                      <w:color w:val="auto"/>
                      <w:kern w:val="0"/>
                      <w:sz w:val="18"/>
                      <w:szCs w:val="18"/>
                      <w:u w:val="none"/>
                      <w:lang w:val="en-US" w:eastAsia="zh-CN" w:bidi="ar"/>
                    </w:rPr>
                    <w:t>13.06</w:t>
                  </w:r>
                </w:p>
              </w:tc>
              <w:tc>
                <w:tcPr>
                  <w:tcW w:w="215" w:type="pct"/>
                  <w:vMerge w:val="continue"/>
                  <w:shd w:val="clear" w:color="auto" w:fill="auto"/>
                  <w:vAlign w:val="center"/>
                </w:tcPr>
                <w:p w14:paraId="66A0EE64">
                  <w:pPr>
                    <w:adjustRightInd w:val="0"/>
                    <w:snapToGrid w:val="0"/>
                    <w:jc w:val="center"/>
                    <w:rPr>
                      <w:color w:val="auto"/>
                      <w:sz w:val="18"/>
                      <w:szCs w:val="18"/>
                    </w:rPr>
                  </w:pPr>
                </w:p>
              </w:tc>
            </w:tr>
            <w:tr w14:paraId="0FD21A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3" w:type="pct"/>
                  <w:vMerge w:val="continue"/>
                  <w:shd w:val="clear" w:color="auto" w:fill="auto"/>
                  <w:vAlign w:val="center"/>
                </w:tcPr>
                <w:p w14:paraId="4B86DDEC">
                  <w:pPr>
                    <w:adjustRightInd w:val="0"/>
                    <w:snapToGrid w:val="0"/>
                    <w:jc w:val="center"/>
                    <w:rPr>
                      <w:color w:val="auto"/>
                      <w:sz w:val="18"/>
                      <w:szCs w:val="18"/>
                    </w:rPr>
                  </w:pPr>
                </w:p>
              </w:tc>
              <w:tc>
                <w:tcPr>
                  <w:tcW w:w="255" w:type="pct"/>
                  <w:vMerge w:val="continue"/>
                  <w:shd w:val="clear" w:color="auto" w:fill="auto"/>
                  <w:vAlign w:val="center"/>
                </w:tcPr>
                <w:p w14:paraId="1740C02A">
                  <w:pPr>
                    <w:adjustRightInd w:val="0"/>
                    <w:snapToGrid w:val="0"/>
                    <w:jc w:val="center"/>
                    <w:rPr>
                      <w:color w:val="auto"/>
                      <w:sz w:val="18"/>
                      <w:szCs w:val="18"/>
                    </w:rPr>
                  </w:pPr>
                </w:p>
              </w:tc>
              <w:tc>
                <w:tcPr>
                  <w:tcW w:w="474" w:type="pct"/>
                  <w:tcBorders>
                    <w:top w:val="single" w:color="auto" w:sz="4" w:space="0"/>
                    <w:bottom w:val="single" w:color="auto" w:sz="4" w:space="0"/>
                  </w:tcBorders>
                  <w:shd w:val="clear" w:color="auto" w:fill="auto"/>
                  <w:vAlign w:val="center"/>
                </w:tcPr>
                <w:p w14:paraId="3EC91CC6">
                  <w:pPr>
                    <w:adjustRightInd w:val="0"/>
                    <w:snapToGrid w:val="0"/>
                    <w:jc w:val="center"/>
                    <w:rPr>
                      <w:color w:val="auto"/>
                      <w:sz w:val="18"/>
                      <w:szCs w:val="18"/>
                    </w:rPr>
                  </w:pPr>
                  <w:r>
                    <w:rPr>
                      <w:color w:val="auto"/>
                      <w:sz w:val="18"/>
                      <w:szCs w:val="18"/>
                    </w:rPr>
                    <w:t>SS</w:t>
                  </w:r>
                </w:p>
              </w:tc>
              <w:tc>
                <w:tcPr>
                  <w:tcW w:w="217" w:type="pct"/>
                  <w:vMerge w:val="continue"/>
                  <w:shd w:val="clear" w:color="auto" w:fill="auto"/>
                  <w:vAlign w:val="center"/>
                </w:tcPr>
                <w:p w14:paraId="79DC11B1">
                  <w:pPr>
                    <w:adjustRightInd w:val="0"/>
                    <w:snapToGrid w:val="0"/>
                    <w:jc w:val="center"/>
                    <w:rPr>
                      <w:color w:val="auto"/>
                      <w:sz w:val="18"/>
                      <w:szCs w:val="18"/>
                    </w:rPr>
                  </w:pPr>
                </w:p>
              </w:tc>
              <w:tc>
                <w:tcPr>
                  <w:tcW w:w="284" w:type="pct"/>
                  <w:vMerge w:val="continue"/>
                  <w:shd w:val="clear" w:color="auto" w:fill="auto"/>
                  <w:vAlign w:val="center"/>
                </w:tcPr>
                <w:p w14:paraId="4BCE7A18">
                  <w:pPr>
                    <w:jc w:val="center"/>
                    <w:rPr>
                      <w:color w:val="auto"/>
                      <w:sz w:val="18"/>
                      <w:szCs w:val="18"/>
                    </w:rPr>
                  </w:pPr>
                </w:p>
              </w:tc>
              <w:tc>
                <w:tcPr>
                  <w:tcW w:w="766" w:type="dxa"/>
                  <w:tcBorders>
                    <w:top w:val="single" w:color="auto" w:sz="4" w:space="0"/>
                    <w:bottom w:val="single" w:color="auto" w:sz="4" w:space="0"/>
                  </w:tcBorders>
                  <w:shd w:val="clear" w:color="auto" w:fill="auto"/>
                  <w:vAlign w:val="center"/>
                </w:tcPr>
                <w:p w14:paraId="1F97FA9D">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183.26</w:t>
                  </w:r>
                </w:p>
              </w:tc>
              <w:tc>
                <w:tcPr>
                  <w:tcW w:w="430" w:type="pct"/>
                  <w:tcBorders>
                    <w:top w:val="single" w:color="auto" w:sz="4" w:space="0"/>
                    <w:bottom w:val="single" w:color="auto" w:sz="4" w:space="0"/>
                  </w:tcBorders>
                  <w:shd w:val="clear" w:color="auto" w:fill="auto"/>
                  <w:vAlign w:val="center"/>
                </w:tcPr>
                <w:p w14:paraId="12FE8EC1">
                  <w:pPr>
                    <w:keepNext w:val="0"/>
                    <w:keepLines w:val="0"/>
                    <w:widowControl/>
                    <w:suppressLineNumbers w:val="0"/>
                    <w:jc w:val="center"/>
                    <w:textAlignment w:val="center"/>
                    <w:rPr>
                      <w:rFonts w:hint="default"/>
                      <w:color w:val="auto"/>
                      <w:sz w:val="18"/>
                      <w:szCs w:val="18"/>
                      <w:lang w:val="en-US"/>
                    </w:rPr>
                  </w:pPr>
                  <w:r>
                    <w:rPr>
                      <w:rFonts w:hint="eastAsia" w:cs="Times New Roman"/>
                      <w:i w:val="0"/>
                      <w:iCs w:val="0"/>
                      <w:color w:val="auto"/>
                      <w:kern w:val="0"/>
                      <w:sz w:val="18"/>
                      <w:szCs w:val="18"/>
                      <w:u w:val="none"/>
                      <w:lang w:val="en-US" w:eastAsia="zh-CN" w:bidi="ar"/>
                    </w:rPr>
                    <w:t>27.22</w:t>
                  </w:r>
                </w:p>
              </w:tc>
              <w:tc>
                <w:tcPr>
                  <w:tcW w:w="466" w:type="pct"/>
                  <w:vMerge w:val="continue"/>
                  <w:shd w:val="clear" w:color="auto" w:fill="auto"/>
                  <w:vAlign w:val="center"/>
                </w:tcPr>
                <w:p w14:paraId="1D46A4E0">
                  <w:pPr>
                    <w:jc w:val="center"/>
                    <w:rPr>
                      <w:color w:val="auto"/>
                      <w:sz w:val="18"/>
                      <w:szCs w:val="18"/>
                    </w:rPr>
                  </w:pPr>
                </w:p>
              </w:tc>
              <w:tc>
                <w:tcPr>
                  <w:tcW w:w="870" w:type="dxa"/>
                  <w:tcBorders>
                    <w:top w:val="single" w:color="auto" w:sz="4" w:space="0"/>
                    <w:bottom w:val="single" w:color="auto" w:sz="4" w:space="0"/>
                  </w:tcBorders>
                  <w:shd w:val="clear" w:color="auto" w:fill="auto"/>
                  <w:vAlign w:val="center"/>
                </w:tcPr>
                <w:p w14:paraId="77F0B2A3">
                  <w:pPr>
                    <w:keepNext w:val="0"/>
                    <w:keepLines w:val="0"/>
                    <w:widowControl/>
                    <w:suppressLineNumbers w:val="0"/>
                    <w:jc w:val="center"/>
                    <w:textAlignment w:val="center"/>
                    <w:rPr>
                      <w:rFonts w:eastAsia="等线"/>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77.74%</w:t>
                  </w:r>
                </w:p>
              </w:tc>
              <w:tc>
                <w:tcPr>
                  <w:tcW w:w="158" w:type="pct"/>
                  <w:vMerge w:val="continue"/>
                  <w:shd w:val="clear" w:color="auto" w:fill="auto"/>
                  <w:vAlign w:val="center"/>
                </w:tcPr>
                <w:p w14:paraId="6DB4E796">
                  <w:pPr>
                    <w:adjustRightInd w:val="0"/>
                    <w:snapToGrid w:val="0"/>
                    <w:jc w:val="center"/>
                    <w:rPr>
                      <w:color w:val="auto"/>
                      <w:sz w:val="18"/>
                      <w:szCs w:val="18"/>
                    </w:rPr>
                  </w:pPr>
                </w:p>
              </w:tc>
              <w:tc>
                <w:tcPr>
                  <w:tcW w:w="327" w:type="pct"/>
                  <w:vMerge w:val="continue"/>
                  <w:shd w:val="clear" w:color="auto" w:fill="auto"/>
                  <w:vAlign w:val="center"/>
                </w:tcPr>
                <w:p w14:paraId="013B36FE">
                  <w:pPr>
                    <w:jc w:val="center"/>
                    <w:rPr>
                      <w:color w:val="auto"/>
                      <w:sz w:val="18"/>
                      <w:szCs w:val="18"/>
                    </w:rPr>
                  </w:pPr>
                </w:p>
              </w:tc>
              <w:tc>
                <w:tcPr>
                  <w:tcW w:w="504" w:type="pct"/>
                  <w:tcBorders>
                    <w:top w:val="single" w:color="auto" w:sz="4" w:space="0"/>
                    <w:bottom w:val="single" w:color="auto" w:sz="4" w:space="0"/>
                  </w:tcBorders>
                  <w:shd w:val="clear" w:color="auto" w:fill="auto"/>
                  <w:vAlign w:val="center"/>
                </w:tcPr>
                <w:p w14:paraId="40F7F2B0">
                  <w:pPr>
                    <w:jc w:val="center"/>
                    <w:rPr>
                      <w:rFonts w:hint="default"/>
                      <w:color w:val="auto"/>
                      <w:sz w:val="18"/>
                      <w:szCs w:val="18"/>
                      <w:lang w:val="en-US"/>
                    </w:rPr>
                  </w:pPr>
                  <w:r>
                    <w:rPr>
                      <w:rFonts w:hint="eastAsia"/>
                      <w:color w:val="auto"/>
                      <w:sz w:val="18"/>
                      <w:szCs w:val="18"/>
                      <w:lang w:val="en-US" w:eastAsia="zh-CN"/>
                    </w:rPr>
                    <w:t>40.79</w:t>
                  </w:r>
                </w:p>
              </w:tc>
              <w:tc>
                <w:tcPr>
                  <w:tcW w:w="403" w:type="pct"/>
                  <w:tcBorders>
                    <w:top w:val="single" w:color="auto" w:sz="4" w:space="0"/>
                    <w:bottom w:val="single" w:color="auto" w:sz="4" w:space="0"/>
                  </w:tcBorders>
                  <w:shd w:val="clear" w:color="auto" w:fill="auto"/>
                  <w:vAlign w:val="center"/>
                </w:tcPr>
                <w:p w14:paraId="23B842B0">
                  <w:pPr>
                    <w:keepNext w:val="0"/>
                    <w:keepLines w:val="0"/>
                    <w:widowControl/>
                    <w:suppressLineNumbers w:val="0"/>
                    <w:jc w:val="center"/>
                    <w:textAlignment w:val="center"/>
                    <w:rPr>
                      <w:rFonts w:hint="default"/>
                      <w:color w:val="auto"/>
                      <w:sz w:val="18"/>
                      <w:szCs w:val="18"/>
                      <w:lang w:val="en-US"/>
                    </w:rPr>
                  </w:pPr>
                  <w:r>
                    <w:rPr>
                      <w:rFonts w:hint="eastAsia" w:cs="Times New Roman"/>
                      <w:i w:val="0"/>
                      <w:iCs w:val="0"/>
                      <w:color w:val="auto"/>
                      <w:kern w:val="0"/>
                      <w:sz w:val="18"/>
                      <w:szCs w:val="18"/>
                      <w:u w:val="none"/>
                      <w:lang w:val="en-US" w:eastAsia="zh-CN" w:bidi="ar"/>
                    </w:rPr>
                    <w:t>6.06</w:t>
                  </w:r>
                </w:p>
              </w:tc>
              <w:tc>
                <w:tcPr>
                  <w:tcW w:w="215" w:type="pct"/>
                  <w:vMerge w:val="continue"/>
                  <w:shd w:val="clear" w:color="auto" w:fill="auto"/>
                  <w:vAlign w:val="center"/>
                </w:tcPr>
                <w:p w14:paraId="6C89BCE4">
                  <w:pPr>
                    <w:adjustRightInd w:val="0"/>
                    <w:snapToGrid w:val="0"/>
                    <w:jc w:val="center"/>
                    <w:rPr>
                      <w:color w:val="auto"/>
                      <w:sz w:val="18"/>
                      <w:szCs w:val="18"/>
                    </w:rPr>
                  </w:pPr>
                </w:p>
              </w:tc>
            </w:tr>
            <w:tr w14:paraId="665C0C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3" w:type="pct"/>
                  <w:vMerge w:val="continue"/>
                  <w:shd w:val="clear" w:color="auto" w:fill="auto"/>
                  <w:vAlign w:val="center"/>
                </w:tcPr>
                <w:p w14:paraId="78C90821">
                  <w:pPr>
                    <w:adjustRightInd w:val="0"/>
                    <w:snapToGrid w:val="0"/>
                    <w:jc w:val="center"/>
                    <w:rPr>
                      <w:color w:val="auto"/>
                      <w:sz w:val="18"/>
                      <w:szCs w:val="18"/>
                    </w:rPr>
                  </w:pPr>
                </w:p>
              </w:tc>
              <w:tc>
                <w:tcPr>
                  <w:tcW w:w="255" w:type="pct"/>
                  <w:vMerge w:val="continue"/>
                  <w:shd w:val="clear" w:color="auto" w:fill="auto"/>
                  <w:vAlign w:val="center"/>
                </w:tcPr>
                <w:p w14:paraId="7689843A">
                  <w:pPr>
                    <w:adjustRightInd w:val="0"/>
                    <w:snapToGrid w:val="0"/>
                    <w:jc w:val="center"/>
                    <w:rPr>
                      <w:color w:val="auto"/>
                      <w:sz w:val="18"/>
                      <w:szCs w:val="18"/>
                    </w:rPr>
                  </w:pPr>
                </w:p>
              </w:tc>
              <w:tc>
                <w:tcPr>
                  <w:tcW w:w="474" w:type="pct"/>
                  <w:tcBorders>
                    <w:top w:val="single" w:color="auto" w:sz="4" w:space="0"/>
                    <w:bottom w:val="single" w:color="auto" w:sz="4" w:space="0"/>
                  </w:tcBorders>
                  <w:shd w:val="clear" w:color="auto" w:fill="auto"/>
                  <w:vAlign w:val="center"/>
                </w:tcPr>
                <w:p w14:paraId="27A90D31">
                  <w:pPr>
                    <w:adjustRightInd w:val="0"/>
                    <w:snapToGrid w:val="0"/>
                    <w:jc w:val="center"/>
                    <w:rPr>
                      <w:color w:val="auto"/>
                      <w:sz w:val="18"/>
                      <w:szCs w:val="18"/>
                    </w:rPr>
                  </w:pPr>
                  <w:r>
                    <w:rPr>
                      <w:color w:val="auto"/>
                      <w:sz w:val="18"/>
                      <w:szCs w:val="18"/>
                    </w:rPr>
                    <w:t>氨氮</w:t>
                  </w:r>
                </w:p>
              </w:tc>
              <w:tc>
                <w:tcPr>
                  <w:tcW w:w="217" w:type="pct"/>
                  <w:vMerge w:val="continue"/>
                  <w:shd w:val="clear" w:color="auto" w:fill="auto"/>
                  <w:vAlign w:val="center"/>
                </w:tcPr>
                <w:p w14:paraId="300BC0E3">
                  <w:pPr>
                    <w:adjustRightInd w:val="0"/>
                    <w:snapToGrid w:val="0"/>
                    <w:jc w:val="center"/>
                    <w:rPr>
                      <w:color w:val="auto"/>
                      <w:sz w:val="18"/>
                      <w:szCs w:val="18"/>
                    </w:rPr>
                  </w:pPr>
                </w:p>
              </w:tc>
              <w:tc>
                <w:tcPr>
                  <w:tcW w:w="284" w:type="pct"/>
                  <w:vMerge w:val="continue"/>
                  <w:shd w:val="clear" w:color="auto" w:fill="auto"/>
                  <w:vAlign w:val="center"/>
                </w:tcPr>
                <w:p w14:paraId="7E18A538">
                  <w:pPr>
                    <w:jc w:val="center"/>
                    <w:rPr>
                      <w:color w:val="auto"/>
                      <w:sz w:val="18"/>
                      <w:szCs w:val="18"/>
                    </w:rPr>
                  </w:pPr>
                </w:p>
              </w:tc>
              <w:tc>
                <w:tcPr>
                  <w:tcW w:w="766" w:type="dxa"/>
                  <w:tcBorders>
                    <w:top w:val="single" w:color="auto" w:sz="4" w:space="0"/>
                    <w:bottom w:val="single" w:color="auto" w:sz="4" w:space="0"/>
                  </w:tcBorders>
                  <w:shd w:val="clear" w:color="auto" w:fill="auto"/>
                  <w:vAlign w:val="center"/>
                </w:tcPr>
                <w:p w14:paraId="29169FBE">
                  <w:pPr>
                    <w:keepNext w:val="0"/>
                    <w:keepLines w:val="0"/>
                    <w:widowControl/>
                    <w:suppressLineNumbers w:val="0"/>
                    <w:jc w:val="center"/>
                    <w:textAlignment w:val="center"/>
                    <w:rPr>
                      <w:rFonts w:hint="default"/>
                      <w:color w:val="auto"/>
                      <w:sz w:val="18"/>
                      <w:szCs w:val="18"/>
                      <w:lang w:val="en-US"/>
                    </w:rPr>
                  </w:pPr>
                  <w:r>
                    <w:rPr>
                      <w:rFonts w:hint="eastAsia" w:cs="Times New Roman"/>
                      <w:i w:val="0"/>
                      <w:iCs w:val="0"/>
                      <w:color w:val="auto"/>
                      <w:kern w:val="0"/>
                      <w:sz w:val="18"/>
                      <w:szCs w:val="18"/>
                      <w:u w:val="none"/>
                      <w:lang w:val="en-US" w:eastAsia="zh-CN" w:bidi="ar"/>
                    </w:rPr>
                    <w:t>53.7</w:t>
                  </w:r>
                </w:p>
              </w:tc>
              <w:tc>
                <w:tcPr>
                  <w:tcW w:w="430" w:type="pct"/>
                  <w:tcBorders>
                    <w:top w:val="single" w:color="auto" w:sz="4" w:space="0"/>
                    <w:bottom w:val="single" w:color="auto" w:sz="4" w:space="0"/>
                  </w:tcBorders>
                  <w:shd w:val="clear" w:color="auto" w:fill="auto"/>
                  <w:vAlign w:val="center"/>
                </w:tcPr>
                <w:p w14:paraId="7B65E852">
                  <w:pPr>
                    <w:keepNext w:val="0"/>
                    <w:keepLines w:val="0"/>
                    <w:widowControl/>
                    <w:suppressLineNumbers w:val="0"/>
                    <w:jc w:val="center"/>
                    <w:textAlignment w:val="center"/>
                    <w:rPr>
                      <w:rFonts w:hint="default"/>
                      <w:color w:val="auto"/>
                      <w:sz w:val="18"/>
                      <w:szCs w:val="18"/>
                      <w:lang w:val="en-US"/>
                    </w:rPr>
                  </w:pPr>
                  <w:r>
                    <w:rPr>
                      <w:rFonts w:hint="eastAsia" w:cs="Times New Roman"/>
                      <w:i w:val="0"/>
                      <w:iCs w:val="0"/>
                      <w:color w:val="auto"/>
                      <w:kern w:val="0"/>
                      <w:sz w:val="18"/>
                      <w:szCs w:val="18"/>
                      <w:u w:val="none"/>
                      <w:lang w:val="en-US" w:eastAsia="zh-CN" w:bidi="ar"/>
                    </w:rPr>
                    <w:t>7.98</w:t>
                  </w:r>
                </w:p>
              </w:tc>
              <w:tc>
                <w:tcPr>
                  <w:tcW w:w="466" w:type="pct"/>
                  <w:vMerge w:val="continue"/>
                  <w:shd w:val="clear" w:color="auto" w:fill="auto"/>
                  <w:vAlign w:val="center"/>
                </w:tcPr>
                <w:p w14:paraId="54D7CA48">
                  <w:pPr>
                    <w:jc w:val="center"/>
                    <w:rPr>
                      <w:color w:val="auto"/>
                      <w:sz w:val="18"/>
                      <w:szCs w:val="18"/>
                    </w:rPr>
                  </w:pPr>
                </w:p>
              </w:tc>
              <w:tc>
                <w:tcPr>
                  <w:tcW w:w="870" w:type="dxa"/>
                  <w:tcBorders>
                    <w:top w:val="single" w:color="auto" w:sz="4" w:space="0"/>
                    <w:bottom w:val="single" w:color="auto" w:sz="4" w:space="0"/>
                  </w:tcBorders>
                  <w:shd w:val="clear" w:color="auto" w:fill="auto"/>
                  <w:vAlign w:val="center"/>
                </w:tcPr>
                <w:p w14:paraId="59CB1E55">
                  <w:pPr>
                    <w:keepNext w:val="0"/>
                    <w:keepLines w:val="0"/>
                    <w:widowControl/>
                    <w:suppressLineNumbers w:val="0"/>
                    <w:jc w:val="center"/>
                    <w:textAlignment w:val="center"/>
                    <w:rPr>
                      <w:rFonts w:eastAsia="等线"/>
                      <w:color w:val="auto"/>
                      <w:sz w:val="18"/>
                      <w:szCs w:val="18"/>
                    </w:rPr>
                  </w:pPr>
                  <w:r>
                    <w:rPr>
                      <w:rFonts w:hint="eastAsia" w:cs="Times New Roman"/>
                      <w:i w:val="0"/>
                      <w:iCs w:val="0"/>
                      <w:color w:val="auto"/>
                      <w:kern w:val="0"/>
                      <w:sz w:val="18"/>
                      <w:szCs w:val="18"/>
                      <w:u w:val="none"/>
                      <w:lang w:val="en-US" w:eastAsia="zh-CN" w:bidi="ar"/>
                    </w:rPr>
                    <w:t>94.73</w:t>
                  </w:r>
                  <w:r>
                    <w:rPr>
                      <w:rFonts w:hint="default" w:ascii="Times New Roman" w:hAnsi="Times New Roman" w:eastAsia="宋体" w:cs="Times New Roman"/>
                      <w:i w:val="0"/>
                      <w:iCs w:val="0"/>
                      <w:color w:val="auto"/>
                      <w:kern w:val="0"/>
                      <w:sz w:val="18"/>
                      <w:szCs w:val="18"/>
                      <w:u w:val="none"/>
                      <w:lang w:val="en-US" w:eastAsia="zh-CN" w:bidi="ar"/>
                    </w:rPr>
                    <w:t>%</w:t>
                  </w:r>
                </w:p>
              </w:tc>
              <w:tc>
                <w:tcPr>
                  <w:tcW w:w="158" w:type="pct"/>
                  <w:vMerge w:val="continue"/>
                  <w:shd w:val="clear" w:color="auto" w:fill="auto"/>
                  <w:vAlign w:val="center"/>
                </w:tcPr>
                <w:p w14:paraId="0F1AC5E5">
                  <w:pPr>
                    <w:adjustRightInd w:val="0"/>
                    <w:snapToGrid w:val="0"/>
                    <w:jc w:val="center"/>
                    <w:rPr>
                      <w:color w:val="auto"/>
                      <w:sz w:val="18"/>
                      <w:szCs w:val="18"/>
                    </w:rPr>
                  </w:pPr>
                </w:p>
              </w:tc>
              <w:tc>
                <w:tcPr>
                  <w:tcW w:w="327" w:type="pct"/>
                  <w:vMerge w:val="continue"/>
                  <w:shd w:val="clear" w:color="auto" w:fill="auto"/>
                  <w:vAlign w:val="center"/>
                </w:tcPr>
                <w:p w14:paraId="5D3B300F">
                  <w:pPr>
                    <w:jc w:val="center"/>
                    <w:rPr>
                      <w:color w:val="auto"/>
                      <w:sz w:val="18"/>
                      <w:szCs w:val="18"/>
                    </w:rPr>
                  </w:pPr>
                </w:p>
              </w:tc>
              <w:tc>
                <w:tcPr>
                  <w:tcW w:w="504" w:type="pct"/>
                  <w:tcBorders>
                    <w:top w:val="single" w:color="auto" w:sz="4" w:space="0"/>
                    <w:bottom w:val="single" w:color="auto" w:sz="4" w:space="0"/>
                  </w:tcBorders>
                  <w:shd w:val="clear" w:color="auto" w:fill="auto"/>
                  <w:vAlign w:val="center"/>
                </w:tcPr>
                <w:p w14:paraId="0F9DE23A">
                  <w:pPr>
                    <w:jc w:val="center"/>
                    <w:rPr>
                      <w:color w:val="auto"/>
                      <w:sz w:val="18"/>
                      <w:szCs w:val="18"/>
                    </w:rPr>
                  </w:pPr>
                  <w:r>
                    <w:rPr>
                      <w:rFonts w:hint="eastAsia"/>
                      <w:color w:val="auto"/>
                      <w:sz w:val="18"/>
                      <w:szCs w:val="18"/>
                      <w:lang w:val="en-US" w:eastAsia="zh-CN"/>
                    </w:rPr>
                    <w:t>2.83</w:t>
                  </w:r>
                </w:p>
              </w:tc>
              <w:tc>
                <w:tcPr>
                  <w:tcW w:w="403" w:type="pct"/>
                  <w:tcBorders>
                    <w:top w:val="single" w:color="auto" w:sz="4" w:space="0"/>
                    <w:bottom w:val="single" w:color="auto" w:sz="4" w:space="0"/>
                  </w:tcBorders>
                  <w:shd w:val="clear" w:color="auto" w:fill="auto"/>
                  <w:vAlign w:val="center"/>
                </w:tcPr>
                <w:p w14:paraId="0B263965">
                  <w:pPr>
                    <w:keepNext w:val="0"/>
                    <w:keepLines w:val="0"/>
                    <w:widowControl/>
                    <w:suppressLineNumbers w:val="0"/>
                    <w:jc w:val="center"/>
                    <w:textAlignment w:val="center"/>
                    <w:rPr>
                      <w:color w:val="auto"/>
                      <w:sz w:val="18"/>
                      <w:szCs w:val="18"/>
                    </w:rPr>
                  </w:pPr>
                  <w:r>
                    <w:rPr>
                      <w:rFonts w:hint="eastAsia" w:cs="Times New Roman"/>
                      <w:i w:val="0"/>
                      <w:iCs w:val="0"/>
                      <w:color w:val="auto"/>
                      <w:kern w:val="0"/>
                      <w:sz w:val="18"/>
                      <w:szCs w:val="18"/>
                      <w:u w:val="none"/>
                      <w:lang w:val="en-US" w:eastAsia="zh-CN" w:bidi="ar"/>
                    </w:rPr>
                    <w:t>0.42</w:t>
                  </w:r>
                </w:p>
              </w:tc>
              <w:tc>
                <w:tcPr>
                  <w:tcW w:w="215" w:type="pct"/>
                  <w:vMerge w:val="continue"/>
                  <w:shd w:val="clear" w:color="auto" w:fill="auto"/>
                  <w:vAlign w:val="center"/>
                </w:tcPr>
                <w:p w14:paraId="42FB71D3">
                  <w:pPr>
                    <w:adjustRightInd w:val="0"/>
                    <w:snapToGrid w:val="0"/>
                    <w:jc w:val="center"/>
                    <w:rPr>
                      <w:color w:val="auto"/>
                      <w:sz w:val="18"/>
                      <w:szCs w:val="18"/>
                    </w:rPr>
                  </w:pPr>
                </w:p>
              </w:tc>
            </w:tr>
            <w:tr w14:paraId="75255D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3" w:type="pct"/>
                  <w:vMerge w:val="continue"/>
                  <w:shd w:val="clear" w:color="auto" w:fill="auto"/>
                  <w:vAlign w:val="center"/>
                </w:tcPr>
                <w:p w14:paraId="6DA66552">
                  <w:pPr>
                    <w:adjustRightInd w:val="0"/>
                    <w:snapToGrid w:val="0"/>
                    <w:jc w:val="center"/>
                    <w:rPr>
                      <w:color w:val="auto"/>
                      <w:sz w:val="18"/>
                      <w:szCs w:val="18"/>
                    </w:rPr>
                  </w:pPr>
                </w:p>
              </w:tc>
              <w:tc>
                <w:tcPr>
                  <w:tcW w:w="255" w:type="pct"/>
                  <w:vMerge w:val="continue"/>
                  <w:shd w:val="clear" w:color="auto" w:fill="auto"/>
                  <w:vAlign w:val="center"/>
                </w:tcPr>
                <w:p w14:paraId="3DC857C4">
                  <w:pPr>
                    <w:adjustRightInd w:val="0"/>
                    <w:snapToGrid w:val="0"/>
                    <w:jc w:val="center"/>
                    <w:rPr>
                      <w:color w:val="auto"/>
                      <w:sz w:val="18"/>
                      <w:szCs w:val="18"/>
                    </w:rPr>
                  </w:pPr>
                </w:p>
              </w:tc>
              <w:tc>
                <w:tcPr>
                  <w:tcW w:w="474" w:type="pct"/>
                  <w:tcBorders>
                    <w:top w:val="single" w:color="auto" w:sz="4" w:space="0"/>
                    <w:bottom w:val="single" w:color="auto" w:sz="4" w:space="0"/>
                  </w:tcBorders>
                  <w:shd w:val="clear" w:color="auto" w:fill="auto"/>
                  <w:vAlign w:val="center"/>
                </w:tcPr>
                <w:p w14:paraId="140D94CC">
                  <w:pPr>
                    <w:adjustRightInd w:val="0"/>
                    <w:snapToGrid w:val="0"/>
                    <w:jc w:val="center"/>
                    <w:rPr>
                      <w:color w:val="auto"/>
                      <w:sz w:val="18"/>
                      <w:szCs w:val="18"/>
                    </w:rPr>
                  </w:pPr>
                  <w:r>
                    <w:rPr>
                      <w:color w:val="auto"/>
                      <w:sz w:val="18"/>
                      <w:szCs w:val="18"/>
                    </w:rPr>
                    <w:t>总氮</w:t>
                  </w:r>
                </w:p>
              </w:tc>
              <w:tc>
                <w:tcPr>
                  <w:tcW w:w="217" w:type="pct"/>
                  <w:vMerge w:val="continue"/>
                  <w:shd w:val="clear" w:color="auto" w:fill="auto"/>
                  <w:vAlign w:val="center"/>
                </w:tcPr>
                <w:p w14:paraId="3AD3C855">
                  <w:pPr>
                    <w:adjustRightInd w:val="0"/>
                    <w:snapToGrid w:val="0"/>
                    <w:jc w:val="center"/>
                    <w:rPr>
                      <w:color w:val="auto"/>
                      <w:sz w:val="18"/>
                      <w:szCs w:val="18"/>
                    </w:rPr>
                  </w:pPr>
                </w:p>
              </w:tc>
              <w:tc>
                <w:tcPr>
                  <w:tcW w:w="284" w:type="pct"/>
                  <w:vMerge w:val="continue"/>
                  <w:shd w:val="clear" w:color="auto" w:fill="auto"/>
                  <w:vAlign w:val="center"/>
                </w:tcPr>
                <w:p w14:paraId="4BA2D71B">
                  <w:pPr>
                    <w:jc w:val="center"/>
                    <w:rPr>
                      <w:rFonts w:hint="default"/>
                      <w:color w:val="auto"/>
                      <w:sz w:val="18"/>
                      <w:szCs w:val="18"/>
                      <w:lang w:val="en-US"/>
                    </w:rPr>
                  </w:pPr>
                </w:p>
              </w:tc>
              <w:tc>
                <w:tcPr>
                  <w:tcW w:w="766" w:type="dxa"/>
                  <w:tcBorders>
                    <w:top w:val="single" w:color="auto" w:sz="4" w:space="0"/>
                    <w:bottom w:val="single" w:color="auto" w:sz="4" w:space="0"/>
                  </w:tcBorders>
                  <w:shd w:val="clear" w:color="auto" w:fill="auto"/>
                  <w:vAlign w:val="center"/>
                </w:tcPr>
                <w:p w14:paraId="28331224">
                  <w:pPr>
                    <w:keepNext w:val="0"/>
                    <w:keepLines w:val="0"/>
                    <w:widowControl/>
                    <w:suppressLineNumbers w:val="0"/>
                    <w:jc w:val="center"/>
                    <w:textAlignment w:val="center"/>
                    <w:rPr>
                      <w:rFonts w:hint="default"/>
                      <w:color w:val="auto"/>
                      <w:sz w:val="18"/>
                      <w:szCs w:val="18"/>
                      <w:lang w:val="en-US"/>
                    </w:rPr>
                  </w:pPr>
                  <w:r>
                    <w:rPr>
                      <w:rFonts w:hint="eastAsia" w:cs="Times New Roman"/>
                      <w:i w:val="0"/>
                      <w:iCs w:val="0"/>
                      <w:color w:val="auto"/>
                      <w:kern w:val="0"/>
                      <w:sz w:val="18"/>
                      <w:szCs w:val="18"/>
                      <w:u w:val="none"/>
                      <w:lang w:val="en-US" w:eastAsia="zh-CN" w:bidi="ar"/>
                    </w:rPr>
                    <w:t>103.42</w:t>
                  </w:r>
                </w:p>
              </w:tc>
              <w:tc>
                <w:tcPr>
                  <w:tcW w:w="430" w:type="pct"/>
                  <w:tcBorders>
                    <w:top w:val="single" w:color="auto" w:sz="4" w:space="0"/>
                    <w:bottom w:val="single" w:color="auto" w:sz="4" w:space="0"/>
                  </w:tcBorders>
                  <w:shd w:val="clear" w:color="auto" w:fill="auto"/>
                  <w:vAlign w:val="center"/>
                </w:tcPr>
                <w:p w14:paraId="3D9D076E">
                  <w:pPr>
                    <w:keepNext w:val="0"/>
                    <w:keepLines w:val="0"/>
                    <w:widowControl/>
                    <w:suppressLineNumbers w:val="0"/>
                    <w:jc w:val="center"/>
                    <w:textAlignment w:val="center"/>
                    <w:rPr>
                      <w:rFonts w:hint="default"/>
                      <w:color w:val="auto"/>
                      <w:sz w:val="18"/>
                      <w:szCs w:val="18"/>
                      <w:lang w:val="en-US"/>
                    </w:rPr>
                  </w:pPr>
                  <w:r>
                    <w:rPr>
                      <w:rFonts w:hint="eastAsia" w:cs="Times New Roman"/>
                      <w:i w:val="0"/>
                      <w:iCs w:val="0"/>
                      <w:color w:val="auto"/>
                      <w:kern w:val="0"/>
                      <w:sz w:val="18"/>
                      <w:szCs w:val="18"/>
                      <w:u w:val="none"/>
                      <w:lang w:val="en-US" w:eastAsia="zh-CN" w:bidi="ar"/>
                    </w:rPr>
                    <w:t>15.36</w:t>
                  </w:r>
                </w:p>
              </w:tc>
              <w:tc>
                <w:tcPr>
                  <w:tcW w:w="466" w:type="pct"/>
                  <w:vMerge w:val="continue"/>
                  <w:shd w:val="clear" w:color="auto" w:fill="auto"/>
                  <w:vAlign w:val="center"/>
                </w:tcPr>
                <w:p w14:paraId="21FC2C5D">
                  <w:pPr>
                    <w:jc w:val="center"/>
                    <w:rPr>
                      <w:color w:val="auto"/>
                      <w:sz w:val="18"/>
                      <w:szCs w:val="18"/>
                    </w:rPr>
                  </w:pPr>
                </w:p>
              </w:tc>
              <w:tc>
                <w:tcPr>
                  <w:tcW w:w="870" w:type="dxa"/>
                  <w:tcBorders>
                    <w:top w:val="single" w:color="auto" w:sz="4" w:space="0"/>
                    <w:bottom w:val="single" w:color="auto" w:sz="4" w:space="0"/>
                  </w:tcBorders>
                  <w:shd w:val="clear" w:color="auto" w:fill="auto"/>
                  <w:vAlign w:val="center"/>
                </w:tcPr>
                <w:p w14:paraId="3487FC6D">
                  <w:pPr>
                    <w:keepNext w:val="0"/>
                    <w:keepLines w:val="0"/>
                    <w:widowControl/>
                    <w:suppressLineNumbers w:val="0"/>
                    <w:jc w:val="center"/>
                    <w:textAlignment w:val="center"/>
                    <w:rPr>
                      <w:rFonts w:eastAsia="等线"/>
                      <w:color w:val="auto"/>
                      <w:sz w:val="18"/>
                      <w:szCs w:val="18"/>
                    </w:rPr>
                  </w:pPr>
                  <w:r>
                    <w:rPr>
                      <w:rFonts w:hint="eastAsia" w:cs="Times New Roman"/>
                      <w:i w:val="0"/>
                      <w:iCs w:val="0"/>
                      <w:color w:val="auto"/>
                      <w:kern w:val="0"/>
                      <w:sz w:val="18"/>
                      <w:szCs w:val="18"/>
                      <w:u w:val="none"/>
                      <w:lang w:val="en-US" w:eastAsia="zh-CN" w:bidi="ar"/>
                    </w:rPr>
                    <w:t>94.73</w:t>
                  </w:r>
                  <w:r>
                    <w:rPr>
                      <w:rFonts w:hint="default" w:ascii="Times New Roman" w:hAnsi="Times New Roman" w:eastAsia="宋体" w:cs="Times New Roman"/>
                      <w:i w:val="0"/>
                      <w:iCs w:val="0"/>
                      <w:color w:val="auto"/>
                      <w:kern w:val="0"/>
                      <w:sz w:val="18"/>
                      <w:szCs w:val="18"/>
                      <w:u w:val="none"/>
                      <w:lang w:val="en-US" w:eastAsia="zh-CN" w:bidi="ar"/>
                    </w:rPr>
                    <w:t>%</w:t>
                  </w:r>
                </w:p>
              </w:tc>
              <w:tc>
                <w:tcPr>
                  <w:tcW w:w="158" w:type="pct"/>
                  <w:vMerge w:val="continue"/>
                  <w:shd w:val="clear" w:color="auto" w:fill="auto"/>
                  <w:vAlign w:val="center"/>
                </w:tcPr>
                <w:p w14:paraId="49D59DFD">
                  <w:pPr>
                    <w:adjustRightInd w:val="0"/>
                    <w:snapToGrid w:val="0"/>
                    <w:jc w:val="center"/>
                    <w:rPr>
                      <w:color w:val="auto"/>
                      <w:sz w:val="18"/>
                      <w:szCs w:val="18"/>
                    </w:rPr>
                  </w:pPr>
                </w:p>
              </w:tc>
              <w:tc>
                <w:tcPr>
                  <w:tcW w:w="327" w:type="pct"/>
                  <w:vMerge w:val="continue"/>
                  <w:shd w:val="clear" w:color="auto" w:fill="auto"/>
                  <w:vAlign w:val="center"/>
                </w:tcPr>
                <w:p w14:paraId="3AD6DCD9">
                  <w:pPr>
                    <w:jc w:val="center"/>
                    <w:rPr>
                      <w:color w:val="auto"/>
                      <w:sz w:val="18"/>
                      <w:szCs w:val="18"/>
                    </w:rPr>
                  </w:pPr>
                </w:p>
              </w:tc>
              <w:tc>
                <w:tcPr>
                  <w:tcW w:w="504" w:type="pct"/>
                  <w:tcBorders>
                    <w:top w:val="single" w:color="auto" w:sz="4" w:space="0"/>
                    <w:bottom w:val="single" w:color="auto" w:sz="4" w:space="0"/>
                  </w:tcBorders>
                  <w:shd w:val="clear" w:color="auto" w:fill="auto"/>
                  <w:vAlign w:val="center"/>
                </w:tcPr>
                <w:p w14:paraId="6B38100B">
                  <w:pPr>
                    <w:jc w:val="center"/>
                    <w:rPr>
                      <w:color w:val="auto"/>
                      <w:sz w:val="18"/>
                      <w:szCs w:val="18"/>
                    </w:rPr>
                  </w:pPr>
                  <w:r>
                    <w:rPr>
                      <w:rFonts w:hint="eastAsia"/>
                      <w:color w:val="auto"/>
                      <w:sz w:val="18"/>
                      <w:szCs w:val="18"/>
                      <w:lang w:val="en-US" w:eastAsia="zh-CN"/>
                    </w:rPr>
                    <w:t>5.45</w:t>
                  </w:r>
                </w:p>
              </w:tc>
              <w:tc>
                <w:tcPr>
                  <w:tcW w:w="403" w:type="pct"/>
                  <w:tcBorders>
                    <w:top w:val="single" w:color="auto" w:sz="4" w:space="0"/>
                    <w:bottom w:val="single" w:color="auto" w:sz="4" w:space="0"/>
                  </w:tcBorders>
                  <w:shd w:val="clear" w:color="auto" w:fill="auto"/>
                  <w:vAlign w:val="center"/>
                </w:tcPr>
                <w:p w14:paraId="2F445DA9">
                  <w:pPr>
                    <w:keepNext w:val="0"/>
                    <w:keepLines w:val="0"/>
                    <w:widowControl/>
                    <w:suppressLineNumbers w:val="0"/>
                    <w:jc w:val="center"/>
                    <w:textAlignment w:val="center"/>
                    <w:rPr>
                      <w:color w:val="auto"/>
                      <w:sz w:val="18"/>
                      <w:szCs w:val="18"/>
                    </w:rPr>
                  </w:pPr>
                  <w:r>
                    <w:rPr>
                      <w:rFonts w:hint="eastAsia" w:cs="Times New Roman"/>
                      <w:i w:val="0"/>
                      <w:iCs w:val="0"/>
                      <w:color w:val="auto"/>
                      <w:kern w:val="0"/>
                      <w:sz w:val="18"/>
                      <w:szCs w:val="18"/>
                      <w:u w:val="none"/>
                      <w:lang w:val="en-US" w:eastAsia="zh-CN" w:bidi="ar"/>
                    </w:rPr>
                    <w:t>0.81</w:t>
                  </w:r>
                </w:p>
              </w:tc>
              <w:tc>
                <w:tcPr>
                  <w:tcW w:w="215" w:type="pct"/>
                  <w:vMerge w:val="continue"/>
                  <w:shd w:val="clear" w:color="auto" w:fill="auto"/>
                  <w:vAlign w:val="center"/>
                </w:tcPr>
                <w:p w14:paraId="3950402C">
                  <w:pPr>
                    <w:adjustRightInd w:val="0"/>
                    <w:snapToGrid w:val="0"/>
                    <w:jc w:val="center"/>
                    <w:rPr>
                      <w:color w:val="auto"/>
                      <w:sz w:val="18"/>
                      <w:szCs w:val="18"/>
                    </w:rPr>
                  </w:pPr>
                </w:p>
              </w:tc>
            </w:tr>
            <w:tr w14:paraId="4BDF70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3" w:type="pct"/>
                  <w:vMerge w:val="continue"/>
                  <w:shd w:val="clear" w:color="auto" w:fill="auto"/>
                  <w:vAlign w:val="center"/>
                </w:tcPr>
                <w:p w14:paraId="5037A39B">
                  <w:pPr>
                    <w:adjustRightInd w:val="0"/>
                    <w:snapToGrid w:val="0"/>
                    <w:jc w:val="center"/>
                    <w:rPr>
                      <w:color w:val="auto"/>
                      <w:sz w:val="18"/>
                      <w:szCs w:val="18"/>
                    </w:rPr>
                  </w:pPr>
                </w:p>
              </w:tc>
              <w:tc>
                <w:tcPr>
                  <w:tcW w:w="255" w:type="pct"/>
                  <w:vMerge w:val="continue"/>
                  <w:shd w:val="clear" w:color="auto" w:fill="auto"/>
                  <w:vAlign w:val="center"/>
                </w:tcPr>
                <w:p w14:paraId="1152CE46">
                  <w:pPr>
                    <w:adjustRightInd w:val="0"/>
                    <w:snapToGrid w:val="0"/>
                    <w:jc w:val="center"/>
                    <w:rPr>
                      <w:color w:val="auto"/>
                      <w:sz w:val="18"/>
                      <w:szCs w:val="18"/>
                    </w:rPr>
                  </w:pPr>
                </w:p>
              </w:tc>
              <w:tc>
                <w:tcPr>
                  <w:tcW w:w="474" w:type="pct"/>
                  <w:tcBorders>
                    <w:top w:val="single" w:color="auto" w:sz="4" w:space="0"/>
                    <w:bottom w:val="single" w:color="auto" w:sz="4" w:space="0"/>
                  </w:tcBorders>
                  <w:shd w:val="clear" w:color="auto" w:fill="auto"/>
                  <w:vAlign w:val="center"/>
                </w:tcPr>
                <w:p w14:paraId="6EF53B8E">
                  <w:pPr>
                    <w:adjustRightInd w:val="0"/>
                    <w:snapToGrid w:val="0"/>
                    <w:jc w:val="center"/>
                    <w:rPr>
                      <w:color w:val="auto"/>
                      <w:sz w:val="18"/>
                      <w:szCs w:val="18"/>
                    </w:rPr>
                  </w:pPr>
                  <w:r>
                    <w:rPr>
                      <w:color w:val="auto"/>
                      <w:sz w:val="18"/>
                      <w:szCs w:val="18"/>
                    </w:rPr>
                    <w:t>总磷</w:t>
                  </w:r>
                </w:p>
              </w:tc>
              <w:tc>
                <w:tcPr>
                  <w:tcW w:w="217" w:type="pct"/>
                  <w:vMerge w:val="continue"/>
                  <w:shd w:val="clear" w:color="auto" w:fill="auto"/>
                  <w:vAlign w:val="center"/>
                </w:tcPr>
                <w:p w14:paraId="44BA658B">
                  <w:pPr>
                    <w:adjustRightInd w:val="0"/>
                    <w:snapToGrid w:val="0"/>
                    <w:jc w:val="center"/>
                    <w:rPr>
                      <w:color w:val="auto"/>
                      <w:sz w:val="18"/>
                      <w:szCs w:val="18"/>
                    </w:rPr>
                  </w:pPr>
                </w:p>
              </w:tc>
              <w:tc>
                <w:tcPr>
                  <w:tcW w:w="284" w:type="pct"/>
                  <w:vMerge w:val="continue"/>
                  <w:shd w:val="clear" w:color="auto" w:fill="auto"/>
                  <w:vAlign w:val="center"/>
                </w:tcPr>
                <w:p w14:paraId="4B3E722F">
                  <w:pPr>
                    <w:jc w:val="center"/>
                    <w:rPr>
                      <w:color w:val="auto"/>
                      <w:sz w:val="18"/>
                      <w:szCs w:val="18"/>
                    </w:rPr>
                  </w:pPr>
                </w:p>
              </w:tc>
              <w:tc>
                <w:tcPr>
                  <w:tcW w:w="766" w:type="dxa"/>
                  <w:tcBorders>
                    <w:top w:val="single" w:color="auto" w:sz="4" w:space="0"/>
                    <w:bottom w:val="single" w:color="auto" w:sz="4" w:space="0"/>
                  </w:tcBorders>
                  <w:shd w:val="clear" w:color="auto" w:fill="auto"/>
                  <w:vAlign w:val="center"/>
                </w:tcPr>
                <w:p w14:paraId="647A67A2">
                  <w:pPr>
                    <w:keepNext w:val="0"/>
                    <w:keepLines w:val="0"/>
                    <w:widowControl/>
                    <w:suppressLineNumbers w:val="0"/>
                    <w:jc w:val="center"/>
                    <w:textAlignment w:val="center"/>
                    <w:rPr>
                      <w:rFonts w:hint="default"/>
                      <w:color w:val="auto"/>
                      <w:sz w:val="18"/>
                      <w:szCs w:val="18"/>
                      <w:lang w:val="en-US"/>
                    </w:rPr>
                  </w:pPr>
                  <w:r>
                    <w:rPr>
                      <w:rFonts w:hint="eastAsia" w:cs="Times New Roman"/>
                      <w:i w:val="0"/>
                      <w:iCs w:val="0"/>
                      <w:color w:val="auto"/>
                      <w:kern w:val="0"/>
                      <w:sz w:val="18"/>
                      <w:szCs w:val="18"/>
                      <w:u w:val="none"/>
                      <w:lang w:val="en-US" w:eastAsia="zh-CN" w:bidi="ar"/>
                    </w:rPr>
                    <w:t>13.67</w:t>
                  </w:r>
                </w:p>
              </w:tc>
              <w:tc>
                <w:tcPr>
                  <w:tcW w:w="430" w:type="pct"/>
                  <w:tcBorders>
                    <w:top w:val="single" w:color="auto" w:sz="4" w:space="0"/>
                    <w:bottom w:val="single" w:color="auto" w:sz="4" w:space="0"/>
                  </w:tcBorders>
                  <w:shd w:val="clear" w:color="auto" w:fill="auto"/>
                  <w:vAlign w:val="center"/>
                </w:tcPr>
                <w:p w14:paraId="26F8D16F">
                  <w:pPr>
                    <w:keepNext w:val="0"/>
                    <w:keepLines w:val="0"/>
                    <w:widowControl/>
                    <w:suppressLineNumbers w:val="0"/>
                    <w:jc w:val="center"/>
                    <w:textAlignment w:val="center"/>
                    <w:rPr>
                      <w:rFonts w:hint="default"/>
                      <w:color w:val="auto"/>
                      <w:sz w:val="18"/>
                      <w:szCs w:val="18"/>
                      <w:lang w:val="en-US"/>
                    </w:rPr>
                  </w:pPr>
                  <w:r>
                    <w:rPr>
                      <w:rFonts w:hint="eastAsia" w:cs="Times New Roman"/>
                      <w:i w:val="0"/>
                      <w:iCs w:val="0"/>
                      <w:color w:val="auto"/>
                      <w:kern w:val="0"/>
                      <w:sz w:val="18"/>
                      <w:szCs w:val="18"/>
                      <w:u w:val="none"/>
                      <w:lang w:val="en-US" w:eastAsia="zh-CN" w:bidi="ar"/>
                    </w:rPr>
                    <w:t>2.03</w:t>
                  </w:r>
                </w:p>
              </w:tc>
              <w:tc>
                <w:tcPr>
                  <w:tcW w:w="466" w:type="pct"/>
                  <w:vMerge w:val="continue"/>
                  <w:shd w:val="clear" w:color="auto" w:fill="auto"/>
                  <w:vAlign w:val="center"/>
                </w:tcPr>
                <w:p w14:paraId="4E24CFB2">
                  <w:pPr>
                    <w:jc w:val="center"/>
                    <w:rPr>
                      <w:color w:val="auto"/>
                      <w:sz w:val="18"/>
                      <w:szCs w:val="18"/>
                    </w:rPr>
                  </w:pPr>
                </w:p>
              </w:tc>
              <w:tc>
                <w:tcPr>
                  <w:tcW w:w="870" w:type="dxa"/>
                  <w:tcBorders>
                    <w:top w:val="single" w:color="auto" w:sz="4" w:space="0"/>
                    <w:bottom w:val="single" w:color="auto" w:sz="4" w:space="0"/>
                  </w:tcBorders>
                  <w:shd w:val="clear" w:color="auto" w:fill="auto"/>
                  <w:vAlign w:val="center"/>
                </w:tcPr>
                <w:p w14:paraId="4DD7E0BA">
                  <w:pPr>
                    <w:keepNext w:val="0"/>
                    <w:keepLines w:val="0"/>
                    <w:widowControl/>
                    <w:suppressLineNumbers w:val="0"/>
                    <w:jc w:val="center"/>
                    <w:textAlignment w:val="center"/>
                    <w:rPr>
                      <w:rFonts w:eastAsia="等线"/>
                      <w:color w:val="auto"/>
                      <w:sz w:val="18"/>
                      <w:szCs w:val="18"/>
                    </w:rPr>
                  </w:pPr>
                  <w:r>
                    <w:rPr>
                      <w:rFonts w:hint="eastAsia" w:cs="Times New Roman"/>
                      <w:i w:val="0"/>
                      <w:iCs w:val="0"/>
                      <w:color w:val="auto"/>
                      <w:kern w:val="0"/>
                      <w:sz w:val="18"/>
                      <w:szCs w:val="18"/>
                      <w:u w:val="none"/>
                      <w:lang w:val="en-US" w:eastAsia="zh-CN" w:bidi="ar"/>
                    </w:rPr>
                    <w:t>96.05</w:t>
                  </w:r>
                  <w:r>
                    <w:rPr>
                      <w:rFonts w:hint="default" w:ascii="Times New Roman" w:hAnsi="Times New Roman" w:eastAsia="宋体" w:cs="Times New Roman"/>
                      <w:i w:val="0"/>
                      <w:iCs w:val="0"/>
                      <w:color w:val="auto"/>
                      <w:kern w:val="0"/>
                      <w:sz w:val="18"/>
                      <w:szCs w:val="18"/>
                      <w:u w:val="none"/>
                      <w:lang w:val="en-US" w:eastAsia="zh-CN" w:bidi="ar"/>
                    </w:rPr>
                    <w:t>%</w:t>
                  </w:r>
                </w:p>
              </w:tc>
              <w:tc>
                <w:tcPr>
                  <w:tcW w:w="158" w:type="pct"/>
                  <w:vMerge w:val="continue"/>
                  <w:shd w:val="clear" w:color="auto" w:fill="auto"/>
                  <w:vAlign w:val="center"/>
                </w:tcPr>
                <w:p w14:paraId="1B57FEE6">
                  <w:pPr>
                    <w:adjustRightInd w:val="0"/>
                    <w:snapToGrid w:val="0"/>
                    <w:jc w:val="center"/>
                    <w:rPr>
                      <w:color w:val="auto"/>
                      <w:sz w:val="18"/>
                      <w:szCs w:val="18"/>
                    </w:rPr>
                  </w:pPr>
                </w:p>
              </w:tc>
              <w:tc>
                <w:tcPr>
                  <w:tcW w:w="327" w:type="pct"/>
                  <w:vMerge w:val="continue"/>
                  <w:shd w:val="clear" w:color="auto" w:fill="auto"/>
                  <w:vAlign w:val="center"/>
                </w:tcPr>
                <w:p w14:paraId="085B96E3">
                  <w:pPr>
                    <w:jc w:val="center"/>
                    <w:rPr>
                      <w:color w:val="auto"/>
                      <w:sz w:val="18"/>
                      <w:szCs w:val="18"/>
                    </w:rPr>
                  </w:pPr>
                </w:p>
              </w:tc>
              <w:tc>
                <w:tcPr>
                  <w:tcW w:w="504" w:type="pct"/>
                  <w:tcBorders>
                    <w:top w:val="single" w:color="auto" w:sz="4" w:space="0"/>
                    <w:bottom w:val="single" w:color="auto" w:sz="4" w:space="0"/>
                  </w:tcBorders>
                  <w:shd w:val="clear" w:color="auto" w:fill="auto"/>
                  <w:vAlign w:val="center"/>
                </w:tcPr>
                <w:p w14:paraId="2EA501DD">
                  <w:pPr>
                    <w:jc w:val="center"/>
                    <w:rPr>
                      <w:color w:val="auto"/>
                      <w:sz w:val="18"/>
                      <w:szCs w:val="18"/>
                    </w:rPr>
                  </w:pPr>
                  <w:r>
                    <w:rPr>
                      <w:rFonts w:hint="eastAsia"/>
                      <w:color w:val="auto"/>
                      <w:sz w:val="18"/>
                      <w:szCs w:val="18"/>
                      <w:lang w:val="en-US" w:eastAsia="zh-CN"/>
                    </w:rPr>
                    <w:t>0.54</w:t>
                  </w:r>
                </w:p>
              </w:tc>
              <w:tc>
                <w:tcPr>
                  <w:tcW w:w="403" w:type="pct"/>
                  <w:tcBorders>
                    <w:top w:val="single" w:color="auto" w:sz="4" w:space="0"/>
                    <w:bottom w:val="single" w:color="auto" w:sz="4" w:space="0"/>
                  </w:tcBorders>
                  <w:shd w:val="clear" w:color="auto" w:fill="auto"/>
                  <w:vAlign w:val="center"/>
                </w:tcPr>
                <w:p w14:paraId="2E4B27DF">
                  <w:pPr>
                    <w:keepNext w:val="0"/>
                    <w:keepLines w:val="0"/>
                    <w:widowControl/>
                    <w:suppressLineNumbers w:val="0"/>
                    <w:jc w:val="center"/>
                    <w:textAlignment w:val="center"/>
                    <w:rPr>
                      <w:color w:val="auto"/>
                      <w:sz w:val="18"/>
                      <w:szCs w:val="18"/>
                    </w:rPr>
                  </w:pPr>
                  <w:r>
                    <w:rPr>
                      <w:rFonts w:hint="eastAsia" w:cs="Times New Roman"/>
                      <w:i w:val="0"/>
                      <w:iCs w:val="0"/>
                      <w:color w:val="auto"/>
                      <w:kern w:val="0"/>
                      <w:sz w:val="18"/>
                      <w:szCs w:val="18"/>
                      <w:u w:val="none"/>
                      <w:lang w:val="en-US" w:eastAsia="zh-CN" w:bidi="ar"/>
                    </w:rPr>
                    <w:t>0.08</w:t>
                  </w:r>
                </w:p>
              </w:tc>
              <w:tc>
                <w:tcPr>
                  <w:tcW w:w="215" w:type="pct"/>
                  <w:vMerge w:val="continue"/>
                  <w:shd w:val="clear" w:color="auto" w:fill="auto"/>
                  <w:vAlign w:val="center"/>
                </w:tcPr>
                <w:p w14:paraId="2BAB98FD">
                  <w:pPr>
                    <w:adjustRightInd w:val="0"/>
                    <w:snapToGrid w:val="0"/>
                    <w:jc w:val="center"/>
                    <w:rPr>
                      <w:color w:val="auto"/>
                      <w:sz w:val="18"/>
                      <w:szCs w:val="18"/>
                    </w:rPr>
                  </w:pPr>
                </w:p>
              </w:tc>
            </w:tr>
            <w:tr w14:paraId="1E7B84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3" w:type="pct"/>
                  <w:vMerge w:val="continue"/>
                  <w:shd w:val="clear" w:color="auto" w:fill="auto"/>
                  <w:vAlign w:val="center"/>
                </w:tcPr>
                <w:p w14:paraId="379E2A34">
                  <w:pPr>
                    <w:adjustRightInd w:val="0"/>
                    <w:snapToGrid w:val="0"/>
                    <w:jc w:val="center"/>
                    <w:rPr>
                      <w:color w:val="auto"/>
                      <w:sz w:val="18"/>
                      <w:szCs w:val="18"/>
                    </w:rPr>
                  </w:pPr>
                </w:p>
              </w:tc>
              <w:tc>
                <w:tcPr>
                  <w:tcW w:w="255" w:type="pct"/>
                  <w:vMerge w:val="continue"/>
                  <w:shd w:val="clear" w:color="auto" w:fill="auto"/>
                  <w:vAlign w:val="center"/>
                </w:tcPr>
                <w:p w14:paraId="16A454CB">
                  <w:pPr>
                    <w:adjustRightInd w:val="0"/>
                    <w:snapToGrid w:val="0"/>
                    <w:jc w:val="center"/>
                    <w:rPr>
                      <w:color w:val="auto"/>
                      <w:sz w:val="18"/>
                      <w:szCs w:val="18"/>
                    </w:rPr>
                  </w:pPr>
                </w:p>
              </w:tc>
              <w:tc>
                <w:tcPr>
                  <w:tcW w:w="474" w:type="pct"/>
                  <w:tcBorders>
                    <w:top w:val="single" w:color="auto" w:sz="4" w:space="0"/>
                    <w:bottom w:val="single" w:color="auto" w:sz="4" w:space="0"/>
                  </w:tcBorders>
                  <w:shd w:val="clear" w:color="auto" w:fill="auto"/>
                  <w:vAlign w:val="center"/>
                </w:tcPr>
                <w:p w14:paraId="67D14AAB">
                  <w:pPr>
                    <w:adjustRightInd w:val="0"/>
                    <w:snapToGrid w:val="0"/>
                    <w:jc w:val="center"/>
                    <w:rPr>
                      <w:color w:val="auto"/>
                      <w:sz w:val="18"/>
                      <w:szCs w:val="18"/>
                    </w:rPr>
                  </w:pPr>
                  <w:r>
                    <w:rPr>
                      <w:color w:val="auto"/>
                      <w:sz w:val="18"/>
                      <w:szCs w:val="18"/>
                    </w:rPr>
                    <w:t>动植物油</w:t>
                  </w:r>
                </w:p>
              </w:tc>
              <w:tc>
                <w:tcPr>
                  <w:tcW w:w="217" w:type="pct"/>
                  <w:vMerge w:val="continue"/>
                  <w:shd w:val="clear" w:color="auto" w:fill="auto"/>
                  <w:vAlign w:val="center"/>
                </w:tcPr>
                <w:p w14:paraId="60FF2099">
                  <w:pPr>
                    <w:adjustRightInd w:val="0"/>
                    <w:snapToGrid w:val="0"/>
                    <w:jc w:val="center"/>
                    <w:rPr>
                      <w:color w:val="auto"/>
                      <w:sz w:val="18"/>
                      <w:szCs w:val="18"/>
                    </w:rPr>
                  </w:pPr>
                </w:p>
              </w:tc>
              <w:tc>
                <w:tcPr>
                  <w:tcW w:w="284" w:type="pct"/>
                  <w:vMerge w:val="continue"/>
                  <w:shd w:val="clear" w:color="auto" w:fill="auto"/>
                  <w:vAlign w:val="center"/>
                </w:tcPr>
                <w:p w14:paraId="2ADE6233">
                  <w:pPr>
                    <w:jc w:val="center"/>
                    <w:rPr>
                      <w:color w:val="auto"/>
                      <w:sz w:val="18"/>
                      <w:szCs w:val="18"/>
                    </w:rPr>
                  </w:pPr>
                </w:p>
              </w:tc>
              <w:tc>
                <w:tcPr>
                  <w:tcW w:w="766" w:type="dxa"/>
                  <w:tcBorders>
                    <w:top w:val="single" w:color="auto" w:sz="4" w:space="0"/>
                    <w:bottom w:val="single" w:color="auto" w:sz="4" w:space="0"/>
                  </w:tcBorders>
                  <w:shd w:val="clear" w:color="auto" w:fill="auto"/>
                  <w:vAlign w:val="center"/>
                </w:tcPr>
                <w:p w14:paraId="2980E8F1">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12.05</w:t>
                  </w:r>
                </w:p>
              </w:tc>
              <w:tc>
                <w:tcPr>
                  <w:tcW w:w="430" w:type="pct"/>
                  <w:tcBorders>
                    <w:top w:val="single" w:color="auto" w:sz="4" w:space="0"/>
                    <w:bottom w:val="single" w:color="auto" w:sz="4" w:space="0"/>
                  </w:tcBorders>
                  <w:shd w:val="clear" w:color="auto" w:fill="auto"/>
                  <w:vAlign w:val="center"/>
                </w:tcPr>
                <w:p w14:paraId="56F3F9C1">
                  <w:pPr>
                    <w:keepNext w:val="0"/>
                    <w:keepLines w:val="0"/>
                    <w:widowControl/>
                    <w:suppressLineNumbers w:val="0"/>
                    <w:jc w:val="center"/>
                    <w:textAlignment w:val="center"/>
                    <w:rPr>
                      <w:rFonts w:hint="default"/>
                      <w:color w:val="auto"/>
                      <w:sz w:val="18"/>
                      <w:szCs w:val="18"/>
                      <w:lang w:val="en-US"/>
                    </w:rPr>
                  </w:pPr>
                  <w:r>
                    <w:rPr>
                      <w:rFonts w:hint="eastAsia" w:cs="Times New Roman"/>
                      <w:i w:val="0"/>
                      <w:iCs w:val="0"/>
                      <w:color w:val="auto"/>
                      <w:kern w:val="0"/>
                      <w:sz w:val="18"/>
                      <w:szCs w:val="18"/>
                      <w:u w:val="none"/>
                      <w:lang w:val="en-US" w:eastAsia="zh-CN" w:bidi="ar"/>
                    </w:rPr>
                    <w:t>1.79</w:t>
                  </w:r>
                </w:p>
              </w:tc>
              <w:tc>
                <w:tcPr>
                  <w:tcW w:w="466" w:type="pct"/>
                  <w:vMerge w:val="continue"/>
                  <w:shd w:val="clear" w:color="auto" w:fill="auto"/>
                  <w:vAlign w:val="center"/>
                </w:tcPr>
                <w:p w14:paraId="707DC5D2">
                  <w:pPr>
                    <w:jc w:val="center"/>
                    <w:rPr>
                      <w:color w:val="auto"/>
                      <w:sz w:val="18"/>
                      <w:szCs w:val="18"/>
                    </w:rPr>
                  </w:pPr>
                </w:p>
              </w:tc>
              <w:tc>
                <w:tcPr>
                  <w:tcW w:w="870" w:type="dxa"/>
                  <w:tcBorders>
                    <w:top w:val="single" w:color="auto" w:sz="4" w:space="0"/>
                    <w:bottom w:val="single" w:color="auto" w:sz="4" w:space="0"/>
                  </w:tcBorders>
                  <w:shd w:val="clear" w:color="auto" w:fill="auto"/>
                  <w:vAlign w:val="center"/>
                </w:tcPr>
                <w:p w14:paraId="6E58BE7E">
                  <w:pPr>
                    <w:keepNext w:val="0"/>
                    <w:keepLines w:val="0"/>
                    <w:widowControl/>
                    <w:suppressLineNumbers w:val="0"/>
                    <w:jc w:val="center"/>
                    <w:textAlignment w:val="center"/>
                    <w:rPr>
                      <w:rFonts w:eastAsia="等线"/>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97.77%</w:t>
                  </w:r>
                </w:p>
              </w:tc>
              <w:tc>
                <w:tcPr>
                  <w:tcW w:w="158" w:type="pct"/>
                  <w:vMerge w:val="continue"/>
                  <w:shd w:val="clear" w:color="auto" w:fill="auto"/>
                  <w:vAlign w:val="center"/>
                </w:tcPr>
                <w:p w14:paraId="179B25FB">
                  <w:pPr>
                    <w:adjustRightInd w:val="0"/>
                    <w:snapToGrid w:val="0"/>
                    <w:jc w:val="center"/>
                    <w:rPr>
                      <w:color w:val="auto"/>
                      <w:sz w:val="18"/>
                      <w:szCs w:val="18"/>
                    </w:rPr>
                  </w:pPr>
                </w:p>
              </w:tc>
              <w:tc>
                <w:tcPr>
                  <w:tcW w:w="327" w:type="pct"/>
                  <w:vMerge w:val="continue"/>
                  <w:shd w:val="clear" w:color="auto" w:fill="auto"/>
                  <w:vAlign w:val="center"/>
                </w:tcPr>
                <w:p w14:paraId="304575B2">
                  <w:pPr>
                    <w:jc w:val="center"/>
                    <w:rPr>
                      <w:color w:val="auto"/>
                      <w:sz w:val="18"/>
                      <w:szCs w:val="18"/>
                    </w:rPr>
                  </w:pPr>
                </w:p>
              </w:tc>
              <w:tc>
                <w:tcPr>
                  <w:tcW w:w="504" w:type="pct"/>
                  <w:tcBorders>
                    <w:top w:val="single" w:color="auto" w:sz="4" w:space="0"/>
                    <w:bottom w:val="single" w:color="auto" w:sz="4" w:space="0"/>
                  </w:tcBorders>
                  <w:shd w:val="clear" w:color="auto" w:fill="auto"/>
                  <w:vAlign w:val="center"/>
                </w:tcPr>
                <w:p w14:paraId="385BB5D1">
                  <w:pPr>
                    <w:jc w:val="center"/>
                    <w:rPr>
                      <w:rFonts w:hint="eastAsia"/>
                      <w:color w:val="auto"/>
                      <w:sz w:val="18"/>
                      <w:szCs w:val="18"/>
                      <w:lang w:val="en-US" w:eastAsia="zh-CN"/>
                    </w:rPr>
                  </w:pPr>
                  <w:r>
                    <w:rPr>
                      <w:rFonts w:hint="eastAsia"/>
                      <w:color w:val="auto"/>
                      <w:sz w:val="18"/>
                      <w:szCs w:val="18"/>
                      <w:lang w:val="en-US" w:eastAsia="zh-CN"/>
                    </w:rPr>
                    <w:t>0.27</w:t>
                  </w:r>
                </w:p>
              </w:tc>
              <w:tc>
                <w:tcPr>
                  <w:tcW w:w="403" w:type="pct"/>
                  <w:tcBorders>
                    <w:top w:val="single" w:color="auto" w:sz="4" w:space="0"/>
                    <w:bottom w:val="single" w:color="auto" w:sz="4" w:space="0"/>
                  </w:tcBorders>
                  <w:shd w:val="clear" w:color="auto" w:fill="auto"/>
                  <w:vAlign w:val="center"/>
                </w:tcPr>
                <w:p w14:paraId="6BFB0427">
                  <w:pPr>
                    <w:keepNext w:val="0"/>
                    <w:keepLines w:val="0"/>
                    <w:widowControl/>
                    <w:suppressLineNumbers w:val="0"/>
                    <w:jc w:val="center"/>
                    <w:textAlignment w:val="center"/>
                    <w:rPr>
                      <w:rFonts w:hint="eastAsia"/>
                      <w:color w:val="auto"/>
                      <w:sz w:val="18"/>
                      <w:szCs w:val="18"/>
                      <w:lang w:val="en-US" w:eastAsia="zh-CN"/>
                    </w:rPr>
                  </w:pPr>
                  <w:r>
                    <w:rPr>
                      <w:rFonts w:hint="eastAsia" w:cs="Times New Roman"/>
                      <w:i w:val="0"/>
                      <w:iCs w:val="0"/>
                      <w:color w:val="auto"/>
                      <w:kern w:val="0"/>
                      <w:sz w:val="18"/>
                      <w:szCs w:val="18"/>
                      <w:u w:val="none"/>
                      <w:lang w:val="en-US" w:eastAsia="zh-CN" w:bidi="ar"/>
                    </w:rPr>
                    <w:t>0.04</w:t>
                  </w:r>
                </w:p>
              </w:tc>
              <w:tc>
                <w:tcPr>
                  <w:tcW w:w="215" w:type="pct"/>
                  <w:vMerge w:val="continue"/>
                  <w:shd w:val="clear" w:color="auto" w:fill="auto"/>
                  <w:vAlign w:val="center"/>
                </w:tcPr>
                <w:p w14:paraId="14BCC55B">
                  <w:pPr>
                    <w:adjustRightInd w:val="0"/>
                    <w:snapToGrid w:val="0"/>
                    <w:jc w:val="center"/>
                    <w:rPr>
                      <w:color w:val="auto"/>
                      <w:szCs w:val="21"/>
                    </w:rPr>
                  </w:pPr>
                </w:p>
              </w:tc>
            </w:tr>
            <w:tr w14:paraId="1B4341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03" w:type="pct"/>
                  <w:vMerge w:val="continue"/>
                  <w:shd w:val="clear" w:color="auto" w:fill="auto"/>
                  <w:vAlign w:val="center"/>
                </w:tcPr>
                <w:p w14:paraId="0605EF8D">
                  <w:pPr>
                    <w:adjustRightInd w:val="0"/>
                    <w:snapToGrid w:val="0"/>
                    <w:jc w:val="center"/>
                    <w:rPr>
                      <w:color w:val="auto"/>
                      <w:sz w:val="18"/>
                      <w:szCs w:val="18"/>
                    </w:rPr>
                  </w:pPr>
                </w:p>
              </w:tc>
              <w:tc>
                <w:tcPr>
                  <w:tcW w:w="255" w:type="pct"/>
                  <w:vMerge w:val="continue"/>
                  <w:shd w:val="clear" w:color="auto" w:fill="auto"/>
                  <w:vAlign w:val="center"/>
                </w:tcPr>
                <w:p w14:paraId="78C72C15">
                  <w:pPr>
                    <w:adjustRightInd w:val="0"/>
                    <w:snapToGrid w:val="0"/>
                    <w:jc w:val="center"/>
                    <w:rPr>
                      <w:color w:val="auto"/>
                      <w:sz w:val="18"/>
                      <w:szCs w:val="18"/>
                    </w:rPr>
                  </w:pPr>
                </w:p>
              </w:tc>
              <w:tc>
                <w:tcPr>
                  <w:tcW w:w="474" w:type="pct"/>
                  <w:tcBorders>
                    <w:top w:val="single" w:color="auto" w:sz="4" w:space="0"/>
                    <w:bottom w:val="single" w:color="auto" w:sz="4" w:space="0"/>
                  </w:tcBorders>
                  <w:shd w:val="clear" w:color="auto" w:fill="auto"/>
                  <w:vAlign w:val="center"/>
                </w:tcPr>
                <w:p w14:paraId="0FC74726">
                  <w:pPr>
                    <w:adjustRightInd w:val="0"/>
                    <w:snapToGrid w:val="0"/>
                    <w:jc w:val="center"/>
                    <w:rPr>
                      <w:color w:val="auto"/>
                      <w:sz w:val="18"/>
                      <w:szCs w:val="18"/>
                    </w:rPr>
                  </w:pPr>
                  <w:r>
                    <w:rPr>
                      <w:color w:val="auto"/>
                      <w:sz w:val="18"/>
                      <w:szCs w:val="18"/>
                    </w:rPr>
                    <w:t>LAS</w:t>
                  </w:r>
                </w:p>
              </w:tc>
              <w:tc>
                <w:tcPr>
                  <w:tcW w:w="217" w:type="pct"/>
                  <w:vMerge w:val="continue"/>
                  <w:shd w:val="clear" w:color="auto" w:fill="auto"/>
                  <w:vAlign w:val="center"/>
                </w:tcPr>
                <w:p w14:paraId="3C0906D5">
                  <w:pPr>
                    <w:adjustRightInd w:val="0"/>
                    <w:snapToGrid w:val="0"/>
                    <w:jc w:val="center"/>
                    <w:rPr>
                      <w:color w:val="auto"/>
                      <w:sz w:val="18"/>
                      <w:szCs w:val="18"/>
                    </w:rPr>
                  </w:pPr>
                </w:p>
              </w:tc>
              <w:tc>
                <w:tcPr>
                  <w:tcW w:w="284" w:type="pct"/>
                  <w:vMerge w:val="continue"/>
                  <w:shd w:val="clear" w:color="auto" w:fill="auto"/>
                  <w:vAlign w:val="center"/>
                </w:tcPr>
                <w:p w14:paraId="006E98C1">
                  <w:pPr>
                    <w:jc w:val="center"/>
                    <w:rPr>
                      <w:color w:val="auto"/>
                      <w:sz w:val="18"/>
                      <w:szCs w:val="18"/>
                    </w:rPr>
                  </w:pPr>
                </w:p>
              </w:tc>
              <w:tc>
                <w:tcPr>
                  <w:tcW w:w="766" w:type="dxa"/>
                  <w:tcBorders>
                    <w:top w:val="single" w:color="auto" w:sz="4" w:space="0"/>
                    <w:bottom w:val="single" w:color="auto" w:sz="4" w:space="0"/>
                  </w:tcBorders>
                  <w:shd w:val="clear" w:color="auto" w:fill="auto"/>
                  <w:vAlign w:val="center"/>
                </w:tcPr>
                <w:p w14:paraId="3DE95148">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8.42</w:t>
                  </w:r>
                </w:p>
              </w:tc>
              <w:tc>
                <w:tcPr>
                  <w:tcW w:w="430" w:type="pct"/>
                  <w:tcBorders>
                    <w:top w:val="single" w:color="auto" w:sz="4" w:space="0"/>
                    <w:bottom w:val="single" w:color="auto" w:sz="4" w:space="0"/>
                  </w:tcBorders>
                  <w:shd w:val="clear" w:color="auto" w:fill="auto"/>
                  <w:vAlign w:val="center"/>
                </w:tcPr>
                <w:p w14:paraId="7CCAFAFB">
                  <w:pPr>
                    <w:keepNext w:val="0"/>
                    <w:keepLines w:val="0"/>
                    <w:widowControl/>
                    <w:suppressLineNumbers w:val="0"/>
                    <w:jc w:val="center"/>
                    <w:textAlignment w:val="center"/>
                    <w:rPr>
                      <w:rFonts w:hint="default"/>
                      <w:color w:val="auto"/>
                      <w:sz w:val="18"/>
                      <w:szCs w:val="18"/>
                      <w:lang w:val="en-US"/>
                    </w:rPr>
                  </w:pPr>
                  <w:r>
                    <w:rPr>
                      <w:rFonts w:hint="eastAsia" w:cs="Times New Roman"/>
                      <w:i w:val="0"/>
                      <w:iCs w:val="0"/>
                      <w:color w:val="auto"/>
                      <w:kern w:val="0"/>
                      <w:sz w:val="18"/>
                      <w:szCs w:val="18"/>
                      <w:u w:val="none"/>
                      <w:lang w:val="en-US" w:eastAsia="zh-CN" w:bidi="ar"/>
                    </w:rPr>
                    <w:t>1.25</w:t>
                  </w:r>
                </w:p>
              </w:tc>
              <w:tc>
                <w:tcPr>
                  <w:tcW w:w="466" w:type="pct"/>
                  <w:vMerge w:val="continue"/>
                  <w:shd w:val="clear" w:color="auto" w:fill="auto"/>
                  <w:vAlign w:val="center"/>
                </w:tcPr>
                <w:p w14:paraId="38B2BBE8">
                  <w:pPr>
                    <w:jc w:val="center"/>
                    <w:rPr>
                      <w:color w:val="auto"/>
                      <w:sz w:val="18"/>
                      <w:szCs w:val="18"/>
                    </w:rPr>
                  </w:pPr>
                </w:p>
              </w:tc>
              <w:tc>
                <w:tcPr>
                  <w:tcW w:w="870" w:type="dxa"/>
                  <w:tcBorders>
                    <w:top w:val="single" w:color="auto" w:sz="4" w:space="0"/>
                    <w:bottom w:val="single" w:color="auto" w:sz="4" w:space="0"/>
                  </w:tcBorders>
                  <w:shd w:val="clear" w:color="auto" w:fill="auto"/>
                  <w:vAlign w:val="center"/>
                </w:tcPr>
                <w:p w14:paraId="5181EEAB">
                  <w:pPr>
                    <w:keepNext w:val="0"/>
                    <w:keepLines w:val="0"/>
                    <w:widowControl/>
                    <w:suppressLineNumbers w:val="0"/>
                    <w:jc w:val="center"/>
                    <w:textAlignment w:val="center"/>
                    <w:rPr>
                      <w:rFonts w:eastAsia="等线"/>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93.60%</w:t>
                  </w:r>
                </w:p>
              </w:tc>
              <w:tc>
                <w:tcPr>
                  <w:tcW w:w="158" w:type="pct"/>
                  <w:vMerge w:val="continue"/>
                  <w:shd w:val="clear" w:color="auto" w:fill="auto"/>
                  <w:vAlign w:val="center"/>
                </w:tcPr>
                <w:p w14:paraId="1671B99E">
                  <w:pPr>
                    <w:adjustRightInd w:val="0"/>
                    <w:snapToGrid w:val="0"/>
                    <w:jc w:val="center"/>
                    <w:rPr>
                      <w:color w:val="auto"/>
                      <w:sz w:val="18"/>
                      <w:szCs w:val="18"/>
                    </w:rPr>
                  </w:pPr>
                </w:p>
              </w:tc>
              <w:tc>
                <w:tcPr>
                  <w:tcW w:w="327" w:type="pct"/>
                  <w:vMerge w:val="continue"/>
                  <w:shd w:val="clear" w:color="auto" w:fill="auto"/>
                  <w:vAlign w:val="center"/>
                </w:tcPr>
                <w:p w14:paraId="1D90665B">
                  <w:pPr>
                    <w:jc w:val="center"/>
                    <w:rPr>
                      <w:color w:val="auto"/>
                      <w:sz w:val="18"/>
                      <w:szCs w:val="18"/>
                    </w:rPr>
                  </w:pPr>
                </w:p>
              </w:tc>
              <w:tc>
                <w:tcPr>
                  <w:tcW w:w="504" w:type="pct"/>
                  <w:tcBorders>
                    <w:top w:val="single" w:color="auto" w:sz="4" w:space="0"/>
                    <w:bottom w:val="single" w:color="auto" w:sz="4" w:space="0"/>
                  </w:tcBorders>
                  <w:shd w:val="clear" w:color="auto" w:fill="auto"/>
                  <w:vAlign w:val="center"/>
                </w:tcPr>
                <w:p w14:paraId="61376AEB">
                  <w:pPr>
                    <w:jc w:val="center"/>
                    <w:rPr>
                      <w:color w:val="auto"/>
                      <w:sz w:val="18"/>
                      <w:szCs w:val="18"/>
                    </w:rPr>
                  </w:pPr>
                  <w:r>
                    <w:rPr>
                      <w:rFonts w:hint="eastAsia"/>
                      <w:color w:val="auto"/>
                      <w:sz w:val="18"/>
                      <w:szCs w:val="18"/>
                      <w:lang w:val="en-US" w:eastAsia="zh-CN"/>
                    </w:rPr>
                    <w:t>0.54</w:t>
                  </w:r>
                </w:p>
              </w:tc>
              <w:tc>
                <w:tcPr>
                  <w:tcW w:w="403" w:type="pct"/>
                  <w:tcBorders>
                    <w:top w:val="single" w:color="auto" w:sz="4" w:space="0"/>
                    <w:bottom w:val="single" w:color="auto" w:sz="4" w:space="0"/>
                  </w:tcBorders>
                  <w:shd w:val="clear" w:color="auto" w:fill="auto"/>
                  <w:vAlign w:val="center"/>
                </w:tcPr>
                <w:p w14:paraId="47A8CC0A">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0.</w:t>
                  </w:r>
                  <w:r>
                    <w:rPr>
                      <w:rFonts w:hint="eastAsia" w:cs="Times New Roman"/>
                      <w:i w:val="0"/>
                      <w:iCs w:val="0"/>
                      <w:color w:val="auto"/>
                      <w:kern w:val="0"/>
                      <w:sz w:val="18"/>
                      <w:szCs w:val="18"/>
                      <w:u w:val="none"/>
                      <w:lang w:val="en-US" w:eastAsia="zh-CN" w:bidi="ar"/>
                    </w:rPr>
                    <w:t>08</w:t>
                  </w:r>
                </w:p>
              </w:tc>
              <w:tc>
                <w:tcPr>
                  <w:tcW w:w="215" w:type="pct"/>
                  <w:vMerge w:val="continue"/>
                  <w:shd w:val="clear" w:color="auto" w:fill="auto"/>
                  <w:vAlign w:val="center"/>
                </w:tcPr>
                <w:p w14:paraId="2FEEBE31">
                  <w:pPr>
                    <w:adjustRightInd w:val="0"/>
                    <w:snapToGrid w:val="0"/>
                    <w:jc w:val="center"/>
                    <w:rPr>
                      <w:color w:val="auto"/>
                      <w:szCs w:val="21"/>
                    </w:rPr>
                  </w:pPr>
                </w:p>
              </w:tc>
            </w:tr>
            <w:tr w14:paraId="51D1F6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3" w:type="pct"/>
                  <w:vMerge w:val="continue"/>
                  <w:shd w:val="clear" w:color="auto" w:fill="auto"/>
                  <w:vAlign w:val="center"/>
                </w:tcPr>
                <w:p w14:paraId="7CC19521">
                  <w:pPr>
                    <w:adjustRightInd w:val="0"/>
                    <w:snapToGrid w:val="0"/>
                    <w:jc w:val="center"/>
                    <w:rPr>
                      <w:color w:val="auto"/>
                      <w:sz w:val="18"/>
                      <w:szCs w:val="18"/>
                    </w:rPr>
                  </w:pPr>
                </w:p>
              </w:tc>
              <w:tc>
                <w:tcPr>
                  <w:tcW w:w="255" w:type="pct"/>
                  <w:vMerge w:val="continue"/>
                  <w:shd w:val="clear" w:color="auto" w:fill="auto"/>
                  <w:vAlign w:val="center"/>
                </w:tcPr>
                <w:p w14:paraId="3F929F86">
                  <w:pPr>
                    <w:adjustRightInd w:val="0"/>
                    <w:snapToGrid w:val="0"/>
                    <w:jc w:val="center"/>
                    <w:rPr>
                      <w:color w:val="auto"/>
                      <w:sz w:val="18"/>
                      <w:szCs w:val="18"/>
                    </w:rPr>
                  </w:pPr>
                </w:p>
              </w:tc>
              <w:tc>
                <w:tcPr>
                  <w:tcW w:w="474" w:type="pct"/>
                  <w:tcBorders>
                    <w:top w:val="single" w:color="auto" w:sz="4" w:space="0"/>
                    <w:bottom w:val="single" w:color="auto" w:sz="12" w:space="0"/>
                  </w:tcBorders>
                  <w:shd w:val="clear" w:color="auto" w:fill="auto"/>
                  <w:vAlign w:val="center"/>
                </w:tcPr>
                <w:p w14:paraId="75F91A66">
                  <w:pPr>
                    <w:adjustRightInd w:val="0"/>
                    <w:snapToGrid w:val="0"/>
                    <w:jc w:val="center"/>
                    <w:rPr>
                      <w:rFonts w:hint="eastAsia" w:eastAsia="宋体"/>
                      <w:color w:val="auto"/>
                      <w:sz w:val="18"/>
                      <w:szCs w:val="18"/>
                      <w:lang w:eastAsia="zh-CN"/>
                    </w:rPr>
                  </w:pPr>
                  <w:r>
                    <w:rPr>
                      <w:rFonts w:hint="eastAsia" w:cs="Times New Roman"/>
                      <w:color w:val="auto"/>
                      <w:sz w:val="18"/>
                      <w:szCs w:val="18"/>
                      <w:lang w:val="en-US" w:eastAsia="zh-CN"/>
                    </w:rPr>
                    <w:t>全盐量</w:t>
                  </w:r>
                </w:p>
              </w:tc>
              <w:tc>
                <w:tcPr>
                  <w:tcW w:w="217" w:type="pct"/>
                  <w:vMerge w:val="continue"/>
                  <w:shd w:val="clear" w:color="auto" w:fill="auto"/>
                  <w:vAlign w:val="center"/>
                </w:tcPr>
                <w:p w14:paraId="54DBA5F4">
                  <w:pPr>
                    <w:adjustRightInd w:val="0"/>
                    <w:snapToGrid w:val="0"/>
                    <w:jc w:val="center"/>
                    <w:rPr>
                      <w:color w:val="auto"/>
                      <w:sz w:val="18"/>
                      <w:szCs w:val="18"/>
                    </w:rPr>
                  </w:pPr>
                </w:p>
              </w:tc>
              <w:tc>
                <w:tcPr>
                  <w:tcW w:w="284" w:type="pct"/>
                  <w:vMerge w:val="continue"/>
                  <w:shd w:val="clear" w:color="auto" w:fill="auto"/>
                  <w:vAlign w:val="center"/>
                </w:tcPr>
                <w:p w14:paraId="6F0025B4">
                  <w:pPr>
                    <w:jc w:val="center"/>
                    <w:rPr>
                      <w:color w:val="auto"/>
                      <w:sz w:val="18"/>
                      <w:szCs w:val="18"/>
                    </w:rPr>
                  </w:pPr>
                </w:p>
              </w:tc>
              <w:tc>
                <w:tcPr>
                  <w:tcW w:w="449" w:type="pct"/>
                  <w:tcBorders>
                    <w:top w:val="single" w:color="auto" w:sz="4" w:space="0"/>
                    <w:bottom w:val="single" w:color="auto" w:sz="12" w:space="0"/>
                  </w:tcBorders>
                  <w:shd w:val="clear" w:color="auto" w:fill="auto"/>
                  <w:vAlign w:val="center"/>
                </w:tcPr>
                <w:p w14:paraId="738EC0D7">
                  <w:pPr>
                    <w:jc w:val="center"/>
                    <w:rPr>
                      <w:rFonts w:hint="default"/>
                      <w:color w:val="auto"/>
                      <w:sz w:val="18"/>
                      <w:szCs w:val="18"/>
                      <w:lang w:val="en-US" w:eastAsia="zh-CN"/>
                    </w:rPr>
                  </w:pPr>
                  <w:r>
                    <w:rPr>
                      <w:rFonts w:hint="eastAsia"/>
                      <w:color w:val="auto"/>
                      <w:sz w:val="18"/>
                      <w:szCs w:val="18"/>
                      <w:lang w:val="en-US" w:eastAsia="zh-CN"/>
                    </w:rPr>
                    <w:t>40</w:t>
                  </w:r>
                </w:p>
              </w:tc>
              <w:tc>
                <w:tcPr>
                  <w:tcW w:w="430" w:type="pct"/>
                  <w:tcBorders>
                    <w:top w:val="single" w:color="auto" w:sz="4" w:space="0"/>
                    <w:bottom w:val="single" w:color="auto" w:sz="12" w:space="0"/>
                  </w:tcBorders>
                  <w:shd w:val="clear" w:color="auto" w:fill="auto"/>
                  <w:vAlign w:val="center"/>
                </w:tcPr>
                <w:p w14:paraId="3C6F89A8">
                  <w:pPr>
                    <w:keepNext w:val="0"/>
                    <w:keepLines w:val="0"/>
                    <w:widowControl/>
                    <w:suppressLineNumbers w:val="0"/>
                    <w:jc w:val="center"/>
                    <w:textAlignment w:val="center"/>
                    <w:rPr>
                      <w:rFonts w:hint="default"/>
                      <w:color w:val="auto"/>
                      <w:sz w:val="18"/>
                      <w:szCs w:val="18"/>
                      <w:lang w:val="en-US" w:eastAsia="zh-CN"/>
                    </w:rPr>
                  </w:pPr>
                  <w:r>
                    <w:rPr>
                      <w:rFonts w:hint="eastAsia" w:cs="Times New Roman"/>
                      <w:i w:val="0"/>
                      <w:iCs w:val="0"/>
                      <w:color w:val="auto"/>
                      <w:kern w:val="0"/>
                      <w:sz w:val="18"/>
                      <w:szCs w:val="18"/>
                      <w:u w:val="none"/>
                      <w:lang w:val="en-US" w:eastAsia="zh-CN" w:bidi="ar"/>
                    </w:rPr>
                    <w:t>5.94</w:t>
                  </w:r>
                </w:p>
              </w:tc>
              <w:tc>
                <w:tcPr>
                  <w:tcW w:w="466" w:type="pct"/>
                  <w:vMerge w:val="continue"/>
                  <w:shd w:val="clear" w:color="auto" w:fill="auto"/>
                  <w:vAlign w:val="center"/>
                </w:tcPr>
                <w:p w14:paraId="4C3D2195">
                  <w:pPr>
                    <w:jc w:val="center"/>
                    <w:rPr>
                      <w:color w:val="auto"/>
                      <w:sz w:val="18"/>
                      <w:szCs w:val="18"/>
                    </w:rPr>
                  </w:pPr>
                </w:p>
              </w:tc>
              <w:tc>
                <w:tcPr>
                  <w:tcW w:w="510" w:type="pct"/>
                  <w:tcBorders>
                    <w:top w:val="single" w:color="auto" w:sz="4" w:space="0"/>
                    <w:bottom w:val="single" w:color="auto" w:sz="12" w:space="0"/>
                  </w:tcBorders>
                  <w:shd w:val="clear" w:color="auto" w:fill="auto"/>
                  <w:vAlign w:val="center"/>
                </w:tcPr>
                <w:p w14:paraId="19EE6FA7">
                  <w:pPr>
                    <w:widowControl/>
                    <w:jc w:val="center"/>
                    <w:rPr>
                      <w:rFonts w:hint="eastAsia" w:eastAsia="等线"/>
                      <w:color w:val="auto"/>
                      <w:sz w:val="18"/>
                      <w:szCs w:val="18"/>
                      <w:lang w:val="en-US" w:eastAsia="zh-CN"/>
                    </w:rPr>
                  </w:pPr>
                  <w:r>
                    <w:rPr>
                      <w:rFonts w:hint="eastAsia" w:eastAsia="等线"/>
                      <w:color w:val="auto"/>
                      <w:sz w:val="18"/>
                      <w:szCs w:val="18"/>
                      <w:lang w:val="en-US" w:eastAsia="zh-CN"/>
                    </w:rPr>
                    <w:t>0</w:t>
                  </w:r>
                </w:p>
              </w:tc>
              <w:tc>
                <w:tcPr>
                  <w:tcW w:w="158" w:type="pct"/>
                  <w:vMerge w:val="continue"/>
                  <w:shd w:val="clear" w:color="auto" w:fill="auto"/>
                  <w:vAlign w:val="center"/>
                </w:tcPr>
                <w:p w14:paraId="72A691DB">
                  <w:pPr>
                    <w:adjustRightInd w:val="0"/>
                    <w:snapToGrid w:val="0"/>
                    <w:jc w:val="center"/>
                    <w:rPr>
                      <w:color w:val="auto"/>
                      <w:sz w:val="18"/>
                      <w:szCs w:val="18"/>
                    </w:rPr>
                  </w:pPr>
                </w:p>
              </w:tc>
              <w:tc>
                <w:tcPr>
                  <w:tcW w:w="327" w:type="pct"/>
                  <w:vMerge w:val="continue"/>
                  <w:shd w:val="clear" w:color="auto" w:fill="auto"/>
                  <w:vAlign w:val="center"/>
                </w:tcPr>
                <w:p w14:paraId="4614AC1D">
                  <w:pPr>
                    <w:jc w:val="center"/>
                    <w:rPr>
                      <w:color w:val="auto"/>
                      <w:sz w:val="18"/>
                      <w:szCs w:val="18"/>
                    </w:rPr>
                  </w:pPr>
                </w:p>
              </w:tc>
              <w:tc>
                <w:tcPr>
                  <w:tcW w:w="504" w:type="pct"/>
                  <w:tcBorders>
                    <w:top w:val="single" w:color="auto" w:sz="4" w:space="0"/>
                    <w:bottom w:val="single" w:color="auto" w:sz="12" w:space="0"/>
                  </w:tcBorders>
                  <w:shd w:val="clear" w:color="auto" w:fill="auto"/>
                  <w:vAlign w:val="center"/>
                </w:tcPr>
                <w:p w14:paraId="5579BB91">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40</w:t>
                  </w:r>
                </w:p>
              </w:tc>
              <w:tc>
                <w:tcPr>
                  <w:tcW w:w="403" w:type="pct"/>
                  <w:tcBorders>
                    <w:top w:val="single" w:color="auto" w:sz="4" w:space="0"/>
                    <w:bottom w:val="single" w:color="auto" w:sz="12" w:space="0"/>
                  </w:tcBorders>
                  <w:shd w:val="clear" w:color="auto" w:fill="auto"/>
                  <w:vAlign w:val="center"/>
                </w:tcPr>
                <w:p w14:paraId="2DCC9B4C">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eastAsia" w:cs="Times New Roman"/>
                      <w:i w:val="0"/>
                      <w:iCs w:val="0"/>
                      <w:color w:val="auto"/>
                      <w:kern w:val="0"/>
                      <w:sz w:val="18"/>
                      <w:szCs w:val="18"/>
                      <w:u w:val="none"/>
                      <w:lang w:val="en-US" w:eastAsia="zh-CN" w:bidi="ar"/>
                    </w:rPr>
                    <w:t>5.94</w:t>
                  </w:r>
                </w:p>
              </w:tc>
              <w:tc>
                <w:tcPr>
                  <w:tcW w:w="215" w:type="pct"/>
                  <w:vMerge w:val="continue"/>
                  <w:shd w:val="clear" w:color="auto" w:fill="auto"/>
                  <w:vAlign w:val="center"/>
                </w:tcPr>
                <w:p w14:paraId="3ED1911C">
                  <w:pPr>
                    <w:adjustRightInd w:val="0"/>
                    <w:snapToGrid w:val="0"/>
                    <w:jc w:val="center"/>
                    <w:rPr>
                      <w:color w:val="auto"/>
                      <w:szCs w:val="21"/>
                    </w:rPr>
                  </w:pPr>
                </w:p>
              </w:tc>
            </w:tr>
          </w:tbl>
          <w:p w14:paraId="0541F60D">
            <w:pPr>
              <w:spacing w:before="240" w:beforeLines="100"/>
              <w:ind w:firstLine="482" w:firstLineChars="200"/>
              <w:jc w:val="center"/>
              <w:rPr>
                <w:b/>
                <w:color w:val="auto"/>
                <w:sz w:val="24"/>
              </w:rPr>
            </w:pPr>
            <w:r>
              <w:rPr>
                <w:b/>
                <w:color w:val="auto"/>
                <w:sz w:val="24"/>
              </w:rPr>
              <w:t>表4-1</w:t>
            </w:r>
            <w:r>
              <w:rPr>
                <w:rFonts w:hint="eastAsia"/>
                <w:b/>
                <w:color w:val="auto"/>
                <w:sz w:val="24"/>
                <w:lang w:val="en-US" w:eastAsia="zh-CN"/>
              </w:rPr>
              <w:t>2</w:t>
            </w:r>
            <w:r>
              <w:rPr>
                <w:b/>
                <w:color w:val="auto"/>
                <w:sz w:val="24"/>
              </w:rPr>
              <w:t xml:space="preserve"> 涟水经济开发区西区污水处理厂废水污染源源强核算结果及相关参数一览表</w:t>
            </w:r>
          </w:p>
          <w:tbl>
            <w:tblPr>
              <w:tblStyle w:val="32"/>
              <w:tblW w:w="854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19"/>
              <w:gridCol w:w="1087"/>
              <w:gridCol w:w="878"/>
              <w:gridCol w:w="909"/>
              <w:gridCol w:w="816"/>
              <w:gridCol w:w="474"/>
              <w:gridCol w:w="816"/>
              <w:gridCol w:w="960"/>
              <w:gridCol w:w="975"/>
              <w:gridCol w:w="510"/>
            </w:tblGrid>
            <w:tr w14:paraId="7B4CB1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pct"/>
                  <w:vMerge w:val="restart"/>
                  <w:tcBorders>
                    <w:top w:val="single" w:color="auto" w:sz="12" w:space="0"/>
                    <w:bottom w:val="single" w:color="auto" w:sz="4" w:space="0"/>
                  </w:tcBorders>
                  <w:shd w:val="clear" w:color="auto" w:fill="auto"/>
                  <w:vAlign w:val="center"/>
                </w:tcPr>
                <w:p w14:paraId="0C50B4FC">
                  <w:pPr>
                    <w:adjustRightInd w:val="0"/>
                    <w:snapToGrid w:val="0"/>
                    <w:jc w:val="center"/>
                    <w:rPr>
                      <w:b/>
                      <w:color w:val="auto"/>
                      <w:szCs w:val="21"/>
                    </w:rPr>
                  </w:pPr>
                  <w:r>
                    <w:rPr>
                      <w:b/>
                      <w:color w:val="auto"/>
                      <w:szCs w:val="21"/>
                    </w:rPr>
                    <w:t>工序</w:t>
                  </w:r>
                </w:p>
              </w:tc>
              <w:tc>
                <w:tcPr>
                  <w:tcW w:w="636" w:type="pct"/>
                  <w:vMerge w:val="restart"/>
                  <w:tcBorders>
                    <w:top w:val="single" w:color="auto" w:sz="12" w:space="0"/>
                    <w:bottom w:val="single" w:color="auto" w:sz="4" w:space="0"/>
                  </w:tcBorders>
                  <w:shd w:val="clear" w:color="auto" w:fill="auto"/>
                  <w:vAlign w:val="center"/>
                </w:tcPr>
                <w:p w14:paraId="7E7C30E9">
                  <w:pPr>
                    <w:adjustRightInd w:val="0"/>
                    <w:snapToGrid w:val="0"/>
                    <w:jc w:val="center"/>
                    <w:rPr>
                      <w:b/>
                      <w:color w:val="auto"/>
                      <w:szCs w:val="21"/>
                    </w:rPr>
                  </w:pPr>
                  <w:r>
                    <w:rPr>
                      <w:b/>
                      <w:color w:val="auto"/>
                      <w:szCs w:val="21"/>
                    </w:rPr>
                    <w:t>污染物</w:t>
                  </w:r>
                </w:p>
              </w:tc>
              <w:tc>
                <w:tcPr>
                  <w:tcW w:w="1523" w:type="pct"/>
                  <w:gridSpan w:val="3"/>
                  <w:tcBorders>
                    <w:top w:val="single" w:color="auto" w:sz="12" w:space="0"/>
                    <w:bottom w:val="single" w:color="auto" w:sz="4" w:space="0"/>
                  </w:tcBorders>
                  <w:shd w:val="clear" w:color="auto" w:fill="auto"/>
                  <w:vAlign w:val="center"/>
                </w:tcPr>
                <w:p w14:paraId="52345E10">
                  <w:pPr>
                    <w:adjustRightInd w:val="0"/>
                    <w:snapToGrid w:val="0"/>
                    <w:jc w:val="center"/>
                    <w:rPr>
                      <w:b/>
                      <w:color w:val="auto"/>
                      <w:szCs w:val="21"/>
                    </w:rPr>
                  </w:pPr>
                  <w:r>
                    <w:rPr>
                      <w:b/>
                      <w:color w:val="auto"/>
                      <w:szCs w:val="21"/>
                    </w:rPr>
                    <w:t>进入污水处理厂污染物情况</w:t>
                  </w:r>
                </w:p>
              </w:tc>
              <w:tc>
                <w:tcPr>
                  <w:tcW w:w="1887" w:type="pct"/>
                  <w:gridSpan w:val="4"/>
                  <w:tcBorders>
                    <w:top w:val="single" w:color="auto" w:sz="12" w:space="0"/>
                    <w:bottom w:val="single" w:color="auto" w:sz="4" w:space="0"/>
                  </w:tcBorders>
                  <w:shd w:val="clear" w:color="auto" w:fill="auto"/>
                  <w:vAlign w:val="center"/>
                </w:tcPr>
                <w:p w14:paraId="3EFEB261">
                  <w:pPr>
                    <w:adjustRightInd w:val="0"/>
                    <w:snapToGrid w:val="0"/>
                    <w:jc w:val="center"/>
                    <w:rPr>
                      <w:b/>
                      <w:color w:val="auto"/>
                      <w:szCs w:val="21"/>
                    </w:rPr>
                  </w:pPr>
                  <w:r>
                    <w:rPr>
                      <w:b/>
                      <w:color w:val="auto"/>
                      <w:szCs w:val="21"/>
                    </w:rPr>
                    <w:t>污染物排放</w:t>
                  </w:r>
                </w:p>
              </w:tc>
              <w:tc>
                <w:tcPr>
                  <w:tcW w:w="298" w:type="pct"/>
                  <w:vMerge w:val="restart"/>
                  <w:tcBorders>
                    <w:top w:val="single" w:color="auto" w:sz="12" w:space="0"/>
                    <w:bottom w:val="single" w:color="auto" w:sz="4" w:space="0"/>
                  </w:tcBorders>
                  <w:shd w:val="clear" w:color="auto" w:fill="auto"/>
                  <w:vAlign w:val="center"/>
                </w:tcPr>
                <w:p w14:paraId="3E27960A">
                  <w:pPr>
                    <w:adjustRightInd w:val="0"/>
                    <w:snapToGrid w:val="0"/>
                    <w:jc w:val="center"/>
                    <w:rPr>
                      <w:b/>
                      <w:bCs/>
                      <w:color w:val="auto"/>
                      <w:szCs w:val="21"/>
                    </w:rPr>
                  </w:pPr>
                  <w:r>
                    <w:rPr>
                      <w:b/>
                      <w:bCs/>
                      <w:color w:val="auto"/>
                      <w:szCs w:val="21"/>
                    </w:rPr>
                    <w:t>排放时间/h</w:t>
                  </w:r>
                </w:p>
              </w:tc>
            </w:tr>
            <w:tr w14:paraId="4C069D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pct"/>
                  <w:vMerge w:val="continue"/>
                  <w:tcBorders>
                    <w:top w:val="single" w:color="auto" w:sz="4" w:space="0"/>
                    <w:bottom w:val="single" w:color="auto" w:sz="12" w:space="0"/>
                  </w:tcBorders>
                  <w:shd w:val="clear" w:color="auto" w:fill="auto"/>
                  <w:vAlign w:val="center"/>
                </w:tcPr>
                <w:p w14:paraId="7D5F0B5C">
                  <w:pPr>
                    <w:adjustRightInd w:val="0"/>
                    <w:snapToGrid w:val="0"/>
                    <w:jc w:val="center"/>
                    <w:rPr>
                      <w:b/>
                      <w:color w:val="auto"/>
                      <w:szCs w:val="21"/>
                    </w:rPr>
                  </w:pPr>
                </w:p>
              </w:tc>
              <w:tc>
                <w:tcPr>
                  <w:tcW w:w="636" w:type="pct"/>
                  <w:vMerge w:val="continue"/>
                  <w:tcBorders>
                    <w:top w:val="single" w:color="auto" w:sz="4" w:space="0"/>
                    <w:bottom w:val="single" w:color="auto" w:sz="12" w:space="0"/>
                  </w:tcBorders>
                  <w:shd w:val="clear" w:color="auto" w:fill="auto"/>
                  <w:vAlign w:val="center"/>
                </w:tcPr>
                <w:p w14:paraId="151B84A5">
                  <w:pPr>
                    <w:adjustRightInd w:val="0"/>
                    <w:snapToGrid w:val="0"/>
                    <w:jc w:val="center"/>
                    <w:rPr>
                      <w:b/>
                      <w:color w:val="auto"/>
                      <w:szCs w:val="21"/>
                    </w:rPr>
                  </w:pPr>
                </w:p>
              </w:tc>
              <w:tc>
                <w:tcPr>
                  <w:tcW w:w="513" w:type="pct"/>
                  <w:tcBorders>
                    <w:top w:val="single" w:color="auto" w:sz="4" w:space="0"/>
                    <w:bottom w:val="single" w:color="auto" w:sz="12" w:space="0"/>
                  </w:tcBorders>
                  <w:shd w:val="clear" w:color="auto" w:fill="auto"/>
                  <w:vAlign w:val="center"/>
                </w:tcPr>
                <w:p w14:paraId="0A6F1514">
                  <w:pPr>
                    <w:adjustRightInd w:val="0"/>
                    <w:snapToGrid w:val="0"/>
                    <w:jc w:val="center"/>
                    <w:rPr>
                      <w:b/>
                      <w:color w:val="auto"/>
                      <w:szCs w:val="21"/>
                    </w:rPr>
                  </w:pPr>
                  <w:r>
                    <w:rPr>
                      <w:b/>
                      <w:color w:val="auto"/>
                      <w:szCs w:val="21"/>
                    </w:rPr>
                    <w:t>产生废水量/（t/a）</w:t>
                  </w:r>
                </w:p>
              </w:tc>
              <w:tc>
                <w:tcPr>
                  <w:tcW w:w="531" w:type="pct"/>
                  <w:tcBorders>
                    <w:top w:val="single" w:color="auto" w:sz="4" w:space="0"/>
                    <w:bottom w:val="single" w:color="auto" w:sz="12" w:space="0"/>
                  </w:tcBorders>
                  <w:shd w:val="clear" w:color="auto" w:fill="auto"/>
                  <w:vAlign w:val="center"/>
                </w:tcPr>
                <w:p w14:paraId="725C02C8">
                  <w:pPr>
                    <w:adjustRightInd w:val="0"/>
                    <w:snapToGrid w:val="0"/>
                    <w:jc w:val="center"/>
                    <w:rPr>
                      <w:b/>
                      <w:color w:val="auto"/>
                      <w:szCs w:val="21"/>
                    </w:rPr>
                  </w:pPr>
                  <w:r>
                    <w:rPr>
                      <w:b/>
                      <w:color w:val="auto"/>
                      <w:szCs w:val="21"/>
                    </w:rPr>
                    <w:t>产生浓度/（mg/L）</w:t>
                  </w:r>
                </w:p>
              </w:tc>
              <w:tc>
                <w:tcPr>
                  <w:tcW w:w="477" w:type="pct"/>
                  <w:tcBorders>
                    <w:top w:val="single" w:color="auto" w:sz="4" w:space="0"/>
                    <w:bottom w:val="single" w:color="auto" w:sz="12" w:space="0"/>
                  </w:tcBorders>
                  <w:shd w:val="clear" w:color="auto" w:fill="auto"/>
                  <w:vAlign w:val="center"/>
                </w:tcPr>
                <w:p w14:paraId="75E14434">
                  <w:pPr>
                    <w:adjustRightInd w:val="0"/>
                    <w:snapToGrid w:val="0"/>
                    <w:jc w:val="center"/>
                    <w:rPr>
                      <w:b/>
                      <w:color w:val="auto"/>
                      <w:szCs w:val="21"/>
                    </w:rPr>
                  </w:pPr>
                  <w:r>
                    <w:rPr>
                      <w:b/>
                      <w:color w:val="auto"/>
                      <w:szCs w:val="21"/>
                    </w:rPr>
                    <w:t>产生量/（t/a）</w:t>
                  </w:r>
                </w:p>
              </w:tc>
              <w:tc>
                <w:tcPr>
                  <w:tcW w:w="277" w:type="pct"/>
                  <w:tcBorders>
                    <w:top w:val="single" w:color="auto" w:sz="4" w:space="0"/>
                    <w:bottom w:val="single" w:color="auto" w:sz="12" w:space="0"/>
                  </w:tcBorders>
                  <w:shd w:val="clear" w:color="auto" w:fill="auto"/>
                  <w:vAlign w:val="center"/>
                </w:tcPr>
                <w:p w14:paraId="6C486950">
                  <w:pPr>
                    <w:adjustRightInd w:val="0"/>
                    <w:snapToGrid w:val="0"/>
                    <w:jc w:val="center"/>
                    <w:rPr>
                      <w:b/>
                      <w:color w:val="auto"/>
                      <w:szCs w:val="21"/>
                    </w:rPr>
                  </w:pPr>
                  <w:r>
                    <w:rPr>
                      <w:b/>
                      <w:color w:val="auto"/>
                      <w:szCs w:val="21"/>
                    </w:rPr>
                    <w:t>核算方法</w:t>
                  </w:r>
                </w:p>
              </w:tc>
              <w:tc>
                <w:tcPr>
                  <w:tcW w:w="477" w:type="pct"/>
                  <w:tcBorders>
                    <w:top w:val="single" w:color="auto" w:sz="4" w:space="0"/>
                    <w:bottom w:val="single" w:color="auto" w:sz="12" w:space="0"/>
                  </w:tcBorders>
                  <w:shd w:val="clear" w:color="auto" w:fill="auto"/>
                  <w:vAlign w:val="center"/>
                </w:tcPr>
                <w:p w14:paraId="401D2187">
                  <w:pPr>
                    <w:adjustRightInd w:val="0"/>
                    <w:snapToGrid w:val="0"/>
                    <w:jc w:val="center"/>
                    <w:rPr>
                      <w:b/>
                      <w:color w:val="auto"/>
                      <w:szCs w:val="21"/>
                    </w:rPr>
                  </w:pPr>
                  <w:r>
                    <w:rPr>
                      <w:b/>
                      <w:color w:val="auto"/>
                      <w:szCs w:val="21"/>
                    </w:rPr>
                    <w:t>排放废水量（t/a）</w:t>
                  </w:r>
                </w:p>
              </w:tc>
              <w:tc>
                <w:tcPr>
                  <w:tcW w:w="561" w:type="pct"/>
                  <w:tcBorders>
                    <w:top w:val="single" w:color="auto" w:sz="4" w:space="0"/>
                    <w:bottom w:val="single" w:color="auto" w:sz="12" w:space="0"/>
                  </w:tcBorders>
                  <w:shd w:val="clear" w:color="auto" w:fill="auto"/>
                  <w:vAlign w:val="center"/>
                </w:tcPr>
                <w:p w14:paraId="76AB6B1E">
                  <w:pPr>
                    <w:adjustRightInd w:val="0"/>
                    <w:snapToGrid w:val="0"/>
                    <w:jc w:val="center"/>
                    <w:rPr>
                      <w:b/>
                      <w:color w:val="auto"/>
                      <w:szCs w:val="21"/>
                    </w:rPr>
                  </w:pPr>
                  <w:r>
                    <w:rPr>
                      <w:b/>
                      <w:color w:val="auto"/>
                      <w:szCs w:val="21"/>
                    </w:rPr>
                    <w:t>排放浓度（mg/L）</w:t>
                  </w:r>
                </w:p>
              </w:tc>
              <w:tc>
                <w:tcPr>
                  <w:tcW w:w="570" w:type="pct"/>
                  <w:tcBorders>
                    <w:top w:val="single" w:color="auto" w:sz="4" w:space="0"/>
                    <w:bottom w:val="single" w:color="auto" w:sz="12" w:space="0"/>
                  </w:tcBorders>
                  <w:shd w:val="clear" w:color="auto" w:fill="auto"/>
                  <w:vAlign w:val="center"/>
                </w:tcPr>
                <w:p w14:paraId="6DA7A17C">
                  <w:pPr>
                    <w:adjustRightInd w:val="0"/>
                    <w:snapToGrid w:val="0"/>
                    <w:jc w:val="center"/>
                    <w:rPr>
                      <w:b/>
                      <w:color w:val="auto"/>
                      <w:szCs w:val="21"/>
                    </w:rPr>
                  </w:pPr>
                  <w:r>
                    <w:rPr>
                      <w:b/>
                      <w:color w:val="auto"/>
                      <w:szCs w:val="21"/>
                    </w:rPr>
                    <w:t>排放量（t/a）</w:t>
                  </w:r>
                </w:p>
              </w:tc>
              <w:tc>
                <w:tcPr>
                  <w:tcW w:w="298" w:type="pct"/>
                  <w:vMerge w:val="continue"/>
                  <w:tcBorders>
                    <w:bottom w:val="single" w:color="auto" w:sz="12" w:space="0"/>
                  </w:tcBorders>
                  <w:shd w:val="clear" w:color="auto" w:fill="auto"/>
                  <w:vAlign w:val="center"/>
                </w:tcPr>
                <w:p w14:paraId="2A4E4ED3">
                  <w:pPr>
                    <w:adjustRightInd w:val="0"/>
                    <w:snapToGrid w:val="0"/>
                    <w:jc w:val="center"/>
                    <w:rPr>
                      <w:color w:val="auto"/>
                      <w:szCs w:val="21"/>
                    </w:rPr>
                  </w:pPr>
                </w:p>
              </w:tc>
            </w:tr>
            <w:tr w14:paraId="274FBF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pct"/>
                  <w:vMerge w:val="restart"/>
                  <w:tcBorders>
                    <w:top w:val="single" w:color="auto" w:sz="12" w:space="0"/>
                  </w:tcBorders>
                  <w:shd w:val="clear" w:color="auto" w:fill="auto"/>
                  <w:vAlign w:val="center"/>
                </w:tcPr>
                <w:p w14:paraId="54AB0CF2">
                  <w:pPr>
                    <w:adjustRightInd w:val="0"/>
                    <w:snapToGrid w:val="0"/>
                    <w:jc w:val="center"/>
                    <w:rPr>
                      <w:color w:val="auto"/>
                      <w:sz w:val="18"/>
                      <w:szCs w:val="18"/>
                    </w:rPr>
                  </w:pPr>
                  <w:r>
                    <w:rPr>
                      <w:color w:val="auto"/>
                      <w:sz w:val="18"/>
                      <w:szCs w:val="18"/>
                    </w:rPr>
                    <w:t>综合废水（生产废水+生活污水）</w:t>
                  </w:r>
                </w:p>
              </w:tc>
              <w:tc>
                <w:tcPr>
                  <w:tcW w:w="636" w:type="pct"/>
                  <w:tcBorders>
                    <w:top w:val="single" w:color="auto" w:sz="12" w:space="0"/>
                  </w:tcBorders>
                  <w:shd w:val="clear" w:color="auto" w:fill="auto"/>
                  <w:vAlign w:val="center"/>
                </w:tcPr>
                <w:p w14:paraId="532EDF94">
                  <w:pPr>
                    <w:adjustRightInd w:val="0"/>
                    <w:snapToGrid w:val="0"/>
                    <w:jc w:val="center"/>
                    <w:rPr>
                      <w:color w:val="auto"/>
                      <w:sz w:val="18"/>
                      <w:szCs w:val="18"/>
                    </w:rPr>
                  </w:pPr>
                  <w:r>
                    <w:rPr>
                      <w:color w:val="auto"/>
                      <w:sz w:val="18"/>
                      <w:szCs w:val="18"/>
                    </w:rPr>
                    <w:t>COD</w:t>
                  </w:r>
                </w:p>
              </w:tc>
              <w:tc>
                <w:tcPr>
                  <w:tcW w:w="513" w:type="pct"/>
                  <w:vMerge w:val="restart"/>
                  <w:tcBorders>
                    <w:top w:val="single" w:color="auto" w:sz="12" w:space="0"/>
                  </w:tcBorders>
                  <w:shd w:val="clear" w:color="auto" w:fill="auto"/>
                  <w:vAlign w:val="center"/>
                </w:tcPr>
                <w:p w14:paraId="65AD5C57">
                  <w:pPr>
                    <w:adjustRightInd w:val="0"/>
                    <w:snapToGrid w:val="0"/>
                    <w:jc w:val="center"/>
                    <w:rPr>
                      <w:color w:val="auto"/>
                      <w:sz w:val="18"/>
                      <w:szCs w:val="18"/>
                    </w:rPr>
                  </w:pPr>
                  <w:r>
                    <w:rPr>
                      <w:rFonts w:hint="eastAsia"/>
                      <w:color w:val="auto"/>
                      <w:sz w:val="18"/>
                      <w:szCs w:val="18"/>
                      <w:lang w:val="en-US" w:eastAsia="zh-CN"/>
                    </w:rPr>
                    <w:t>148530</w:t>
                  </w:r>
                </w:p>
              </w:tc>
              <w:tc>
                <w:tcPr>
                  <w:tcW w:w="531" w:type="pct"/>
                  <w:tcBorders>
                    <w:top w:val="single" w:color="auto" w:sz="12" w:space="0"/>
                  </w:tcBorders>
                  <w:shd w:val="clear" w:color="auto" w:fill="auto"/>
                  <w:vAlign w:val="center"/>
                </w:tcPr>
                <w:p w14:paraId="6497D739">
                  <w:pPr>
                    <w:jc w:val="center"/>
                    <w:rPr>
                      <w:rFonts w:hint="default" w:eastAsia="等线"/>
                      <w:color w:val="auto"/>
                      <w:sz w:val="18"/>
                      <w:szCs w:val="18"/>
                      <w:lang w:val="en-US"/>
                    </w:rPr>
                  </w:pPr>
                  <w:r>
                    <w:rPr>
                      <w:rFonts w:hint="eastAsia"/>
                      <w:color w:val="auto"/>
                      <w:sz w:val="18"/>
                      <w:szCs w:val="18"/>
                      <w:lang w:val="en-US" w:eastAsia="zh-CN"/>
                    </w:rPr>
                    <w:t>58.81</w:t>
                  </w:r>
                </w:p>
              </w:tc>
              <w:tc>
                <w:tcPr>
                  <w:tcW w:w="477" w:type="pct"/>
                  <w:tcBorders>
                    <w:top w:val="single" w:color="auto" w:sz="12" w:space="0"/>
                  </w:tcBorders>
                  <w:shd w:val="clear" w:color="auto" w:fill="auto"/>
                  <w:vAlign w:val="center"/>
                </w:tcPr>
                <w:p w14:paraId="100E0FF9">
                  <w:pPr>
                    <w:keepNext w:val="0"/>
                    <w:keepLines w:val="0"/>
                    <w:widowControl/>
                    <w:suppressLineNumbers w:val="0"/>
                    <w:jc w:val="center"/>
                    <w:textAlignment w:val="center"/>
                    <w:rPr>
                      <w:rFonts w:hint="default" w:eastAsia="等线"/>
                      <w:color w:val="auto"/>
                      <w:sz w:val="18"/>
                      <w:szCs w:val="18"/>
                      <w:lang w:val="en-US"/>
                    </w:rPr>
                  </w:pPr>
                  <w:r>
                    <w:rPr>
                      <w:rFonts w:hint="eastAsia" w:cs="Times New Roman"/>
                      <w:i w:val="0"/>
                      <w:iCs w:val="0"/>
                      <w:color w:val="auto"/>
                      <w:kern w:val="0"/>
                      <w:sz w:val="18"/>
                      <w:szCs w:val="18"/>
                      <w:u w:val="none"/>
                      <w:lang w:val="en-US" w:eastAsia="zh-CN" w:bidi="ar"/>
                    </w:rPr>
                    <w:t>8.74</w:t>
                  </w:r>
                </w:p>
              </w:tc>
              <w:tc>
                <w:tcPr>
                  <w:tcW w:w="277" w:type="pct"/>
                  <w:vMerge w:val="restart"/>
                  <w:tcBorders>
                    <w:top w:val="single" w:color="auto" w:sz="12" w:space="0"/>
                  </w:tcBorders>
                  <w:shd w:val="clear" w:color="auto" w:fill="auto"/>
                  <w:vAlign w:val="center"/>
                </w:tcPr>
                <w:p w14:paraId="034743D9">
                  <w:pPr>
                    <w:adjustRightInd w:val="0"/>
                    <w:snapToGrid w:val="0"/>
                    <w:jc w:val="center"/>
                    <w:rPr>
                      <w:color w:val="auto"/>
                      <w:sz w:val="18"/>
                      <w:szCs w:val="18"/>
                    </w:rPr>
                  </w:pPr>
                  <w:r>
                    <w:rPr>
                      <w:color w:val="auto"/>
                      <w:sz w:val="18"/>
                      <w:szCs w:val="18"/>
                    </w:rPr>
                    <w:t>/</w:t>
                  </w:r>
                </w:p>
              </w:tc>
              <w:tc>
                <w:tcPr>
                  <w:tcW w:w="477" w:type="pct"/>
                  <w:vMerge w:val="restart"/>
                  <w:tcBorders>
                    <w:top w:val="single" w:color="auto" w:sz="12" w:space="0"/>
                  </w:tcBorders>
                  <w:shd w:val="clear" w:color="auto" w:fill="auto"/>
                  <w:vAlign w:val="center"/>
                </w:tcPr>
                <w:p w14:paraId="3E6B51BA">
                  <w:pPr>
                    <w:adjustRightInd w:val="0"/>
                    <w:snapToGrid w:val="0"/>
                    <w:jc w:val="center"/>
                    <w:rPr>
                      <w:rFonts w:hint="default"/>
                      <w:color w:val="auto"/>
                      <w:sz w:val="18"/>
                      <w:szCs w:val="18"/>
                      <w:lang w:val="en-US"/>
                    </w:rPr>
                  </w:pPr>
                  <w:r>
                    <w:rPr>
                      <w:rFonts w:hint="eastAsia"/>
                      <w:color w:val="auto"/>
                      <w:sz w:val="18"/>
                      <w:szCs w:val="18"/>
                      <w:lang w:val="en-US" w:eastAsia="zh-CN"/>
                    </w:rPr>
                    <w:t>148530</w:t>
                  </w:r>
                </w:p>
              </w:tc>
              <w:tc>
                <w:tcPr>
                  <w:tcW w:w="561" w:type="pct"/>
                  <w:tcBorders>
                    <w:top w:val="single" w:color="auto" w:sz="12" w:space="0"/>
                  </w:tcBorders>
                  <w:shd w:val="clear" w:color="auto" w:fill="auto"/>
                  <w:vAlign w:val="center"/>
                </w:tcPr>
                <w:p w14:paraId="17B68377">
                  <w:pPr>
                    <w:widowControl/>
                    <w:jc w:val="center"/>
                    <w:rPr>
                      <w:rFonts w:eastAsia="等线"/>
                      <w:color w:val="auto"/>
                      <w:sz w:val="18"/>
                      <w:szCs w:val="18"/>
                    </w:rPr>
                  </w:pPr>
                  <w:r>
                    <w:rPr>
                      <w:rFonts w:eastAsia="等线"/>
                      <w:color w:val="auto"/>
                      <w:sz w:val="18"/>
                      <w:szCs w:val="18"/>
                    </w:rPr>
                    <w:t>50</w:t>
                  </w:r>
                </w:p>
              </w:tc>
              <w:tc>
                <w:tcPr>
                  <w:tcW w:w="570" w:type="pct"/>
                  <w:tcBorders>
                    <w:top w:val="single" w:color="auto" w:sz="12" w:space="0"/>
                  </w:tcBorders>
                  <w:shd w:val="clear" w:color="auto" w:fill="auto"/>
                  <w:vAlign w:val="center"/>
                </w:tcPr>
                <w:p w14:paraId="2598FEA7">
                  <w:pPr>
                    <w:keepNext w:val="0"/>
                    <w:keepLines w:val="0"/>
                    <w:widowControl/>
                    <w:suppressLineNumbers w:val="0"/>
                    <w:jc w:val="center"/>
                    <w:textAlignment w:val="center"/>
                    <w:rPr>
                      <w:rFonts w:eastAsia="等线"/>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7.43</w:t>
                  </w:r>
                </w:p>
              </w:tc>
              <w:tc>
                <w:tcPr>
                  <w:tcW w:w="298" w:type="pct"/>
                  <w:vMerge w:val="restart"/>
                  <w:tcBorders>
                    <w:top w:val="single" w:color="auto" w:sz="12" w:space="0"/>
                  </w:tcBorders>
                  <w:shd w:val="clear" w:color="auto" w:fill="auto"/>
                  <w:vAlign w:val="center"/>
                </w:tcPr>
                <w:p w14:paraId="7628FBD7">
                  <w:pPr>
                    <w:adjustRightInd w:val="0"/>
                    <w:snapToGrid w:val="0"/>
                    <w:jc w:val="center"/>
                    <w:rPr>
                      <w:color w:val="auto"/>
                      <w:sz w:val="18"/>
                      <w:szCs w:val="18"/>
                    </w:rPr>
                  </w:pPr>
                  <w:r>
                    <w:rPr>
                      <w:color w:val="auto"/>
                      <w:sz w:val="18"/>
                      <w:szCs w:val="18"/>
                    </w:rPr>
                    <w:t>间歇排放</w:t>
                  </w:r>
                </w:p>
              </w:tc>
            </w:tr>
            <w:tr w14:paraId="0AA480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pct"/>
                  <w:vMerge w:val="continue"/>
                  <w:shd w:val="clear" w:color="auto" w:fill="auto"/>
                  <w:vAlign w:val="center"/>
                </w:tcPr>
                <w:p w14:paraId="595622A0">
                  <w:pPr>
                    <w:adjustRightInd w:val="0"/>
                    <w:snapToGrid w:val="0"/>
                    <w:jc w:val="center"/>
                    <w:rPr>
                      <w:color w:val="auto"/>
                      <w:sz w:val="18"/>
                      <w:szCs w:val="18"/>
                    </w:rPr>
                  </w:pPr>
                </w:p>
              </w:tc>
              <w:tc>
                <w:tcPr>
                  <w:tcW w:w="636" w:type="pct"/>
                  <w:shd w:val="clear" w:color="auto" w:fill="auto"/>
                  <w:vAlign w:val="center"/>
                </w:tcPr>
                <w:p w14:paraId="7735AD87">
                  <w:pPr>
                    <w:adjustRightInd w:val="0"/>
                    <w:snapToGrid w:val="0"/>
                    <w:jc w:val="center"/>
                    <w:rPr>
                      <w:color w:val="auto"/>
                      <w:sz w:val="18"/>
                      <w:szCs w:val="18"/>
                    </w:rPr>
                  </w:pPr>
                  <w:r>
                    <w:rPr>
                      <w:rFonts w:hint="eastAsia"/>
                      <w:color w:val="auto"/>
                      <w:sz w:val="18"/>
                      <w:szCs w:val="18"/>
                    </w:rPr>
                    <w:t>B</w:t>
                  </w:r>
                  <w:r>
                    <w:rPr>
                      <w:color w:val="auto"/>
                      <w:sz w:val="18"/>
                      <w:szCs w:val="18"/>
                    </w:rPr>
                    <w:t>OD</w:t>
                  </w:r>
                  <w:r>
                    <w:rPr>
                      <w:color w:val="auto"/>
                      <w:sz w:val="18"/>
                      <w:szCs w:val="18"/>
                      <w:vertAlign w:val="subscript"/>
                    </w:rPr>
                    <w:t>5</w:t>
                  </w:r>
                </w:p>
              </w:tc>
              <w:tc>
                <w:tcPr>
                  <w:tcW w:w="513" w:type="pct"/>
                  <w:vMerge w:val="continue"/>
                  <w:shd w:val="clear" w:color="auto" w:fill="auto"/>
                  <w:vAlign w:val="center"/>
                </w:tcPr>
                <w:p w14:paraId="4C8C71D1">
                  <w:pPr>
                    <w:adjustRightInd w:val="0"/>
                    <w:snapToGrid w:val="0"/>
                    <w:jc w:val="center"/>
                    <w:rPr>
                      <w:color w:val="auto"/>
                      <w:sz w:val="18"/>
                      <w:szCs w:val="18"/>
                    </w:rPr>
                  </w:pPr>
                </w:p>
              </w:tc>
              <w:tc>
                <w:tcPr>
                  <w:tcW w:w="531" w:type="pct"/>
                  <w:shd w:val="clear" w:color="auto" w:fill="auto"/>
                  <w:vAlign w:val="center"/>
                </w:tcPr>
                <w:p w14:paraId="23A231F2">
                  <w:pPr>
                    <w:jc w:val="center"/>
                    <w:rPr>
                      <w:rFonts w:hint="default" w:eastAsia="等线"/>
                      <w:color w:val="auto"/>
                      <w:sz w:val="18"/>
                      <w:szCs w:val="18"/>
                      <w:lang w:val="en-US"/>
                    </w:rPr>
                  </w:pPr>
                  <w:r>
                    <w:rPr>
                      <w:rFonts w:hint="eastAsia"/>
                      <w:color w:val="auto"/>
                      <w:sz w:val="18"/>
                      <w:szCs w:val="18"/>
                      <w:lang w:val="en-US" w:eastAsia="zh-CN"/>
                    </w:rPr>
                    <w:t>87.83</w:t>
                  </w:r>
                </w:p>
              </w:tc>
              <w:tc>
                <w:tcPr>
                  <w:tcW w:w="477" w:type="pct"/>
                  <w:shd w:val="clear" w:color="auto" w:fill="auto"/>
                  <w:vAlign w:val="center"/>
                </w:tcPr>
                <w:p w14:paraId="1F6CE80D">
                  <w:pPr>
                    <w:keepNext w:val="0"/>
                    <w:keepLines w:val="0"/>
                    <w:widowControl/>
                    <w:suppressLineNumbers w:val="0"/>
                    <w:jc w:val="center"/>
                    <w:textAlignment w:val="center"/>
                    <w:rPr>
                      <w:rFonts w:hint="default" w:eastAsia="等线"/>
                      <w:color w:val="auto"/>
                      <w:sz w:val="18"/>
                      <w:szCs w:val="18"/>
                      <w:lang w:val="en-US"/>
                    </w:rPr>
                  </w:pPr>
                  <w:r>
                    <w:rPr>
                      <w:rFonts w:hint="eastAsia" w:cs="Times New Roman"/>
                      <w:i w:val="0"/>
                      <w:iCs w:val="0"/>
                      <w:color w:val="auto"/>
                      <w:kern w:val="0"/>
                      <w:sz w:val="18"/>
                      <w:szCs w:val="18"/>
                      <w:u w:val="none"/>
                      <w:lang w:val="en-US" w:eastAsia="zh-CN" w:bidi="ar"/>
                    </w:rPr>
                    <w:t>13.06</w:t>
                  </w:r>
                </w:p>
              </w:tc>
              <w:tc>
                <w:tcPr>
                  <w:tcW w:w="277" w:type="pct"/>
                  <w:vMerge w:val="continue"/>
                  <w:shd w:val="clear" w:color="auto" w:fill="auto"/>
                  <w:vAlign w:val="center"/>
                </w:tcPr>
                <w:p w14:paraId="4B79303E">
                  <w:pPr>
                    <w:adjustRightInd w:val="0"/>
                    <w:snapToGrid w:val="0"/>
                    <w:jc w:val="center"/>
                    <w:rPr>
                      <w:color w:val="auto"/>
                      <w:sz w:val="18"/>
                      <w:szCs w:val="18"/>
                    </w:rPr>
                  </w:pPr>
                </w:p>
              </w:tc>
              <w:tc>
                <w:tcPr>
                  <w:tcW w:w="477" w:type="pct"/>
                  <w:vMerge w:val="continue"/>
                  <w:shd w:val="clear" w:color="auto" w:fill="auto"/>
                  <w:vAlign w:val="center"/>
                </w:tcPr>
                <w:p w14:paraId="38993AEF">
                  <w:pPr>
                    <w:adjustRightInd w:val="0"/>
                    <w:snapToGrid w:val="0"/>
                    <w:jc w:val="center"/>
                    <w:rPr>
                      <w:color w:val="auto"/>
                      <w:sz w:val="18"/>
                      <w:szCs w:val="18"/>
                    </w:rPr>
                  </w:pPr>
                </w:p>
              </w:tc>
              <w:tc>
                <w:tcPr>
                  <w:tcW w:w="561" w:type="pct"/>
                  <w:shd w:val="clear" w:color="auto" w:fill="auto"/>
                  <w:vAlign w:val="center"/>
                </w:tcPr>
                <w:p w14:paraId="0105F8E6">
                  <w:pPr>
                    <w:jc w:val="center"/>
                    <w:rPr>
                      <w:rFonts w:eastAsia="等线"/>
                      <w:color w:val="auto"/>
                      <w:sz w:val="18"/>
                      <w:szCs w:val="18"/>
                    </w:rPr>
                  </w:pPr>
                  <w:r>
                    <w:rPr>
                      <w:rFonts w:hint="eastAsia" w:eastAsia="等线"/>
                      <w:color w:val="auto"/>
                      <w:sz w:val="18"/>
                      <w:szCs w:val="18"/>
                    </w:rPr>
                    <w:t>1</w:t>
                  </w:r>
                  <w:r>
                    <w:rPr>
                      <w:rFonts w:eastAsia="等线"/>
                      <w:color w:val="auto"/>
                      <w:sz w:val="18"/>
                      <w:szCs w:val="18"/>
                    </w:rPr>
                    <w:t>0</w:t>
                  </w:r>
                </w:p>
              </w:tc>
              <w:tc>
                <w:tcPr>
                  <w:tcW w:w="570" w:type="pct"/>
                  <w:shd w:val="clear" w:color="auto" w:fill="auto"/>
                  <w:vAlign w:val="center"/>
                </w:tcPr>
                <w:p w14:paraId="31596C5B">
                  <w:pPr>
                    <w:keepNext w:val="0"/>
                    <w:keepLines w:val="0"/>
                    <w:widowControl/>
                    <w:suppressLineNumbers w:val="0"/>
                    <w:jc w:val="center"/>
                    <w:textAlignment w:val="center"/>
                    <w:rPr>
                      <w:rFonts w:eastAsia="等线"/>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1.49</w:t>
                  </w:r>
                </w:p>
              </w:tc>
              <w:tc>
                <w:tcPr>
                  <w:tcW w:w="298" w:type="pct"/>
                  <w:vMerge w:val="continue"/>
                  <w:shd w:val="clear" w:color="auto" w:fill="auto"/>
                  <w:vAlign w:val="center"/>
                </w:tcPr>
                <w:p w14:paraId="2F327C38">
                  <w:pPr>
                    <w:adjustRightInd w:val="0"/>
                    <w:snapToGrid w:val="0"/>
                    <w:jc w:val="center"/>
                    <w:rPr>
                      <w:color w:val="auto"/>
                      <w:sz w:val="18"/>
                      <w:szCs w:val="18"/>
                    </w:rPr>
                  </w:pPr>
                </w:p>
              </w:tc>
            </w:tr>
            <w:tr w14:paraId="430BA6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pct"/>
                  <w:vMerge w:val="continue"/>
                  <w:shd w:val="clear" w:color="auto" w:fill="auto"/>
                  <w:vAlign w:val="center"/>
                </w:tcPr>
                <w:p w14:paraId="4A4AAB76">
                  <w:pPr>
                    <w:adjustRightInd w:val="0"/>
                    <w:snapToGrid w:val="0"/>
                    <w:jc w:val="center"/>
                    <w:rPr>
                      <w:color w:val="auto"/>
                      <w:sz w:val="18"/>
                      <w:szCs w:val="18"/>
                    </w:rPr>
                  </w:pPr>
                </w:p>
              </w:tc>
              <w:tc>
                <w:tcPr>
                  <w:tcW w:w="636" w:type="pct"/>
                  <w:shd w:val="clear" w:color="auto" w:fill="auto"/>
                  <w:vAlign w:val="center"/>
                </w:tcPr>
                <w:p w14:paraId="7ADF6B17">
                  <w:pPr>
                    <w:adjustRightInd w:val="0"/>
                    <w:snapToGrid w:val="0"/>
                    <w:jc w:val="center"/>
                    <w:rPr>
                      <w:color w:val="auto"/>
                      <w:sz w:val="18"/>
                      <w:szCs w:val="18"/>
                    </w:rPr>
                  </w:pPr>
                  <w:r>
                    <w:rPr>
                      <w:color w:val="auto"/>
                      <w:sz w:val="18"/>
                      <w:szCs w:val="18"/>
                    </w:rPr>
                    <w:t>SS</w:t>
                  </w:r>
                </w:p>
              </w:tc>
              <w:tc>
                <w:tcPr>
                  <w:tcW w:w="513" w:type="pct"/>
                  <w:vMerge w:val="continue"/>
                  <w:shd w:val="clear" w:color="auto" w:fill="auto"/>
                  <w:vAlign w:val="center"/>
                </w:tcPr>
                <w:p w14:paraId="4A0EE76C">
                  <w:pPr>
                    <w:adjustRightInd w:val="0"/>
                    <w:snapToGrid w:val="0"/>
                    <w:jc w:val="center"/>
                    <w:rPr>
                      <w:color w:val="auto"/>
                      <w:sz w:val="18"/>
                      <w:szCs w:val="18"/>
                    </w:rPr>
                  </w:pPr>
                </w:p>
              </w:tc>
              <w:tc>
                <w:tcPr>
                  <w:tcW w:w="531" w:type="pct"/>
                  <w:shd w:val="clear" w:color="auto" w:fill="auto"/>
                  <w:vAlign w:val="center"/>
                </w:tcPr>
                <w:p w14:paraId="7DDE998B">
                  <w:pPr>
                    <w:jc w:val="center"/>
                    <w:rPr>
                      <w:rFonts w:hint="default" w:eastAsia="等线"/>
                      <w:color w:val="auto"/>
                      <w:sz w:val="18"/>
                      <w:szCs w:val="18"/>
                      <w:lang w:val="en-US"/>
                    </w:rPr>
                  </w:pPr>
                  <w:r>
                    <w:rPr>
                      <w:rFonts w:hint="eastAsia"/>
                      <w:color w:val="auto"/>
                      <w:sz w:val="18"/>
                      <w:szCs w:val="18"/>
                      <w:lang w:val="en-US" w:eastAsia="zh-CN"/>
                    </w:rPr>
                    <w:t>40.79</w:t>
                  </w:r>
                </w:p>
              </w:tc>
              <w:tc>
                <w:tcPr>
                  <w:tcW w:w="477" w:type="pct"/>
                  <w:shd w:val="clear" w:color="auto" w:fill="auto"/>
                  <w:vAlign w:val="center"/>
                </w:tcPr>
                <w:p w14:paraId="2E3A1CB2">
                  <w:pPr>
                    <w:keepNext w:val="0"/>
                    <w:keepLines w:val="0"/>
                    <w:widowControl/>
                    <w:suppressLineNumbers w:val="0"/>
                    <w:jc w:val="center"/>
                    <w:textAlignment w:val="center"/>
                    <w:rPr>
                      <w:rFonts w:hint="default" w:eastAsia="等线"/>
                      <w:color w:val="auto"/>
                      <w:sz w:val="18"/>
                      <w:szCs w:val="18"/>
                      <w:lang w:val="en-US"/>
                    </w:rPr>
                  </w:pPr>
                  <w:r>
                    <w:rPr>
                      <w:rFonts w:hint="eastAsia" w:cs="Times New Roman"/>
                      <w:i w:val="0"/>
                      <w:iCs w:val="0"/>
                      <w:color w:val="auto"/>
                      <w:kern w:val="0"/>
                      <w:sz w:val="18"/>
                      <w:szCs w:val="18"/>
                      <w:u w:val="none"/>
                      <w:lang w:val="en-US" w:eastAsia="zh-CN" w:bidi="ar"/>
                    </w:rPr>
                    <w:t>6.06</w:t>
                  </w:r>
                </w:p>
              </w:tc>
              <w:tc>
                <w:tcPr>
                  <w:tcW w:w="277" w:type="pct"/>
                  <w:vMerge w:val="continue"/>
                  <w:shd w:val="clear" w:color="auto" w:fill="auto"/>
                  <w:vAlign w:val="center"/>
                </w:tcPr>
                <w:p w14:paraId="776F2C90">
                  <w:pPr>
                    <w:adjustRightInd w:val="0"/>
                    <w:snapToGrid w:val="0"/>
                    <w:jc w:val="center"/>
                    <w:rPr>
                      <w:color w:val="auto"/>
                      <w:sz w:val="18"/>
                      <w:szCs w:val="18"/>
                    </w:rPr>
                  </w:pPr>
                </w:p>
              </w:tc>
              <w:tc>
                <w:tcPr>
                  <w:tcW w:w="477" w:type="pct"/>
                  <w:vMerge w:val="continue"/>
                  <w:shd w:val="clear" w:color="auto" w:fill="auto"/>
                  <w:vAlign w:val="center"/>
                </w:tcPr>
                <w:p w14:paraId="654CE118">
                  <w:pPr>
                    <w:adjustRightInd w:val="0"/>
                    <w:snapToGrid w:val="0"/>
                    <w:jc w:val="center"/>
                    <w:rPr>
                      <w:color w:val="auto"/>
                      <w:sz w:val="18"/>
                      <w:szCs w:val="18"/>
                    </w:rPr>
                  </w:pPr>
                </w:p>
              </w:tc>
              <w:tc>
                <w:tcPr>
                  <w:tcW w:w="561" w:type="pct"/>
                  <w:shd w:val="clear" w:color="auto" w:fill="auto"/>
                  <w:vAlign w:val="center"/>
                </w:tcPr>
                <w:p w14:paraId="140419BE">
                  <w:pPr>
                    <w:jc w:val="center"/>
                    <w:rPr>
                      <w:rFonts w:eastAsia="等线"/>
                      <w:color w:val="auto"/>
                      <w:sz w:val="18"/>
                      <w:szCs w:val="18"/>
                    </w:rPr>
                  </w:pPr>
                  <w:r>
                    <w:rPr>
                      <w:rFonts w:eastAsia="等线"/>
                      <w:color w:val="auto"/>
                      <w:sz w:val="18"/>
                      <w:szCs w:val="18"/>
                    </w:rPr>
                    <w:t>10</w:t>
                  </w:r>
                </w:p>
              </w:tc>
              <w:tc>
                <w:tcPr>
                  <w:tcW w:w="570" w:type="pct"/>
                  <w:shd w:val="clear" w:color="auto" w:fill="auto"/>
                  <w:vAlign w:val="center"/>
                </w:tcPr>
                <w:p w14:paraId="459E12FB">
                  <w:pPr>
                    <w:keepNext w:val="0"/>
                    <w:keepLines w:val="0"/>
                    <w:widowControl/>
                    <w:suppressLineNumbers w:val="0"/>
                    <w:jc w:val="center"/>
                    <w:textAlignment w:val="center"/>
                    <w:rPr>
                      <w:rFonts w:eastAsia="等线"/>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1.49</w:t>
                  </w:r>
                </w:p>
              </w:tc>
              <w:tc>
                <w:tcPr>
                  <w:tcW w:w="298" w:type="pct"/>
                  <w:vMerge w:val="continue"/>
                  <w:shd w:val="clear" w:color="auto" w:fill="auto"/>
                  <w:vAlign w:val="center"/>
                </w:tcPr>
                <w:p w14:paraId="2551DBE5">
                  <w:pPr>
                    <w:adjustRightInd w:val="0"/>
                    <w:snapToGrid w:val="0"/>
                    <w:jc w:val="center"/>
                    <w:rPr>
                      <w:color w:val="auto"/>
                      <w:sz w:val="18"/>
                      <w:szCs w:val="18"/>
                    </w:rPr>
                  </w:pPr>
                </w:p>
              </w:tc>
            </w:tr>
            <w:tr w14:paraId="6E6411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pct"/>
                  <w:vMerge w:val="continue"/>
                  <w:shd w:val="clear" w:color="auto" w:fill="auto"/>
                  <w:vAlign w:val="center"/>
                </w:tcPr>
                <w:p w14:paraId="07BD7BFB">
                  <w:pPr>
                    <w:adjustRightInd w:val="0"/>
                    <w:snapToGrid w:val="0"/>
                    <w:jc w:val="center"/>
                    <w:rPr>
                      <w:color w:val="auto"/>
                      <w:sz w:val="18"/>
                      <w:szCs w:val="18"/>
                    </w:rPr>
                  </w:pPr>
                </w:p>
              </w:tc>
              <w:tc>
                <w:tcPr>
                  <w:tcW w:w="636" w:type="pct"/>
                  <w:shd w:val="clear" w:color="auto" w:fill="auto"/>
                  <w:vAlign w:val="center"/>
                </w:tcPr>
                <w:p w14:paraId="56EC7DD1">
                  <w:pPr>
                    <w:adjustRightInd w:val="0"/>
                    <w:snapToGrid w:val="0"/>
                    <w:jc w:val="center"/>
                    <w:rPr>
                      <w:color w:val="auto"/>
                      <w:sz w:val="18"/>
                      <w:szCs w:val="18"/>
                    </w:rPr>
                  </w:pPr>
                  <w:r>
                    <w:rPr>
                      <w:color w:val="auto"/>
                      <w:sz w:val="18"/>
                      <w:szCs w:val="18"/>
                    </w:rPr>
                    <w:t>氨氮</w:t>
                  </w:r>
                </w:p>
              </w:tc>
              <w:tc>
                <w:tcPr>
                  <w:tcW w:w="513" w:type="pct"/>
                  <w:vMerge w:val="continue"/>
                  <w:shd w:val="clear" w:color="auto" w:fill="auto"/>
                  <w:vAlign w:val="center"/>
                </w:tcPr>
                <w:p w14:paraId="6E65D615">
                  <w:pPr>
                    <w:adjustRightInd w:val="0"/>
                    <w:snapToGrid w:val="0"/>
                    <w:jc w:val="center"/>
                    <w:rPr>
                      <w:color w:val="auto"/>
                      <w:sz w:val="18"/>
                      <w:szCs w:val="18"/>
                    </w:rPr>
                  </w:pPr>
                </w:p>
              </w:tc>
              <w:tc>
                <w:tcPr>
                  <w:tcW w:w="531" w:type="pct"/>
                  <w:shd w:val="clear" w:color="auto" w:fill="auto"/>
                  <w:vAlign w:val="center"/>
                </w:tcPr>
                <w:p w14:paraId="19F519EC">
                  <w:pPr>
                    <w:jc w:val="center"/>
                    <w:rPr>
                      <w:rFonts w:hint="default" w:eastAsia="等线"/>
                      <w:color w:val="auto"/>
                      <w:sz w:val="18"/>
                      <w:szCs w:val="18"/>
                      <w:lang w:val="en-US"/>
                    </w:rPr>
                  </w:pPr>
                  <w:r>
                    <w:rPr>
                      <w:rFonts w:hint="eastAsia"/>
                      <w:color w:val="auto"/>
                      <w:sz w:val="18"/>
                      <w:szCs w:val="18"/>
                      <w:lang w:val="en-US" w:eastAsia="zh-CN"/>
                    </w:rPr>
                    <w:t>2.83</w:t>
                  </w:r>
                </w:p>
              </w:tc>
              <w:tc>
                <w:tcPr>
                  <w:tcW w:w="477" w:type="pct"/>
                  <w:shd w:val="clear" w:color="auto" w:fill="auto"/>
                  <w:vAlign w:val="center"/>
                </w:tcPr>
                <w:p w14:paraId="748E0261">
                  <w:pPr>
                    <w:keepNext w:val="0"/>
                    <w:keepLines w:val="0"/>
                    <w:widowControl/>
                    <w:suppressLineNumbers w:val="0"/>
                    <w:jc w:val="center"/>
                    <w:textAlignment w:val="center"/>
                    <w:rPr>
                      <w:rFonts w:hint="default" w:eastAsia="等线"/>
                      <w:color w:val="auto"/>
                      <w:sz w:val="18"/>
                      <w:szCs w:val="18"/>
                      <w:lang w:val="en-US"/>
                    </w:rPr>
                  </w:pPr>
                  <w:r>
                    <w:rPr>
                      <w:rFonts w:hint="eastAsia" w:cs="Times New Roman"/>
                      <w:i w:val="0"/>
                      <w:iCs w:val="0"/>
                      <w:color w:val="auto"/>
                      <w:kern w:val="0"/>
                      <w:sz w:val="18"/>
                      <w:szCs w:val="18"/>
                      <w:u w:val="none"/>
                      <w:lang w:val="en-US" w:eastAsia="zh-CN" w:bidi="ar"/>
                    </w:rPr>
                    <w:t>0.42</w:t>
                  </w:r>
                </w:p>
              </w:tc>
              <w:tc>
                <w:tcPr>
                  <w:tcW w:w="277" w:type="pct"/>
                  <w:vMerge w:val="continue"/>
                  <w:shd w:val="clear" w:color="auto" w:fill="auto"/>
                  <w:vAlign w:val="center"/>
                </w:tcPr>
                <w:p w14:paraId="3263F379">
                  <w:pPr>
                    <w:adjustRightInd w:val="0"/>
                    <w:snapToGrid w:val="0"/>
                    <w:jc w:val="center"/>
                    <w:rPr>
                      <w:color w:val="auto"/>
                      <w:sz w:val="18"/>
                      <w:szCs w:val="18"/>
                    </w:rPr>
                  </w:pPr>
                </w:p>
              </w:tc>
              <w:tc>
                <w:tcPr>
                  <w:tcW w:w="477" w:type="pct"/>
                  <w:vMerge w:val="continue"/>
                  <w:shd w:val="clear" w:color="auto" w:fill="auto"/>
                  <w:vAlign w:val="center"/>
                </w:tcPr>
                <w:p w14:paraId="38E4E8FE">
                  <w:pPr>
                    <w:adjustRightInd w:val="0"/>
                    <w:snapToGrid w:val="0"/>
                    <w:jc w:val="center"/>
                    <w:rPr>
                      <w:color w:val="auto"/>
                      <w:sz w:val="18"/>
                      <w:szCs w:val="18"/>
                    </w:rPr>
                  </w:pPr>
                </w:p>
              </w:tc>
              <w:tc>
                <w:tcPr>
                  <w:tcW w:w="561" w:type="pct"/>
                  <w:shd w:val="clear" w:color="auto" w:fill="auto"/>
                  <w:vAlign w:val="center"/>
                </w:tcPr>
                <w:p w14:paraId="10FFF32C">
                  <w:pPr>
                    <w:jc w:val="center"/>
                    <w:rPr>
                      <w:rFonts w:hint="default" w:eastAsia="等线"/>
                      <w:color w:val="auto"/>
                      <w:sz w:val="18"/>
                      <w:szCs w:val="18"/>
                      <w:lang w:val="en-US" w:eastAsia="zh-CN"/>
                    </w:rPr>
                  </w:pPr>
                  <w:r>
                    <w:rPr>
                      <w:rFonts w:hint="eastAsia" w:eastAsia="等线"/>
                      <w:color w:val="auto"/>
                      <w:sz w:val="18"/>
                      <w:szCs w:val="18"/>
                      <w:lang w:val="en-US" w:eastAsia="zh-CN"/>
                    </w:rPr>
                    <w:t>2</w:t>
                  </w:r>
                </w:p>
              </w:tc>
              <w:tc>
                <w:tcPr>
                  <w:tcW w:w="570" w:type="pct"/>
                  <w:shd w:val="clear" w:color="auto" w:fill="auto"/>
                  <w:vAlign w:val="center"/>
                </w:tcPr>
                <w:p w14:paraId="24AF594C">
                  <w:pPr>
                    <w:keepNext w:val="0"/>
                    <w:keepLines w:val="0"/>
                    <w:widowControl/>
                    <w:suppressLineNumbers w:val="0"/>
                    <w:jc w:val="center"/>
                    <w:textAlignment w:val="center"/>
                    <w:rPr>
                      <w:rFonts w:hint="default" w:eastAsia="等线"/>
                      <w:color w:val="auto"/>
                      <w:sz w:val="18"/>
                      <w:szCs w:val="18"/>
                      <w:lang w:val="en-US"/>
                    </w:rPr>
                  </w:pPr>
                  <w:r>
                    <w:rPr>
                      <w:rFonts w:hint="eastAsia" w:cs="Times New Roman"/>
                      <w:i w:val="0"/>
                      <w:iCs w:val="0"/>
                      <w:color w:val="auto"/>
                      <w:kern w:val="0"/>
                      <w:sz w:val="18"/>
                      <w:szCs w:val="18"/>
                      <w:u w:val="none"/>
                      <w:lang w:val="en-US" w:eastAsia="zh-CN" w:bidi="ar"/>
                    </w:rPr>
                    <w:t>0.29</w:t>
                  </w:r>
                </w:p>
              </w:tc>
              <w:tc>
                <w:tcPr>
                  <w:tcW w:w="298" w:type="pct"/>
                  <w:vMerge w:val="continue"/>
                  <w:shd w:val="clear" w:color="auto" w:fill="auto"/>
                  <w:vAlign w:val="center"/>
                </w:tcPr>
                <w:p w14:paraId="3ECE1008">
                  <w:pPr>
                    <w:adjustRightInd w:val="0"/>
                    <w:snapToGrid w:val="0"/>
                    <w:jc w:val="center"/>
                    <w:rPr>
                      <w:color w:val="auto"/>
                      <w:sz w:val="18"/>
                      <w:szCs w:val="18"/>
                    </w:rPr>
                  </w:pPr>
                </w:p>
              </w:tc>
            </w:tr>
            <w:tr w14:paraId="3971DA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pct"/>
                  <w:vMerge w:val="continue"/>
                  <w:shd w:val="clear" w:color="auto" w:fill="auto"/>
                  <w:vAlign w:val="center"/>
                </w:tcPr>
                <w:p w14:paraId="0D4BE8CA">
                  <w:pPr>
                    <w:adjustRightInd w:val="0"/>
                    <w:snapToGrid w:val="0"/>
                    <w:jc w:val="center"/>
                    <w:rPr>
                      <w:color w:val="auto"/>
                      <w:sz w:val="18"/>
                      <w:szCs w:val="18"/>
                    </w:rPr>
                  </w:pPr>
                </w:p>
              </w:tc>
              <w:tc>
                <w:tcPr>
                  <w:tcW w:w="636" w:type="pct"/>
                  <w:shd w:val="clear" w:color="auto" w:fill="auto"/>
                  <w:vAlign w:val="center"/>
                </w:tcPr>
                <w:p w14:paraId="20DCF98D">
                  <w:pPr>
                    <w:adjustRightInd w:val="0"/>
                    <w:snapToGrid w:val="0"/>
                    <w:jc w:val="center"/>
                    <w:rPr>
                      <w:color w:val="auto"/>
                      <w:sz w:val="18"/>
                      <w:szCs w:val="18"/>
                    </w:rPr>
                  </w:pPr>
                  <w:r>
                    <w:rPr>
                      <w:color w:val="auto"/>
                      <w:sz w:val="18"/>
                      <w:szCs w:val="18"/>
                    </w:rPr>
                    <w:t>总氮</w:t>
                  </w:r>
                </w:p>
              </w:tc>
              <w:tc>
                <w:tcPr>
                  <w:tcW w:w="513" w:type="pct"/>
                  <w:vMerge w:val="continue"/>
                  <w:shd w:val="clear" w:color="auto" w:fill="auto"/>
                  <w:vAlign w:val="center"/>
                </w:tcPr>
                <w:p w14:paraId="1FD1EFDA">
                  <w:pPr>
                    <w:adjustRightInd w:val="0"/>
                    <w:snapToGrid w:val="0"/>
                    <w:jc w:val="center"/>
                    <w:rPr>
                      <w:color w:val="auto"/>
                      <w:sz w:val="18"/>
                      <w:szCs w:val="18"/>
                    </w:rPr>
                  </w:pPr>
                </w:p>
              </w:tc>
              <w:tc>
                <w:tcPr>
                  <w:tcW w:w="531" w:type="pct"/>
                  <w:shd w:val="clear" w:color="auto" w:fill="auto"/>
                  <w:vAlign w:val="center"/>
                </w:tcPr>
                <w:p w14:paraId="5ACAF927">
                  <w:pPr>
                    <w:jc w:val="center"/>
                    <w:rPr>
                      <w:rFonts w:hint="default" w:eastAsia="等线"/>
                      <w:color w:val="auto"/>
                      <w:sz w:val="18"/>
                      <w:szCs w:val="18"/>
                      <w:lang w:val="en-US"/>
                    </w:rPr>
                  </w:pPr>
                  <w:r>
                    <w:rPr>
                      <w:rFonts w:hint="eastAsia"/>
                      <w:color w:val="auto"/>
                      <w:sz w:val="18"/>
                      <w:szCs w:val="18"/>
                      <w:lang w:val="en-US" w:eastAsia="zh-CN"/>
                    </w:rPr>
                    <w:t>5.45</w:t>
                  </w:r>
                </w:p>
              </w:tc>
              <w:tc>
                <w:tcPr>
                  <w:tcW w:w="477" w:type="pct"/>
                  <w:shd w:val="clear" w:color="auto" w:fill="auto"/>
                  <w:vAlign w:val="center"/>
                </w:tcPr>
                <w:p w14:paraId="65B15FED">
                  <w:pPr>
                    <w:keepNext w:val="0"/>
                    <w:keepLines w:val="0"/>
                    <w:widowControl/>
                    <w:suppressLineNumbers w:val="0"/>
                    <w:jc w:val="center"/>
                    <w:textAlignment w:val="center"/>
                    <w:rPr>
                      <w:rFonts w:hint="default" w:eastAsia="等线"/>
                      <w:color w:val="auto"/>
                      <w:sz w:val="18"/>
                      <w:szCs w:val="18"/>
                      <w:lang w:val="en-US"/>
                    </w:rPr>
                  </w:pPr>
                  <w:r>
                    <w:rPr>
                      <w:rFonts w:hint="eastAsia" w:cs="Times New Roman"/>
                      <w:i w:val="0"/>
                      <w:iCs w:val="0"/>
                      <w:color w:val="auto"/>
                      <w:kern w:val="0"/>
                      <w:sz w:val="18"/>
                      <w:szCs w:val="18"/>
                      <w:u w:val="none"/>
                      <w:lang w:val="en-US" w:eastAsia="zh-CN" w:bidi="ar"/>
                    </w:rPr>
                    <w:t>0.81</w:t>
                  </w:r>
                </w:p>
              </w:tc>
              <w:tc>
                <w:tcPr>
                  <w:tcW w:w="277" w:type="pct"/>
                  <w:vMerge w:val="continue"/>
                  <w:shd w:val="clear" w:color="auto" w:fill="auto"/>
                  <w:vAlign w:val="center"/>
                </w:tcPr>
                <w:p w14:paraId="222B6C83">
                  <w:pPr>
                    <w:adjustRightInd w:val="0"/>
                    <w:snapToGrid w:val="0"/>
                    <w:jc w:val="center"/>
                    <w:rPr>
                      <w:color w:val="auto"/>
                      <w:sz w:val="18"/>
                      <w:szCs w:val="18"/>
                    </w:rPr>
                  </w:pPr>
                </w:p>
              </w:tc>
              <w:tc>
                <w:tcPr>
                  <w:tcW w:w="477" w:type="pct"/>
                  <w:vMerge w:val="continue"/>
                  <w:shd w:val="clear" w:color="auto" w:fill="auto"/>
                  <w:vAlign w:val="center"/>
                </w:tcPr>
                <w:p w14:paraId="277565CF">
                  <w:pPr>
                    <w:adjustRightInd w:val="0"/>
                    <w:snapToGrid w:val="0"/>
                    <w:jc w:val="center"/>
                    <w:rPr>
                      <w:color w:val="auto"/>
                      <w:sz w:val="18"/>
                      <w:szCs w:val="18"/>
                    </w:rPr>
                  </w:pPr>
                </w:p>
              </w:tc>
              <w:tc>
                <w:tcPr>
                  <w:tcW w:w="561" w:type="pct"/>
                  <w:shd w:val="clear" w:color="auto" w:fill="auto"/>
                  <w:vAlign w:val="center"/>
                </w:tcPr>
                <w:p w14:paraId="78BADBEF">
                  <w:pPr>
                    <w:jc w:val="center"/>
                    <w:rPr>
                      <w:rFonts w:hint="default" w:eastAsia="等线"/>
                      <w:color w:val="auto"/>
                      <w:sz w:val="18"/>
                      <w:szCs w:val="18"/>
                      <w:lang w:val="en-US" w:eastAsia="zh-CN"/>
                    </w:rPr>
                  </w:pPr>
                  <w:r>
                    <w:rPr>
                      <w:rFonts w:hint="eastAsia" w:eastAsia="等线"/>
                      <w:color w:val="auto"/>
                      <w:sz w:val="18"/>
                      <w:szCs w:val="18"/>
                      <w:lang w:val="en-US" w:eastAsia="zh-CN"/>
                    </w:rPr>
                    <w:t>3</w:t>
                  </w:r>
                </w:p>
              </w:tc>
              <w:tc>
                <w:tcPr>
                  <w:tcW w:w="570" w:type="pct"/>
                  <w:shd w:val="clear" w:color="auto" w:fill="auto"/>
                  <w:vAlign w:val="center"/>
                </w:tcPr>
                <w:p w14:paraId="147B24E4">
                  <w:pPr>
                    <w:keepNext w:val="0"/>
                    <w:keepLines w:val="0"/>
                    <w:widowControl/>
                    <w:suppressLineNumbers w:val="0"/>
                    <w:jc w:val="center"/>
                    <w:textAlignment w:val="center"/>
                    <w:rPr>
                      <w:rFonts w:hint="default" w:eastAsia="等线"/>
                      <w:color w:val="auto"/>
                      <w:sz w:val="18"/>
                      <w:szCs w:val="18"/>
                      <w:lang w:val="en-US"/>
                    </w:rPr>
                  </w:pPr>
                  <w:r>
                    <w:rPr>
                      <w:rFonts w:hint="eastAsia" w:cs="Times New Roman"/>
                      <w:i w:val="0"/>
                      <w:iCs w:val="0"/>
                      <w:color w:val="auto"/>
                      <w:kern w:val="0"/>
                      <w:sz w:val="18"/>
                      <w:szCs w:val="18"/>
                      <w:u w:val="none"/>
                      <w:lang w:val="en-US" w:eastAsia="zh-CN" w:bidi="ar"/>
                    </w:rPr>
                    <w:t>0.45</w:t>
                  </w:r>
                </w:p>
              </w:tc>
              <w:tc>
                <w:tcPr>
                  <w:tcW w:w="298" w:type="pct"/>
                  <w:vMerge w:val="continue"/>
                  <w:shd w:val="clear" w:color="auto" w:fill="auto"/>
                  <w:vAlign w:val="center"/>
                </w:tcPr>
                <w:p w14:paraId="293E73A4">
                  <w:pPr>
                    <w:adjustRightInd w:val="0"/>
                    <w:snapToGrid w:val="0"/>
                    <w:jc w:val="center"/>
                    <w:rPr>
                      <w:color w:val="auto"/>
                      <w:sz w:val="18"/>
                      <w:szCs w:val="18"/>
                    </w:rPr>
                  </w:pPr>
                </w:p>
              </w:tc>
            </w:tr>
            <w:tr w14:paraId="4B3546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pct"/>
                  <w:vMerge w:val="continue"/>
                  <w:shd w:val="clear" w:color="auto" w:fill="auto"/>
                  <w:vAlign w:val="center"/>
                </w:tcPr>
                <w:p w14:paraId="3BABB18F">
                  <w:pPr>
                    <w:adjustRightInd w:val="0"/>
                    <w:snapToGrid w:val="0"/>
                    <w:jc w:val="center"/>
                    <w:rPr>
                      <w:color w:val="auto"/>
                      <w:sz w:val="18"/>
                      <w:szCs w:val="18"/>
                    </w:rPr>
                  </w:pPr>
                </w:p>
              </w:tc>
              <w:tc>
                <w:tcPr>
                  <w:tcW w:w="636" w:type="pct"/>
                  <w:shd w:val="clear" w:color="auto" w:fill="auto"/>
                  <w:vAlign w:val="center"/>
                </w:tcPr>
                <w:p w14:paraId="58DAF6D4">
                  <w:pPr>
                    <w:adjustRightInd w:val="0"/>
                    <w:snapToGrid w:val="0"/>
                    <w:jc w:val="center"/>
                    <w:rPr>
                      <w:color w:val="auto"/>
                      <w:sz w:val="18"/>
                      <w:szCs w:val="18"/>
                    </w:rPr>
                  </w:pPr>
                  <w:r>
                    <w:rPr>
                      <w:color w:val="auto"/>
                      <w:sz w:val="18"/>
                      <w:szCs w:val="18"/>
                    </w:rPr>
                    <w:t>总磷</w:t>
                  </w:r>
                </w:p>
              </w:tc>
              <w:tc>
                <w:tcPr>
                  <w:tcW w:w="513" w:type="pct"/>
                  <w:vMerge w:val="continue"/>
                  <w:shd w:val="clear" w:color="auto" w:fill="auto"/>
                  <w:vAlign w:val="center"/>
                </w:tcPr>
                <w:p w14:paraId="32EB2C9B">
                  <w:pPr>
                    <w:adjustRightInd w:val="0"/>
                    <w:snapToGrid w:val="0"/>
                    <w:jc w:val="center"/>
                    <w:rPr>
                      <w:color w:val="auto"/>
                      <w:sz w:val="18"/>
                      <w:szCs w:val="18"/>
                    </w:rPr>
                  </w:pPr>
                </w:p>
              </w:tc>
              <w:tc>
                <w:tcPr>
                  <w:tcW w:w="531" w:type="pct"/>
                  <w:shd w:val="clear" w:color="auto" w:fill="auto"/>
                  <w:vAlign w:val="center"/>
                </w:tcPr>
                <w:p w14:paraId="1B25D6B2">
                  <w:pPr>
                    <w:jc w:val="center"/>
                    <w:rPr>
                      <w:rFonts w:hint="default" w:eastAsia="等线"/>
                      <w:color w:val="auto"/>
                      <w:sz w:val="18"/>
                      <w:szCs w:val="18"/>
                      <w:lang w:val="en-US"/>
                    </w:rPr>
                  </w:pPr>
                  <w:r>
                    <w:rPr>
                      <w:rFonts w:hint="eastAsia"/>
                      <w:color w:val="auto"/>
                      <w:sz w:val="18"/>
                      <w:szCs w:val="18"/>
                      <w:lang w:val="en-US" w:eastAsia="zh-CN"/>
                    </w:rPr>
                    <w:t>0.54</w:t>
                  </w:r>
                </w:p>
              </w:tc>
              <w:tc>
                <w:tcPr>
                  <w:tcW w:w="477" w:type="pct"/>
                  <w:shd w:val="clear" w:color="auto" w:fill="auto"/>
                  <w:vAlign w:val="center"/>
                </w:tcPr>
                <w:p w14:paraId="763A3C08">
                  <w:pPr>
                    <w:keepNext w:val="0"/>
                    <w:keepLines w:val="0"/>
                    <w:widowControl/>
                    <w:suppressLineNumbers w:val="0"/>
                    <w:jc w:val="center"/>
                    <w:textAlignment w:val="center"/>
                    <w:rPr>
                      <w:rFonts w:hint="default" w:eastAsia="等线"/>
                      <w:color w:val="auto"/>
                      <w:sz w:val="18"/>
                      <w:szCs w:val="18"/>
                      <w:lang w:val="en-US"/>
                    </w:rPr>
                  </w:pPr>
                  <w:r>
                    <w:rPr>
                      <w:rFonts w:hint="eastAsia" w:cs="Times New Roman"/>
                      <w:i w:val="0"/>
                      <w:iCs w:val="0"/>
                      <w:color w:val="auto"/>
                      <w:kern w:val="0"/>
                      <w:sz w:val="18"/>
                      <w:szCs w:val="18"/>
                      <w:u w:val="none"/>
                      <w:lang w:val="en-US" w:eastAsia="zh-CN" w:bidi="ar"/>
                    </w:rPr>
                    <w:t>0.08</w:t>
                  </w:r>
                </w:p>
              </w:tc>
              <w:tc>
                <w:tcPr>
                  <w:tcW w:w="277" w:type="pct"/>
                  <w:vMerge w:val="continue"/>
                  <w:shd w:val="clear" w:color="auto" w:fill="auto"/>
                  <w:vAlign w:val="center"/>
                </w:tcPr>
                <w:p w14:paraId="6971CD57">
                  <w:pPr>
                    <w:adjustRightInd w:val="0"/>
                    <w:snapToGrid w:val="0"/>
                    <w:jc w:val="center"/>
                    <w:rPr>
                      <w:color w:val="auto"/>
                      <w:sz w:val="18"/>
                      <w:szCs w:val="18"/>
                    </w:rPr>
                  </w:pPr>
                </w:p>
              </w:tc>
              <w:tc>
                <w:tcPr>
                  <w:tcW w:w="477" w:type="pct"/>
                  <w:vMerge w:val="continue"/>
                  <w:shd w:val="clear" w:color="auto" w:fill="auto"/>
                  <w:vAlign w:val="center"/>
                </w:tcPr>
                <w:p w14:paraId="44D47FF4">
                  <w:pPr>
                    <w:adjustRightInd w:val="0"/>
                    <w:snapToGrid w:val="0"/>
                    <w:jc w:val="center"/>
                    <w:rPr>
                      <w:color w:val="auto"/>
                      <w:sz w:val="18"/>
                      <w:szCs w:val="18"/>
                    </w:rPr>
                  </w:pPr>
                </w:p>
              </w:tc>
              <w:tc>
                <w:tcPr>
                  <w:tcW w:w="561" w:type="pct"/>
                  <w:shd w:val="clear" w:color="auto" w:fill="auto"/>
                  <w:vAlign w:val="center"/>
                </w:tcPr>
                <w:p w14:paraId="6F4FAC37">
                  <w:pPr>
                    <w:jc w:val="center"/>
                    <w:rPr>
                      <w:rFonts w:hint="default" w:eastAsia="等线"/>
                      <w:color w:val="auto"/>
                      <w:sz w:val="18"/>
                      <w:szCs w:val="18"/>
                      <w:lang w:val="en-US" w:eastAsia="zh-CN"/>
                    </w:rPr>
                  </w:pPr>
                  <w:r>
                    <w:rPr>
                      <w:rFonts w:hint="eastAsia" w:eastAsia="等线"/>
                      <w:color w:val="auto"/>
                      <w:sz w:val="18"/>
                      <w:szCs w:val="18"/>
                      <w:lang w:val="en-US" w:eastAsia="zh-CN"/>
                    </w:rPr>
                    <w:t>0.27</w:t>
                  </w:r>
                </w:p>
              </w:tc>
              <w:tc>
                <w:tcPr>
                  <w:tcW w:w="570" w:type="pct"/>
                  <w:shd w:val="clear" w:color="auto" w:fill="auto"/>
                  <w:vAlign w:val="center"/>
                </w:tcPr>
                <w:p w14:paraId="0CDC41A7">
                  <w:pPr>
                    <w:keepNext w:val="0"/>
                    <w:keepLines w:val="0"/>
                    <w:widowControl/>
                    <w:suppressLineNumbers w:val="0"/>
                    <w:jc w:val="center"/>
                    <w:textAlignment w:val="center"/>
                    <w:rPr>
                      <w:rFonts w:hint="default" w:eastAsia="等线"/>
                      <w:color w:val="auto"/>
                      <w:sz w:val="18"/>
                      <w:szCs w:val="18"/>
                      <w:lang w:val="en-US"/>
                    </w:rPr>
                  </w:pPr>
                  <w:r>
                    <w:rPr>
                      <w:rFonts w:hint="eastAsia" w:cs="Times New Roman"/>
                      <w:i w:val="0"/>
                      <w:iCs w:val="0"/>
                      <w:color w:val="auto"/>
                      <w:kern w:val="0"/>
                      <w:sz w:val="18"/>
                      <w:szCs w:val="18"/>
                      <w:u w:val="none"/>
                      <w:lang w:val="en-US" w:eastAsia="zh-CN" w:bidi="ar"/>
                    </w:rPr>
                    <w:t>0.04</w:t>
                  </w:r>
                </w:p>
              </w:tc>
              <w:tc>
                <w:tcPr>
                  <w:tcW w:w="298" w:type="pct"/>
                  <w:vMerge w:val="continue"/>
                  <w:shd w:val="clear" w:color="auto" w:fill="auto"/>
                  <w:vAlign w:val="center"/>
                </w:tcPr>
                <w:p w14:paraId="6F5D62B9">
                  <w:pPr>
                    <w:adjustRightInd w:val="0"/>
                    <w:snapToGrid w:val="0"/>
                    <w:jc w:val="center"/>
                    <w:rPr>
                      <w:color w:val="auto"/>
                      <w:sz w:val="18"/>
                      <w:szCs w:val="18"/>
                    </w:rPr>
                  </w:pPr>
                </w:p>
              </w:tc>
            </w:tr>
            <w:tr w14:paraId="1A7705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pct"/>
                  <w:vMerge w:val="continue"/>
                  <w:shd w:val="clear" w:color="auto" w:fill="auto"/>
                  <w:vAlign w:val="center"/>
                </w:tcPr>
                <w:p w14:paraId="6370C265">
                  <w:pPr>
                    <w:adjustRightInd w:val="0"/>
                    <w:snapToGrid w:val="0"/>
                    <w:jc w:val="center"/>
                    <w:rPr>
                      <w:color w:val="auto"/>
                      <w:sz w:val="18"/>
                      <w:szCs w:val="18"/>
                    </w:rPr>
                  </w:pPr>
                </w:p>
              </w:tc>
              <w:tc>
                <w:tcPr>
                  <w:tcW w:w="636" w:type="pct"/>
                  <w:shd w:val="clear" w:color="auto" w:fill="auto"/>
                  <w:vAlign w:val="center"/>
                </w:tcPr>
                <w:p w14:paraId="6B39E799">
                  <w:pPr>
                    <w:adjustRightInd w:val="0"/>
                    <w:snapToGrid w:val="0"/>
                    <w:jc w:val="center"/>
                    <w:rPr>
                      <w:color w:val="auto"/>
                      <w:sz w:val="18"/>
                      <w:szCs w:val="18"/>
                    </w:rPr>
                  </w:pPr>
                  <w:r>
                    <w:rPr>
                      <w:color w:val="auto"/>
                      <w:sz w:val="18"/>
                      <w:szCs w:val="18"/>
                    </w:rPr>
                    <w:t>动植物油</w:t>
                  </w:r>
                </w:p>
              </w:tc>
              <w:tc>
                <w:tcPr>
                  <w:tcW w:w="513" w:type="pct"/>
                  <w:vMerge w:val="continue"/>
                  <w:shd w:val="clear" w:color="auto" w:fill="auto"/>
                  <w:vAlign w:val="center"/>
                </w:tcPr>
                <w:p w14:paraId="62938D41">
                  <w:pPr>
                    <w:adjustRightInd w:val="0"/>
                    <w:snapToGrid w:val="0"/>
                    <w:jc w:val="center"/>
                    <w:rPr>
                      <w:color w:val="auto"/>
                      <w:sz w:val="18"/>
                      <w:szCs w:val="18"/>
                    </w:rPr>
                  </w:pPr>
                </w:p>
              </w:tc>
              <w:tc>
                <w:tcPr>
                  <w:tcW w:w="531" w:type="pct"/>
                  <w:shd w:val="clear" w:color="auto" w:fill="auto"/>
                  <w:vAlign w:val="center"/>
                </w:tcPr>
                <w:p w14:paraId="539E870E">
                  <w:pPr>
                    <w:jc w:val="center"/>
                    <w:rPr>
                      <w:rFonts w:hint="default" w:eastAsia="等线"/>
                      <w:color w:val="auto"/>
                      <w:sz w:val="18"/>
                      <w:szCs w:val="18"/>
                      <w:lang w:val="en-US"/>
                    </w:rPr>
                  </w:pPr>
                  <w:r>
                    <w:rPr>
                      <w:rFonts w:hint="eastAsia"/>
                      <w:color w:val="auto"/>
                      <w:sz w:val="18"/>
                      <w:szCs w:val="18"/>
                      <w:lang w:val="en-US" w:eastAsia="zh-CN"/>
                    </w:rPr>
                    <w:t>0.27</w:t>
                  </w:r>
                </w:p>
              </w:tc>
              <w:tc>
                <w:tcPr>
                  <w:tcW w:w="477" w:type="pct"/>
                  <w:shd w:val="clear" w:color="auto" w:fill="auto"/>
                  <w:vAlign w:val="center"/>
                </w:tcPr>
                <w:p w14:paraId="2E0B215A">
                  <w:pPr>
                    <w:keepNext w:val="0"/>
                    <w:keepLines w:val="0"/>
                    <w:widowControl/>
                    <w:suppressLineNumbers w:val="0"/>
                    <w:jc w:val="center"/>
                    <w:textAlignment w:val="center"/>
                    <w:rPr>
                      <w:rFonts w:hint="default" w:eastAsia="等线"/>
                      <w:color w:val="auto"/>
                      <w:sz w:val="18"/>
                      <w:szCs w:val="18"/>
                      <w:lang w:val="en-US"/>
                    </w:rPr>
                  </w:pPr>
                  <w:r>
                    <w:rPr>
                      <w:rFonts w:hint="eastAsia" w:cs="Times New Roman"/>
                      <w:i w:val="0"/>
                      <w:iCs w:val="0"/>
                      <w:color w:val="auto"/>
                      <w:kern w:val="0"/>
                      <w:sz w:val="18"/>
                      <w:szCs w:val="18"/>
                      <w:u w:val="none"/>
                      <w:lang w:val="en-US" w:eastAsia="zh-CN" w:bidi="ar"/>
                    </w:rPr>
                    <w:t>0.04</w:t>
                  </w:r>
                </w:p>
              </w:tc>
              <w:tc>
                <w:tcPr>
                  <w:tcW w:w="277" w:type="pct"/>
                  <w:vMerge w:val="continue"/>
                  <w:shd w:val="clear" w:color="auto" w:fill="auto"/>
                  <w:vAlign w:val="center"/>
                </w:tcPr>
                <w:p w14:paraId="246AEF69">
                  <w:pPr>
                    <w:adjustRightInd w:val="0"/>
                    <w:snapToGrid w:val="0"/>
                    <w:jc w:val="center"/>
                    <w:rPr>
                      <w:color w:val="auto"/>
                      <w:sz w:val="18"/>
                      <w:szCs w:val="18"/>
                    </w:rPr>
                  </w:pPr>
                </w:p>
              </w:tc>
              <w:tc>
                <w:tcPr>
                  <w:tcW w:w="477" w:type="pct"/>
                  <w:vMerge w:val="continue"/>
                  <w:shd w:val="clear" w:color="auto" w:fill="auto"/>
                  <w:vAlign w:val="center"/>
                </w:tcPr>
                <w:p w14:paraId="29055666">
                  <w:pPr>
                    <w:adjustRightInd w:val="0"/>
                    <w:snapToGrid w:val="0"/>
                    <w:jc w:val="center"/>
                    <w:rPr>
                      <w:color w:val="auto"/>
                      <w:sz w:val="18"/>
                      <w:szCs w:val="18"/>
                    </w:rPr>
                  </w:pPr>
                </w:p>
              </w:tc>
              <w:tc>
                <w:tcPr>
                  <w:tcW w:w="561" w:type="pct"/>
                  <w:shd w:val="clear" w:color="auto" w:fill="auto"/>
                  <w:vAlign w:val="center"/>
                </w:tcPr>
                <w:p w14:paraId="6AA334BA">
                  <w:pPr>
                    <w:jc w:val="center"/>
                    <w:rPr>
                      <w:rFonts w:hint="default" w:eastAsia="等线"/>
                      <w:color w:val="auto"/>
                      <w:sz w:val="18"/>
                      <w:szCs w:val="18"/>
                      <w:lang w:val="en-US" w:eastAsia="zh-CN"/>
                    </w:rPr>
                  </w:pPr>
                  <w:r>
                    <w:rPr>
                      <w:rFonts w:hint="eastAsia" w:eastAsia="等线"/>
                      <w:color w:val="auto"/>
                      <w:sz w:val="18"/>
                      <w:szCs w:val="18"/>
                      <w:lang w:val="en-US" w:eastAsia="zh-CN"/>
                    </w:rPr>
                    <w:t>0.20</w:t>
                  </w:r>
                </w:p>
              </w:tc>
              <w:tc>
                <w:tcPr>
                  <w:tcW w:w="570" w:type="pct"/>
                  <w:shd w:val="clear" w:color="auto" w:fill="auto"/>
                  <w:vAlign w:val="center"/>
                </w:tcPr>
                <w:p w14:paraId="694C1C43">
                  <w:pPr>
                    <w:keepNext w:val="0"/>
                    <w:keepLines w:val="0"/>
                    <w:widowControl/>
                    <w:suppressLineNumbers w:val="0"/>
                    <w:jc w:val="center"/>
                    <w:textAlignment w:val="center"/>
                    <w:rPr>
                      <w:rFonts w:hint="default" w:eastAsia="等线"/>
                      <w:color w:val="auto"/>
                      <w:sz w:val="18"/>
                      <w:szCs w:val="18"/>
                      <w:lang w:val="en-US"/>
                    </w:rPr>
                  </w:pPr>
                  <w:r>
                    <w:rPr>
                      <w:rFonts w:hint="default" w:ascii="Times New Roman" w:hAnsi="Times New Roman" w:eastAsia="宋体" w:cs="Times New Roman"/>
                      <w:i w:val="0"/>
                      <w:iCs w:val="0"/>
                      <w:color w:val="auto"/>
                      <w:kern w:val="0"/>
                      <w:sz w:val="18"/>
                      <w:szCs w:val="18"/>
                      <w:u w:val="none"/>
                      <w:lang w:val="en-US" w:eastAsia="zh-CN" w:bidi="ar"/>
                    </w:rPr>
                    <w:t>0.</w:t>
                  </w:r>
                  <w:r>
                    <w:rPr>
                      <w:rFonts w:hint="eastAsia" w:cs="Times New Roman"/>
                      <w:i w:val="0"/>
                      <w:iCs w:val="0"/>
                      <w:color w:val="auto"/>
                      <w:kern w:val="0"/>
                      <w:sz w:val="18"/>
                      <w:szCs w:val="18"/>
                      <w:u w:val="none"/>
                      <w:lang w:val="en-US" w:eastAsia="zh-CN" w:bidi="ar"/>
                    </w:rPr>
                    <w:t>03</w:t>
                  </w:r>
                </w:p>
              </w:tc>
              <w:tc>
                <w:tcPr>
                  <w:tcW w:w="298" w:type="pct"/>
                  <w:vMerge w:val="continue"/>
                  <w:shd w:val="clear" w:color="auto" w:fill="auto"/>
                  <w:vAlign w:val="center"/>
                </w:tcPr>
                <w:p w14:paraId="5A8F459E">
                  <w:pPr>
                    <w:adjustRightInd w:val="0"/>
                    <w:snapToGrid w:val="0"/>
                    <w:jc w:val="center"/>
                    <w:rPr>
                      <w:color w:val="auto"/>
                      <w:sz w:val="18"/>
                      <w:szCs w:val="18"/>
                    </w:rPr>
                  </w:pPr>
                </w:p>
              </w:tc>
            </w:tr>
            <w:tr w14:paraId="681D57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pct"/>
                  <w:vMerge w:val="continue"/>
                  <w:shd w:val="clear" w:color="auto" w:fill="auto"/>
                  <w:vAlign w:val="center"/>
                </w:tcPr>
                <w:p w14:paraId="51459989">
                  <w:pPr>
                    <w:adjustRightInd w:val="0"/>
                    <w:snapToGrid w:val="0"/>
                    <w:jc w:val="center"/>
                    <w:rPr>
                      <w:color w:val="auto"/>
                      <w:sz w:val="18"/>
                      <w:szCs w:val="18"/>
                    </w:rPr>
                  </w:pPr>
                </w:p>
              </w:tc>
              <w:tc>
                <w:tcPr>
                  <w:tcW w:w="636" w:type="pct"/>
                  <w:shd w:val="clear" w:color="auto" w:fill="auto"/>
                  <w:vAlign w:val="center"/>
                </w:tcPr>
                <w:p w14:paraId="61350696">
                  <w:pPr>
                    <w:adjustRightInd w:val="0"/>
                    <w:snapToGrid w:val="0"/>
                    <w:jc w:val="center"/>
                    <w:rPr>
                      <w:color w:val="auto"/>
                      <w:sz w:val="18"/>
                      <w:szCs w:val="18"/>
                    </w:rPr>
                  </w:pPr>
                  <w:r>
                    <w:rPr>
                      <w:color w:val="auto"/>
                      <w:sz w:val="18"/>
                      <w:szCs w:val="18"/>
                    </w:rPr>
                    <w:t>LAS</w:t>
                  </w:r>
                </w:p>
              </w:tc>
              <w:tc>
                <w:tcPr>
                  <w:tcW w:w="513" w:type="pct"/>
                  <w:vMerge w:val="continue"/>
                  <w:shd w:val="clear" w:color="auto" w:fill="auto"/>
                  <w:vAlign w:val="center"/>
                </w:tcPr>
                <w:p w14:paraId="7C29156F">
                  <w:pPr>
                    <w:adjustRightInd w:val="0"/>
                    <w:snapToGrid w:val="0"/>
                    <w:jc w:val="center"/>
                    <w:rPr>
                      <w:color w:val="auto"/>
                      <w:sz w:val="18"/>
                      <w:szCs w:val="18"/>
                    </w:rPr>
                  </w:pPr>
                </w:p>
              </w:tc>
              <w:tc>
                <w:tcPr>
                  <w:tcW w:w="531" w:type="pct"/>
                  <w:shd w:val="clear" w:color="auto" w:fill="auto"/>
                  <w:vAlign w:val="center"/>
                </w:tcPr>
                <w:p w14:paraId="0618E35E">
                  <w:pPr>
                    <w:jc w:val="center"/>
                    <w:rPr>
                      <w:rFonts w:hint="default" w:eastAsia="等线"/>
                      <w:color w:val="auto"/>
                      <w:sz w:val="18"/>
                      <w:szCs w:val="18"/>
                      <w:lang w:val="en-US"/>
                    </w:rPr>
                  </w:pPr>
                  <w:r>
                    <w:rPr>
                      <w:rFonts w:hint="eastAsia"/>
                      <w:color w:val="auto"/>
                      <w:sz w:val="18"/>
                      <w:szCs w:val="18"/>
                      <w:lang w:val="en-US" w:eastAsia="zh-CN"/>
                    </w:rPr>
                    <w:t>0.54</w:t>
                  </w:r>
                </w:p>
              </w:tc>
              <w:tc>
                <w:tcPr>
                  <w:tcW w:w="477" w:type="pct"/>
                  <w:shd w:val="clear" w:color="auto" w:fill="auto"/>
                  <w:vAlign w:val="center"/>
                </w:tcPr>
                <w:p w14:paraId="6AC87A74">
                  <w:pPr>
                    <w:keepNext w:val="0"/>
                    <w:keepLines w:val="0"/>
                    <w:widowControl/>
                    <w:suppressLineNumbers w:val="0"/>
                    <w:jc w:val="center"/>
                    <w:textAlignment w:val="center"/>
                    <w:rPr>
                      <w:rFonts w:hint="default" w:eastAsia="等线"/>
                      <w:color w:val="auto"/>
                      <w:sz w:val="18"/>
                      <w:szCs w:val="18"/>
                      <w:lang w:val="en-US"/>
                    </w:rPr>
                  </w:pPr>
                  <w:r>
                    <w:rPr>
                      <w:rFonts w:hint="default" w:ascii="Times New Roman" w:hAnsi="Times New Roman" w:eastAsia="宋体" w:cs="Times New Roman"/>
                      <w:i w:val="0"/>
                      <w:iCs w:val="0"/>
                      <w:color w:val="auto"/>
                      <w:kern w:val="0"/>
                      <w:sz w:val="18"/>
                      <w:szCs w:val="18"/>
                      <w:u w:val="none"/>
                      <w:lang w:val="en-US" w:eastAsia="zh-CN" w:bidi="ar"/>
                    </w:rPr>
                    <w:t>0.</w:t>
                  </w:r>
                  <w:r>
                    <w:rPr>
                      <w:rFonts w:hint="eastAsia" w:cs="Times New Roman"/>
                      <w:i w:val="0"/>
                      <w:iCs w:val="0"/>
                      <w:color w:val="auto"/>
                      <w:kern w:val="0"/>
                      <w:sz w:val="18"/>
                      <w:szCs w:val="18"/>
                      <w:u w:val="none"/>
                      <w:lang w:val="en-US" w:eastAsia="zh-CN" w:bidi="ar"/>
                    </w:rPr>
                    <w:t>08</w:t>
                  </w:r>
                </w:p>
              </w:tc>
              <w:tc>
                <w:tcPr>
                  <w:tcW w:w="277" w:type="pct"/>
                  <w:vMerge w:val="continue"/>
                  <w:shd w:val="clear" w:color="auto" w:fill="auto"/>
                  <w:vAlign w:val="center"/>
                </w:tcPr>
                <w:p w14:paraId="2A7749AA">
                  <w:pPr>
                    <w:adjustRightInd w:val="0"/>
                    <w:snapToGrid w:val="0"/>
                    <w:jc w:val="center"/>
                    <w:rPr>
                      <w:color w:val="auto"/>
                      <w:sz w:val="18"/>
                      <w:szCs w:val="18"/>
                    </w:rPr>
                  </w:pPr>
                </w:p>
              </w:tc>
              <w:tc>
                <w:tcPr>
                  <w:tcW w:w="477" w:type="pct"/>
                  <w:vMerge w:val="continue"/>
                  <w:shd w:val="clear" w:color="auto" w:fill="auto"/>
                  <w:vAlign w:val="center"/>
                </w:tcPr>
                <w:p w14:paraId="0386E8DD">
                  <w:pPr>
                    <w:adjustRightInd w:val="0"/>
                    <w:snapToGrid w:val="0"/>
                    <w:jc w:val="center"/>
                    <w:rPr>
                      <w:color w:val="auto"/>
                      <w:sz w:val="18"/>
                      <w:szCs w:val="18"/>
                    </w:rPr>
                  </w:pPr>
                </w:p>
              </w:tc>
              <w:tc>
                <w:tcPr>
                  <w:tcW w:w="561" w:type="pct"/>
                  <w:shd w:val="clear" w:color="auto" w:fill="auto"/>
                  <w:vAlign w:val="center"/>
                </w:tcPr>
                <w:p w14:paraId="5BB339F1">
                  <w:pPr>
                    <w:jc w:val="center"/>
                    <w:rPr>
                      <w:rFonts w:eastAsia="等线"/>
                      <w:color w:val="auto"/>
                      <w:sz w:val="18"/>
                      <w:szCs w:val="18"/>
                    </w:rPr>
                  </w:pPr>
                  <w:r>
                    <w:rPr>
                      <w:rFonts w:eastAsia="等线"/>
                      <w:color w:val="auto"/>
                      <w:sz w:val="18"/>
                      <w:szCs w:val="18"/>
                    </w:rPr>
                    <w:t>0.5</w:t>
                  </w:r>
                </w:p>
              </w:tc>
              <w:tc>
                <w:tcPr>
                  <w:tcW w:w="570" w:type="pct"/>
                  <w:shd w:val="clear" w:color="auto" w:fill="auto"/>
                  <w:vAlign w:val="center"/>
                </w:tcPr>
                <w:p w14:paraId="715C3EA5">
                  <w:pPr>
                    <w:keepNext w:val="0"/>
                    <w:keepLines w:val="0"/>
                    <w:widowControl/>
                    <w:suppressLineNumbers w:val="0"/>
                    <w:jc w:val="center"/>
                    <w:textAlignment w:val="center"/>
                    <w:rPr>
                      <w:rFonts w:eastAsia="等线"/>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0.07</w:t>
                  </w:r>
                </w:p>
              </w:tc>
              <w:tc>
                <w:tcPr>
                  <w:tcW w:w="298" w:type="pct"/>
                  <w:vMerge w:val="continue"/>
                  <w:shd w:val="clear" w:color="auto" w:fill="auto"/>
                  <w:vAlign w:val="center"/>
                </w:tcPr>
                <w:p w14:paraId="2301653A">
                  <w:pPr>
                    <w:adjustRightInd w:val="0"/>
                    <w:snapToGrid w:val="0"/>
                    <w:jc w:val="center"/>
                    <w:rPr>
                      <w:color w:val="auto"/>
                      <w:sz w:val="18"/>
                      <w:szCs w:val="18"/>
                    </w:rPr>
                  </w:pPr>
                </w:p>
              </w:tc>
            </w:tr>
            <w:tr w14:paraId="2DB41C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pct"/>
                  <w:vMerge w:val="continue"/>
                  <w:shd w:val="clear" w:color="auto" w:fill="auto"/>
                  <w:vAlign w:val="center"/>
                </w:tcPr>
                <w:p w14:paraId="77241BBB">
                  <w:pPr>
                    <w:adjustRightInd w:val="0"/>
                    <w:snapToGrid w:val="0"/>
                    <w:jc w:val="center"/>
                    <w:rPr>
                      <w:color w:val="auto"/>
                      <w:sz w:val="18"/>
                      <w:szCs w:val="18"/>
                    </w:rPr>
                  </w:pPr>
                </w:p>
              </w:tc>
              <w:tc>
                <w:tcPr>
                  <w:tcW w:w="636" w:type="pct"/>
                  <w:shd w:val="clear" w:color="auto" w:fill="auto"/>
                  <w:vAlign w:val="center"/>
                </w:tcPr>
                <w:p w14:paraId="7C8A485E">
                  <w:pPr>
                    <w:adjustRightInd w:val="0"/>
                    <w:snapToGrid w:val="0"/>
                    <w:jc w:val="center"/>
                    <w:rPr>
                      <w:rFonts w:hint="eastAsia" w:eastAsia="宋体"/>
                      <w:color w:val="auto"/>
                      <w:sz w:val="18"/>
                      <w:szCs w:val="18"/>
                      <w:lang w:eastAsia="zh-CN"/>
                    </w:rPr>
                  </w:pPr>
                  <w:r>
                    <w:rPr>
                      <w:rFonts w:hint="eastAsia" w:cs="Times New Roman"/>
                      <w:color w:val="auto"/>
                      <w:sz w:val="18"/>
                      <w:szCs w:val="18"/>
                      <w:lang w:val="en-US" w:eastAsia="zh-CN"/>
                    </w:rPr>
                    <w:t>全盐量</w:t>
                  </w:r>
                </w:p>
              </w:tc>
              <w:tc>
                <w:tcPr>
                  <w:tcW w:w="513" w:type="pct"/>
                  <w:vMerge w:val="continue"/>
                  <w:shd w:val="clear" w:color="auto" w:fill="auto"/>
                  <w:vAlign w:val="center"/>
                </w:tcPr>
                <w:p w14:paraId="49C8E7B0">
                  <w:pPr>
                    <w:adjustRightInd w:val="0"/>
                    <w:snapToGrid w:val="0"/>
                    <w:jc w:val="center"/>
                    <w:rPr>
                      <w:color w:val="auto"/>
                      <w:sz w:val="18"/>
                      <w:szCs w:val="18"/>
                    </w:rPr>
                  </w:pPr>
                </w:p>
              </w:tc>
              <w:tc>
                <w:tcPr>
                  <w:tcW w:w="531" w:type="pct"/>
                  <w:shd w:val="clear" w:color="auto" w:fill="auto"/>
                  <w:vAlign w:val="center"/>
                </w:tcPr>
                <w:p w14:paraId="14B19EF2">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40</w:t>
                  </w:r>
                </w:p>
              </w:tc>
              <w:tc>
                <w:tcPr>
                  <w:tcW w:w="477" w:type="pct"/>
                  <w:shd w:val="clear" w:color="auto" w:fill="auto"/>
                  <w:vAlign w:val="center"/>
                </w:tcPr>
                <w:p w14:paraId="00CB7C69">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eastAsia" w:cs="Times New Roman"/>
                      <w:i w:val="0"/>
                      <w:iCs w:val="0"/>
                      <w:color w:val="auto"/>
                      <w:kern w:val="0"/>
                      <w:sz w:val="18"/>
                      <w:szCs w:val="18"/>
                      <w:u w:val="none"/>
                      <w:lang w:val="en-US" w:eastAsia="zh-CN" w:bidi="ar"/>
                    </w:rPr>
                    <w:t>5.94</w:t>
                  </w:r>
                </w:p>
              </w:tc>
              <w:tc>
                <w:tcPr>
                  <w:tcW w:w="277" w:type="pct"/>
                  <w:vMerge w:val="continue"/>
                  <w:shd w:val="clear" w:color="auto" w:fill="auto"/>
                  <w:vAlign w:val="center"/>
                </w:tcPr>
                <w:p w14:paraId="6C8AADB8">
                  <w:pPr>
                    <w:adjustRightInd w:val="0"/>
                    <w:snapToGrid w:val="0"/>
                    <w:jc w:val="center"/>
                    <w:rPr>
                      <w:color w:val="auto"/>
                      <w:sz w:val="18"/>
                      <w:szCs w:val="18"/>
                    </w:rPr>
                  </w:pPr>
                </w:p>
              </w:tc>
              <w:tc>
                <w:tcPr>
                  <w:tcW w:w="477" w:type="pct"/>
                  <w:vMerge w:val="continue"/>
                  <w:shd w:val="clear" w:color="auto" w:fill="auto"/>
                  <w:vAlign w:val="center"/>
                </w:tcPr>
                <w:p w14:paraId="3F8D13E2">
                  <w:pPr>
                    <w:adjustRightInd w:val="0"/>
                    <w:snapToGrid w:val="0"/>
                    <w:jc w:val="center"/>
                    <w:rPr>
                      <w:color w:val="auto"/>
                      <w:sz w:val="18"/>
                      <w:szCs w:val="18"/>
                    </w:rPr>
                  </w:pPr>
                </w:p>
              </w:tc>
              <w:tc>
                <w:tcPr>
                  <w:tcW w:w="561" w:type="pct"/>
                  <w:shd w:val="clear" w:color="auto" w:fill="auto"/>
                  <w:vAlign w:val="center"/>
                </w:tcPr>
                <w:p w14:paraId="5BC066DC">
                  <w:pPr>
                    <w:jc w:val="center"/>
                    <w:rPr>
                      <w:rFonts w:eastAsia="等线"/>
                      <w:color w:val="auto"/>
                      <w:sz w:val="18"/>
                      <w:szCs w:val="18"/>
                    </w:rPr>
                  </w:pPr>
                  <w:r>
                    <w:rPr>
                      <w:rFonts w:hint="eastAsia"/>
                      <w:color w:val="auto"/>
                      <w:sz w:val="18"/>
                      <w:szCs w:val="18"/>
                      <w:lang w:val="en-US" w:eastAsia="zh-CN"/>
                    </w:rPr>
                    <w:t>40</w:t>
                  </w:r>
                </w:p>
              </w:tc>
              <w:tc>
                <w:tcPr>
                  <w:tcW w:w="570" w:type="pct"/>
                  <w:shd w:val="clear" w:color="auto" w:fill="auto"/>
                  <w:vAlign w:val="center"/>
                </w:tcPr>
                <w:p w14:paraId="0A226B03">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5.94</w:t>
                  </w:r>
                </w:p>
              </w:tc>
              <w:tc>
                <w:tcPr>
                  <w:tcW w:w="298" w:type="pct"/>
                  <w:vMerge w:val="continue"/>
                  <w:shd w:val="clear" w:color="auto" w:fill="auto"/>
                  <w:vAlign w:val="center"/>
                </w:tcPr>
                <w:p w14:paraId="22259DAD">
                  <w:pPr>
                    <w:adjustRightInd w:val="0"/>
                    <w:snapToGrid w:val="0"/>
                    <w:jc w:val="center"/>
                    <w:rPr>
                      <w:color w:val="auto"/>
                      <w:sz w:val="18"/>
                      <w:szCs w:val="18"/>
                    </w:rPr>
                  </w:pPr>
                </w:p>
              </w:tc>
            </w:tr>
          </w:tbl>
          <w:p w14:paraId="3B4410D7">
            <w:pPr>
              <w:spacing w:before="240" w:beforeLines="100"/>
              <w:ind w:firstLine="482" w:firstLineChars="200"/>
              <w:jc w:val="center"/>
              <w:rPr>
                <w:b/>
                <w:color w:val="auto"/>
                <w:sz w:val="24"/>
              </w:rPr>
            </w:pPr>
            <w:r>
              <w:rPr>
                <w:rFonts w:hint="eastAsia"/>
                <w:b/>
                <w:color w:val="auto"/>
                <w:sz w:val="24"/>
                <w:lang w:val="en-US" w:eastAsia="zh-CN"/>
              </w:rPr>
              <w:t>表4-13 扩建后全厂项目</w:t>
            </w:r>
            <w:r>
              <w:rPr>
                <w:b/>
                <w:color w:val="auto"/>
                <w:sz w:val="24"/>
              </w:rPr>
              <w:t>废水污染源源强核算结果及相关参数一览表</w:t>
            </w:r>
          </w:p>
          <w:tbl>
            <w:tblPr>
              <w:tblStyle w:val="32"/>
              <w:tblW w:w="484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75"/>
              <w:gridCol w:w="1358"/>
              <w:gridCol w:w="1146"/>
              <w:gridCol w:w="1231"/>
              <w:gridCol w:w="1125"/>
              <w:gridCol w:w="818"/>
              <w:gridCol w:w="1319"/>
            </w:tblGrid>
            <w:tr w14:paraId="4728F7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pct"/>
                  <w:vMerge w:val="restart"/>
                  <w:tcBorders>
                    <w:top w:val="single" w:color="auto" w:sz="12" w:space="0"/>
                    <w:bottom w:val="single" w:color="auto" w:sz="4" w:space="0"/>
                  </w:tcBorders>
                  <w:shd w:val="clear" w:color="auto" w:fill="auto"/>
                  <w:vAlign w:val="center"/>
                </w:tcPr>
                <w:p w14:paraId="71979F99">
                  <w:pPr>
                    <w:adjustRightInd w:val="0"/>
                    <w:snapToGrid w:val="0"/>
                    <w:jc w:val="center"/>
                    <w:rPr>
                      <w:b/>
                      <w:color w:val="auto"/>
                      <w:sz w:val="18"/>
                      <w:szCs w:val="18"/>
                    </w:rPr>
                  </w:pPr>
                  <w:r>
                    <w:rPr>
                      <w:b/>
                      <w:color w:val="auto"/>
                      <w:sz w:val="18"/>
                      <w:szCs w:val="18"/>
                    </w:rPr>
                    <w:t>工序</w:t>
                  </w:r>
                </w:p>
              </w:tc>
              <w:tc>
                <w:tcPr>
                  <w:tcW w:w="820" w:type="pct"/>
                  <w:vMerge w:val="restart"/>
                  <w:tcBorders>
                    <w:top w:val="single" w:color="auto" w:sz="12" w:space="0"/>
                    <w:bottom w:val="single" w:color="auto" w:sz="4" w:space="0"/>
                  </w:tcBorders>
                  <w:shd w:val="clear" w:color="auto" w:fill="auto"/>
                  <w:vAlign w:val="center"/>
                </w:tcPr>
                <w:p w14:paraId="239CA4A4">
                  <w:pPr>
                    <w:adjustRightInd w:val="0"/>
                    <w:snapToGrid w:val="0"/>
                    <w:jc w:val="center"/>
                    <w:rPr>
                      <w:b/>
                      <w:color w:val="auto"/>
                      <w:sz w:val="18"/>
                      <w:szCs w:val="18"/>
                    </w:rPr>
                  </w:pPr>
                  <w:r>
                    <w:rPr>
                      <w:b/>
                      <w:color w:val="auto"/>
                      <w:sz w:val="18"/>
                      <w:szCs w:val="18"/>
                    </w:rPr>
                    <w:t>污染物</w:t>
                  </w:r>
                </w:p>
              </w:tc>
              <w:tc>
                <w:tcPr>
                  <w:tcW w:w="1436" w:type="pct"/>
                  <w:gridSpan w:val="2"/>
                  <w:tcBorders>
                    <w:top w:val="single" w:color="auto" w:sz="12" w:space="0"/>
                    <w:bottom w:val="single" w:color="auto" w:sz="4" w:space="0"/>
                  </w:tcBorders>
                  <w:shd w:val="clear" w:color="auto" w:fill="auto"/>
                  <w:vAlign w:val="center"/>
                </w:tcPr>
                <w:p w14:paraId="2BFFB990">
                  <w:pPr>
                    <w:adjustRightInd w:val="0"/>
                    <w:snapToGrid w:val="0"/>
                    <w:jc w:val="center"/>
                    <w:rPr>
                      <w:b/>
                      <w:color w:val="auto"/>
                      <w:sz w:val="18"/>
                      <w:szCs w:val="18"/>
                    </w:rPr>
                  </w:pPr>
                  <w:r>
                    <w:rPr>
                      <w:b/>
                      <w:color w:val="auto"/>
                      <w:sz w:val="18"/>
                      <w:szCs w:val="18"/>
                    </w:rPr>
                    <w:t>进入污水处理厂污染物情况</w:t>
                  </w:r>
                </w:p>
              </w:tc>
              <w:tc>
                <w:tcPr>
                  <w:tcW w:w="1174" w:type="pct"/>
                  <w:gridSpan w:val="2"/>
                  <w:tcBorders>
                    <w:top w:val="single" w:color="auto" w:sz="12" w:space="0"/>
                    <w:bottom w:val="single" w:color="auto" w:sz="4" w:space="0"/>
                  </w:tcBorders>
                  <w:shd w:val="clear" w:color="auto" w:fill="auto"/>
                  <w:vAlign w:val="center"/>
                </w:tcPr>
                <w:p w14:paraId="35DCCA95">
                  <w:pPr>
                    <w:adjustRightInd w:val="0"/>
                    <w:snapToGrid w:val="0"/>
                    <w:jc w:val="center"/>
                    <w:rPr>
                      <w:b/>
                      <w:color w:val="auto"/>
                      <w:sz w:val="18"/>
                      <w:szCs w:val="18"/>
                    </w:rPr>
                  </w:pPr>
                  <w:r>
                    <w:rPr>
                      <w:b/>
                      <w:color w:val="auto"/>
                      <w:sz w:val="18"/>
                      <w:szCs w:val="18"/>
                    </w:rPr>
                    <w:t>污染物排放</w:t>
                  </w:r>
                </w:p>
              </w:tc>
              <w:tc>
                <w:tcPr>
                  <w:tcW w:w="797" w:type="pct"/>
                  <w:vMerge w:val="restart"/>
                  <w:tcBorders>
                    <w:top w:val="single" w:color="auto" w:sz="12" w:space="0"/>
                    <w:bottom w:val="single" w:color="auto" w:sz="4" w:space="0"/>
                  </w:tcBorders>
                  <w:shd w:val="clear" w:color="auto" w:fill="auto"/>
                  <w:vAlign w:val="center"/>
                </w:tcPr>
                <w:p w14:paraId="136DFC2E">
                  <w:pPr>
                    <w:adjustRightInd w:val="0"/>
                    <w:snapToGrid w:val="0"/>
                    <w:jc w:val="center"/>
                    <w:rPr>
                      <w:b/>
                      <w:bCs/>
                      <w:color w:val="auto"/>
                      <w:sz w:val="18"/>
                      <w:szCs w:val="18"/>
                    </w:rPr>
                  </w:pPr>
                  <w:r>
                    <w:rPr>
                      <w:b/>
                      <w:bCs/>
                      <w:color w:val="auto"/>
                      <w:sz w:val="18"/>
                      <w:szCs w:val="18"/>
                    </w:rPr>
                    <w:t>排放时间/h</w:t>
                  </w:r>
                </w:p>
              </w:tc>
            </w:tr>
            <w:tr w14:paraId="26D5D6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pct"/>
                  <w:vMerge w:val="continue"/>
                  <w:tcBorders>
                    <w:top w:val="single" w:color="auto" w:sz="4" w:space="0"/>
                    <w:bottom w:val="single" w:color="auto" w:sz="12" w:space="0"/>
                  </w:tcBorders>
                  <w:shd w:val="clear" w:color="auto" w:fill="auto"/>
                  <w:vAlign w:val="center"/>
                </w:tcPr>
                <w:p w14:paraId="5AB92079">
                  <w:pPr>
                    <w:adjustRightInd w:val="0"/>
                    <w:snapToGrid w:val="0"/>
                    <w:jc w:val="center"/>
                    <w:rPr>
                      <w:b/>
                      <w:color w:val="auto"/>
                      <w:sz w:val="18"/>
                      <w:szCs w:val="18"/>
                    </w:rPr>
                  </w:pPr>
                </w:p>
              </w:tc>
              <w:tc>
                <w:tcPr>
                  <w:tcW w:w="820" w:type="pct"/>
                  <w:vMerge w:val="continue"/>
                  <w:tcBorders>
                    <w:top w:val="single" w:color="auto" w:sz="4" w:space="0"/>
                    <w:bottom w:val="single" w:color="auto" w:sz="12" w:space="0"/>
                  </w:tcBorders>
                  <w:shd w:val="clear" w:color="auto" w:fill="auto"/>
                  <w:vAlign w:val="center"/>
                </w:tcPr>
                <w:p w14:paraId="2843CB98">
                  <w:pPr>
                    <w:adjustRightInd w:val="0"/>
                    <w:snapToGrid w:val="0"/>
                    <w:jc w:val="center"/>
                    <w:rPr>
                      <w:b/>
                      <w:color w:val="auto"/>
                      <w:sz w:val="18"/>
                      <w:szCs w:val="18"/>
                    </w:rPr>
                  </w:pPr>
                </w:p>
              </w:tc>
              <w:tc>
                <w:tcPr>
                  <w:tcW w:w="692" w:type="pct"/>
                  <w:tcBorders>
                    <w:top w:val="single" w:color="auto" w:sz="4" w:space="0"/>
                    <w:bottom w:val="single" w:color="auto" w:sz="12" w:space="0"/>
                  </w:tcBorders>
                  <w:shd w:val="clear" w:color="auto" w:fill="auto"/>
                  <w:vAlign w:val="center"/>
                </w:tcPr>
                <w:p w14:paraId="76663469">
                  <w:pPr>
                    <w:adjustRightInd w:val="0"/>
                    <w:snapToGrid w:val="0"/>
                    <w:jc w:val="center"/>
                    <w:rPr>
                      <w:b/>
                      <w:color w:val="auto"/>
                      <w:sz w:val="18"/>
                      <w:szCs w:val="18"/>
                    </w:rPr>
                  </w:pPr>
                  <w:r>
                    <w:rPr>
                      <w:b/>
                      <w:color w:val="auto"/>
                      <w:sz w:val="18"/>
                      <w:szCs w:val="18"/>
                    </w:rPr>
                    <w:t>产生废水量/（t/a）</w:t>
                  </w:r>
                </w:p>
              </w:tc>
              <w:tc>
                <w:tcPr>
                  <w:tcW w:w="744" w:type="pct"/>
                  <w:tcBorders>
                    <w:top w:val="single" w:color="auto" w:sz="4" w:space="0"/>
                    <w:bottom w:val="single" w:color="auto" w:sz="12" w:space="0"/>
                  </w:tcBorders>
                  <w:shd w:val="clear" w:color="auto" w:fill="auto"/>
                  <w:vAlign w:val="center"/>
                </w:tcPr>
                <w:p w14:paraId="0F31CBF1">
                  <w:pPr>
                    <w:adjustRightInd w:val="0"/>
                    <w:snapToGrid w:val="0"/>
                    <w:jc w:val="center"/>
                    <w:rPr>
                      <w:b/>
                      <w:color w:val="auto"/>
                      <w:sz w:val="18"/>
                      <w:szCs w:val="18"/>
                    </w:rPr>
                  </w:pPr>
                  <w:r>
                    <w:rPr>
                      <w:b/>
                      <w:color w:val="auto"/>
                      <w:sz w:val="18"/>
                      <w:szCs w:val="18"/>
                    </w:rPr>
                    <w:t>产生量/（t/a）</w:t>
                  </w:r>
                </w:p>
              </w:tc>
              <w:tc>
                <w:tcPr>
                  <w:tcW w:w="680" w:type="pct"/>
                  <w:tcBorders>
                    <w:top w:val="single" w:color="auto" w:sz="4" w:space="0"/>
                    <w:bottom w:val="single" w:color="auto" w:sz="12" w:space="0"/>
                  </w:tcBorders>
                  <w:shd w:val="clear" w:color="auto" w:fill="auto"/>
                  <w:vAlign w:val="center"/>
                </w:tcPr>
                <w:p w14:paraId="04C1A8CB">
                  <w:pPr>
                    <w:adjustRightInd w:val="0"/>
                    <w:snapToGrid w:val="0"/>
                    <w:jc w:val="center"/>
                    <w:rPr>
                      <w:b/>
                      <w:color w:val="auto"/>
                      <w:sz w:val="18"/>
                      <w:szCs w:val="18"/>
                    </w:rPr>
                  </w:pPr>
                  <w:r>
                    <w:rPr>
                      <w:b/>
                      <w:color w:val="auto"/>
                      <w:sz w:val="18"/>
                      <w:szCs w:val="18"/>
                    </w:rPr>
                    <w:t>排放废水量（t/a）</w:t>
                  </w:r>
                </w:p>
              </w:tc>
              <w:tc>
                <w:tcPr>
                  <w:tcW w:w="494" w:type="pct"/>
                  <w:tcBorders>
                    <w:top w:val="single" w:color="auto" w:sz="4" w:space="0"/>
                    <w:bottom w:val="single" w:color="auto" w:sz="12" w:space="0"/>
                  </w:tcBorders>
                  <w:shd w:val="clear" w:color="auto" w:fill="auto"/>
                  <w:vAlign w:val="center"/>
                </w:tcPr>
                <w:p w14:paraId="4CEAF6E7">
                  <w:pPr>
                    <w:adjustRightInd w:val="0"/>
                    <w:snapToGrid w:val="0"/>
                    <w:jc w:val="center"/>
                    <w:rPr>
                      <w:b/>
                      <w:color w:val="auto"/>
                      <w:sz w:val="18"/>
                      <w:szCs w:val="18"/>
                    </w:rPr>
                  </w:pPr>
                  <w:r>
                    <w:rPr>
                      <w:b/>
                      <w:color w:val="auto"/>
                      <w:sz w:val="18"/>
                      <w:szCs w:val="18"/>
                    </w:rPr>
                    <w:t>排放量（t/a）</w:t>
                  </w:r>
                </w:p>
              </w:tc>
              <w:tc>
                <w:tcPr>
                  <w:tcW w:w="797" w:type="pct"/>
                  <w:vMerge w:val="continue"/>
                  <w:tcBorders>
                    <w:bottom w:val="single" w:color="auto" w:sz="12" w:space="0"/>
                  </w:tcBorders>
                  <w:shd w:val="clear" w:color="auto" w:fill="auto"/>
                  <w:vAlign w:val="center"/>
                </w:tcPr>
                <w:p w14:paraId="2A88F6D2">
                  <w:pPr>
                    <w:adjustRightInd w:val="0"/>
                    <w:snapToGrid w:val="0"/>
                    <w:jc w:val="center"/>
                    <w:rPr>
                      <w:color w:val="auto"/>
                      <w:sz w:val="18"/>
                      <w:szCs w:val="18"/>
                    </w:rPr>
                  </w:pPr>
                </w:p>
              </w:tc>
            </w:tr>
            <w:tr w14:paraId="203B79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pct"/>
                  <w:vMerge w:val="restart"/>
                  <w:tcBorders>
                    <w:top w:val="single" w:color="auto" w:sz="12" w:space="0"/>
                  </w:tcBorders>
                  <w:shd w:val="clear" w:color="auto" w:fill="auto"/>
                  <w:vAlign w:val="center"/>
                </w:tcPr>
                <w:p w14:paraId="715E457B">
                  <w:pPr>
                    <w:adjustRightInd w:val="0"/>
                    <w:snapToGrid w:val="0"/>
                    <w:jc w:val="center"/>
                    <w:rPr>
                      <w:color w:val="auto"/>
                      <w:sz w:val="18"/>
                      <w:szCs w:val="18"/>
                    </w:rPr>
                  </w:pPr>
                  <w:r>
                    <w:rPr>
                      <w:color w:val="auto"/>
                      <w:sz w:val="18"/>
                      <w:szCs w:val="18"/>
                    </w:rPr>
                    <w:t>综合废水（生产废水+生活污水）</w:t>
                  </w:r>
                </w:p>
              </w:tc>
              <w:tc>
                <w:tcPr>
                  <w:tcW w:w="820" w:type="pct"/>
                  <w:tcBorders>
                    <w:top w:val="single" w:color="auto" w:sz="12" w:space="0"/>
                  </w:tcBorders>
                  <w:shd w:val="clear" w:color="auto" w:fill="auto"/>
                  <w:vAlign w:val="center"/>
                </w:tcPr>
                <w:p w14:paraId="323F0715">
                  <w:pPr>
                    <w:adjustRightInd w:val="0"/>
                    <w:snapToGrid w:val="0"/>
                    <w:jc w:val="center"/>
                    <w:rPr>
                      <w:color w:val="auto"/>
                      <w:sz w:val="18"/>
                      <w:szCs w:val="18"/>
                    </w:rPr>
                  </w:pPr>
                  <w:r>
                    <w:rPr>
                      <w:color w:val="auto"/>
                      <w:sz w:val="18"/>
                      <w:szCs w:val="18"/>
                    </w:rPr>
                    <w:t>COD</w:t>
                  </w:r>
                </w:p>
              </w:tc>
              <w:tc>
                <w:tcPr>
                  <w:tcW w:w="692" w:type="pct"/>
                  <w:vMerge w:val="restart"/>
                  <w:tcBorders>
                    <w:top w:val="single" w:color="auto" w:sz="12" w:space="0"/>
                  </w:tcBorders>
                  <w:shd w:val="clear" w:color="auto" w:fill="auto"/>
                  <w:vAlign w:val="center"/>
                </w:tcPr>
                <w:p w14:paraId="671607A7">
                  <w:pPr>
                    <w:adjustRightInd w:val="0"/>
                    <w:snapToGrid w:val="0"/>
                    <w:jc w:val="center"/>
                    <w:rPr>
                      <w:rFonts w:hint="default"/>
                      <w:color w:val="auto"/>
                      <w:sz w:val="18"/>
                      <w:szCs w:val="18"/>
                      <w:lang w:val="en-US" w:eastAsia="zh-CN"/>
                    </w:rPr>
                  </w:pPr>
                  <w:r>
                    <w:rPr>
                      <w:rFonts w:hint="default" w:ascii="Times New Roman" w:hAnsi="Times New Roman" w:eastAsia="宋体" w:cs="Times New Roman"/>
                      <w:i w:val="0"/>
                      <w:iCs w:val="0"/>
                      <w:color w:val="auto"/>
                      <w:kern w:val="0"/>
                      <w:sz w:val="21"/>
                      <w:szCs w:val="21"/>
                      <w:u w:val="none"/>
                      <w:lang w:val="en-US" w:eastAsia="zh-CN" w:bidi="ar"/>
                    </w:rPr>
                    <w:t>294355</w:t>
                  </w:r>
                </w:p>
              </w:tc>
              <w:tc>
                <w:tcPr>
                  <w:tcW w:w="1231" w:type="dxa"/>
                  <w:tcBorders>
                    <w:top w:val="single" w:color="auto" w:sz="12" w:space="0"/>
                  </w:tcBorders>
                  <w:shd w:val="clear" w:color="auto" w:fill="auto"/>
                  <w:vAlign w:val="center"/>
                </w:tcPr>
                <w:p w14:paraId="2FCA4B5B">
                  <w:pPr>
                    <w:keepNext w:val="0"/>
                    <w:keepLines w:val="0"/>
                    <w:widowControl/>
                    <w:suppressLineNumbers w:val="0"/>
                    <w:jc w:val="center"/>
                    <w:textAlignment w:val="center"/>
                    <w:rPr>
                      <w:rFonts w:hint="eastAsia"/>
                      <w:color w:val="auto"/>
                      <w:sz w:val="18"/>
                      <w:szCs w:val="18"/>
                      <w:lang w:val="en-US" w:eastAsia="zh-CN"/>
                    </w:rPr>
                  </w:pPr>
                  <w:r>
                    <w:rPr>
                      <w:rFonts w:hint="default" w:ascii="Times New Roman" w:hAnsi="Times New Roman" w:eastAsia="宋体" w:cs="Times New Roman"/>
                      <w:i w:val="0"/>
                      <w:iCs w:val="0"/>
                      <w:color w:val="auto"/>
                      <w:kern w:val="0"/>
                      <w:sz w:val="21"/>
                      <w:szCs w:val="21"/>
                      <w:u w:val="none"/>
                      <w:lang w:val="en-US" w:eastAsia="zh-CN" w:bidi="ar"/>
                    </w:rPr>
                    <w:t>40.05</w:t>
                  </w:r>
                </w:p>
              </w:tc>
              <w:tc>
                <w:tcPr>
                  <w:tcW w:w="680" w:type="pct"/>
                  <w:vMerge w:val="restart"/>
                  <w:tcBorders>
                    <w:top w:val="single" w:color="auto" w:sz="12" w:space="0"/>
                  </w:tcBorders>
                  <w:shd w:val="clear" w:color="auto" w:fill="auto"/>
                  <w:vAlign w:val="center"/>
                </w:tcPr>
                <w:p w14:paraId="6A34FF4C">
                  <w:pPr>
                    <w:adjustRightInd w:val="0"/>
                    <w:snapToGrid w:val="0"/>
                    <w:jc w:val="center"/>
                    <w:rPr>
                      <w:rFonts w:hint="default"/>
                      <w:color w:val="auto"/>
                      <w:sz w:val="18"/>
                      <w:szCs w:val="18"/>
                      <w:lang w:val="en-US" w:eastAsia="zh-CN"/>
                    </w:rPr>
                  </w:pPr>
                  <w:r>
                    <w:rPr>
                      <w:rFonts w:hint="default" w:ascii="Times New Roman" w:hAnsi="Times New Roman" w:eastAsia="宋体" w:cs="Times New Roman"/>
                      <w:i w:val="0"/>
                      <w:iCs w:val="0"/>
                      <w:color w:val="auto"/>
                      <w:kern w:val="0"/>
                      <w:sz w:val="21"/>
                      <w:szCs w:val="21"/>
                      <w:u w:val="none"/>
                      <w:lang w:val="en-US" w:eastAsia="zh-CN" w:bidi="ar"/>
                    </w:rPr>
                    <w:t>294355</w:t>
                  </w:r>
                </w:p>
              </w:tc>
              <w:tc>
                <w:tcPr>
                  <w:tcW w:w="818" w:type="dxa"/>
                  <w:tcBorders>
                    <w:top w:val="single" w:color="auto" w:sz="12" w:space="0"/>
                  </w:tcBorders>
                  <w:shd w:val="clear" w:color="auto" w:fill="auto"/>
                  <w:vAlign w:val="center"/>
                </w:tcPr>
                <w:p w14:paraId="57850B35">
                  <w:pPr>
                    <w:keepNext w:val="0"/>
                    <w:keepLines w:val="0"/>
                    <w:widowControl/>
                    <w:suppressLineNumbers w:val="0"/>
                    <w:jc w:val="center"/>
                    <w:textAlignment w:val="center"/>
                    <w:rPr>
                      <w:rFonts w:hint="eastAsia"/>
                      <w:color w:val="auto"/>
                      <w:sz w:val="18"/>
                      <w:szCs w:val="18"/>
                      <w:lang w:val="en-US" w:eastAsia="zh-CN"/>
                    </w:rPr>
                  </w:pPr>
                  <w:r>
                    <w:rPr>
                      <w:rFonts w:hint="default" w:ascii="Times New Roman" w:hAnsi="Times New Roman" w:eastAsia="宋体" w:cs="Times New Roman"/>
                      <w:i w:val="0"/>
                      <w:iCs w:val="0"/>
                      <w:color w:val="auto"/>
                      <w:kern w:val="0"/>
                      <w:sz w:val="21"/>
                      <w:szCs w:val="21"/>
                      <w:u w:val="none"/>
                      <w:lang w:val="en-US" w:eastAsia="zh-CN" w:bidi="ar"/>
                    </w:rPr>
                    <w:t>14.72</w:t>
                  </w:r>
                </w:p>
              </w:tc>
              <w:tc>
                <w:tcPr>
                  <w:tcW w:w="797" w:type="pct"/>
                  <w:vMerge w:val="restart"/>
                  <w:tcBorders>
                    <w:top w:val="single" w:color="auto" w:sz="12" w:space="0"/>
                  </w:tcBorders>
                  <w:shd w:val="clear" w:color="auto" w:fill="auto"/>
                  <w:vAlign w:val="center"/>
                </w:tcPr>
                <w:p w14:paraId="18E1049A">
                  <w:pPr>
                    <w:adjustRightInd w:val="0"/>
                    <w:snapToGrid w:val="0"/>
                    <w:jc w:val="center"/>
                    <w:rPr>
                      <w:color w:val="auto"/>
                      <w:sz w:val="18"/>
                      <w:szCs w:val="18"/>
                    </w:rPr>
                  </w:pPr>
                  <w:r>
                    <w:rPr>
                      <w:color w:val="auto"/>
                      <w:sz w:val="18"/>
                      <w:szCs w:val="18"/>
                    </w:rPr>
                    <w:t>间歇排放</w:t>
                  </w:r>
                </w:p>
              </w:tc>
            </w:tr>
            <w:tr w14:paraId="279F34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770" w:type="pct"/>
                  <w:vMerge w:val="continue"/>
                  <w:shd w:val="clear" w:color="auto" w:fill="auto"/>
                  <w:vAlign w:val="center"/>
                </w:tcPr>
                <w:p w14:paraId="1C9B0386">
                  <w:pPr>
                    <w:adjustRightInd w:val="0"/>
                    <w:snapToGrid w:val="0"/>
                    <w:jc w:val="center"/>
                    <w:rPr>
                      <w:color w:val="auto"/>
                      <w:sz w:val="18"/>
                      <w:szCs w:val="18"/>
                    </w:rPr>
                  </w:pPr>
                </w:p>
              </w:tc>
              <w:tc>
                <w:tcPr>
                  <w:tcW w:w="820" w:type="pct"/>
                  <w:shd w:val="clear" w:color="auto" w:fill="auto"/>
                  <w:vAlign w:val="center"/>
                </w:tcPr>
                <w:p w14:paraId="38E7EBE4">
                  <w:pPr>
                    <w:adjustRightInd w:val="0"/>
                    <w:snapToGrid w:val="0"/>
                    <w:jc w:val="center"/>
                    <w:rPr>
                      <w:color w:val="auto"/>
                      <w:sz w:val="18"/>
                      <w:szCs w:val="18"/>
                    </w:rPr>
                  </w:pPr>
                  <w:r>
                    <w:rPr>
                      <w:rFonts w:hint="eastAsia"/>
                      <w:color w:val="auto"/>
                      <w:sz w:val="18"/>
                      <w:szCs w:val="18"/>
                    </w:rPr>
                    <w:t>B</w:t>
                  </w:r>
                  <w:r>
                    <w:rPr>
                      <w:color w:val="auto"/>
                      <w:sz w:val="18"/>
                      <w:szCs w:val="18"/>
                    </w:rPr>
                    <w:t>OD</w:t>
                  </w:r>
                  <w:r>
                    <w:rPr>
                      <w:color w:val="auto"/>
                      <w:sz w:val="18"/>
                      <w:szCs w:val="18"/>
                      <w:vertAlign w:val="subscript"/>
                    </w:rPr>
                    <w:t>5</w:t>
                  </w:r>
                </w:p>
              </w:tc>
              <w:tc>
                <w:tcPr>
                  <w:tcW w:w="692" w:type="pct"/>
                  <w:vMerge w:val="continue"/>
                  <w:shd w:val="clear" w:color="auto" w:fill="auto"/>
                  <w:vAlign w:val="center"/>
                </w:tcPr>
                <w:p w14:paraId="627B6BBE">
                  <w:pPr>
                    <w:adjustRightInd w:val="0"/>
                    <w:snapToGrid w:val="0"/>
                    <w:jc w:val="center"/>
                    <w:rPr>
                      <w:color w:val="auto"/>
                      <w:sz w:val="18"/>
                      <w:szCs w:val="18"/>
                    </w:rPr>
                  </w:pPr>
                </w:p>
              </w:tc>
              <w:tc>
                <w:tcPr>
                  <w:tcW w:w="1231" w:type="dxa"/>
                  <w:shd w:val="clear" w:color="auto" w:fill="auto"/>
                  <w:vAlign w:val="center"/>
                </w:tcPr>
                <w:p w14:paraId="2CF25ACB">
                  <w:pPr>
                    <w:keepNext w:val="0"/>
                    <w:keepLines w:val="0"/>
                    <w:widowControl/>
                    <w:suppressLineNumbers w:val="0"/>
                    <w:jc w:val="center"/>
                    <w:textAlignment w:val="center"/>
                    <w:rPr>
                      <w:rFonts w:hint="eastAsia"/>
                      <w:color w:val="auto"/>
                      <w:sz w:val="18"/>
                      <w:szCs w:val="18"/>
                      <w:lang w:val="en-US" w:eastAsia="zh-CN"/>
                    </w:rPr>
                  </w:pPr>
                  <w:r>
                    <w:rPr>
                      <w:rFonts w:hint="default" w:ascii="Times New Roman" w:hAnsi="Times New Roman" w:eastAsia="宋体" w:cs="Times New Roman"/>
                      <w:i w:val="0"/>
                      <w:iCs w:val="0"/>
                      <w:color w:val="auto"/>
                      <w:kern w:val="0"/>
                      <w:sz w:val="21"/>
                      <w:szCs w:val="21"/>
                      <w:u w:val="none"/>
                      <w:lang w:val="en-US" w:eastAsia="zh-CN" w:bidi="ar"/>
                    </w:rPr>
                    <w:t>25.46</w:t>
                  </w:r>
                </w:p>
              </w:tc>
              <w:tc>
                <w:tcPr>
                  <w:tcW w:w="680" w:type="pct"/>
                  <w:vMerge w:val="continue"/>
                  <w:shd w:val="clear" w:color="auto" w:fill="auto"/>
                  <w:vAlign w:val="center"/>
                </w:tcPr>
                <w:p w14:paraId="4434C55C">
                  <w:pPr>
                    <w:adjustRightInd w:val="0"/>
                    <w:snapToGrid w:val="0"/>
                    <w:jc w:val="center"/>
                    <w:rPr>
                      <w:rFonts w:hint="eastAsia"/>
                      <w:color w:val="auto"/>
                      <w:sz w:val="18"/>
                      <w:szCs w:val="18"/>
                      <w:lang w:val="en-US" w:eastAsia="zh-CN"/>
                    </w:rPr>
                  </w:pPr>
                </w:p>
              </w:tc>
              <w:tc>
                <w:tcPr>
                  <w:tcW w:w="818" w:type="dxa"/>
                  <w:shd w:val="clear" w:color="auto" w:fill="auto"/>
                  <w:vAlign w:val="center"/>
                </w:tcPr>
                <w:p w14:paraId="6E6F129C">
                  <w:pPr>
                    <w:keepNext w:val="0"/>
                    <w:keepLines w:val="0"/>
                    <w:widowControl/>
                    <w:suppressLineNumbers w:val="0"/>
                    <w:jc w:val="center"/>
                    <w:textAlignment w:val="center"/>
                    <w:rPr>
                      <w:rFonts w:hint="eastAsia"/>
                      <w:color w:val="auto"/>
                      <w:sz w:val="18"/>
                      <w:szCs w:val="18"/>
                      <w:lang w:val="en-US" w:eastAsia="zh-CN"/>
                    </w:rPr>
                  </w:pPr>
                  <w:r>
                    <w:rPr>
                      <w:rFonts w:hint="default" w:ascii="Times New Roman" w:hAnsi="Times New Roman" w:eastAsia="宋体" w:cs="Times New Roman"/>
                      <w:i w:val="0"/>
                      <w:iCs w:val="0"/>
                      <w:color w:val="auto"/>
                      <w:kern w:val="0"/>
                      <w:sz w:val="21"/>
                      <w:szCs w:val="21"/>
                      <w:u w:val="none"/>
                      <w:lang w:val="en-US" w:eastAsia="zh-CN" w:bidi="ar"/>
                    </w:rPr>
                    <w:t>2.95</w:t>
                  </w:r>
                </w:p>
              </w:tc>
              <w:tc>
                <w:tcPr>
                  <w:tcW w:w="797" w:type="pct"/>
                  <w:vMerge w:val="continue"/>
                  <w:shd w:val="clear" w:color="auto" w:fill="auto"/>
                  <w:vAlign w:val="center"/>
                </w:tcPr>
                <w:p w14:paraId="6274EF79">
                  <w:pPr>
                    <w:adjustRightInd w:val="0"/>
                    <w:snapToGrid w:val="0"/>
                    <w:jc w:val="center"/>
                    <w:rPr>
                      <w:color w:val="auto"/>
                      <w:sz w:val="18"/>
                      <w:szCs w:val="18"/>
                    </w:rPr>
                  </w:pPr>
                </w:p>
              </w:tc>
            </w:tr>
            <w:tr w14:paraId="0B81C9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770" w:type="pct"/>
                  <w:vMerge w:val="continue"/>
                  <w:shd w:val="clear" w:color="auto" w:fill="auto"/>
                  <w:vAlign w:val="center"/>
                </w:tcPr>
                <w:p w14:paraId="3D1C60B7">
                  <w:pPr>
                    <w:adjustRightInd w:val="0"/>
                    <w:snapToGrid w:val="0"/>
                    <w:jc w:val="center"/>
                    <w:rPr>
                      <w:color w:val="auto"/>
                      <w:sz w:val="18"/>
                      <w:szCs w:val="18"/>
                    </w:rPr>
                  </w:pPr>
                </w:p>
              </w:tc>
              <w:tc>
                <w:tcPr>
                  <w:tcW w:w="820" w:type="pct"/>
                  <w:shd w:val="clear" w:color="auto" w:fill="auto"/>
                  <w:vAlign w:val="center"/>
                </w:tcPr>
                <w:p w14:paraId="6DDC02F8">
                  <w:pPr>
                    <w:adjustRightInd w:val="0"/>
                    <w:snapToGrid w:val="0"/>
                    <w:jc w:val="center"/>
                    <w:rPr>
                      <w:color w:val="auto"/>
                      <w:sz w:val="18"/>
                      <w:szCs w:val="18"/>
                    </w:rPr>
                  </w:pPr>
                  <w:r>
                    <w:rPr>
                      <w:color w:val="auto"/>
                      <w:sz w:val="18"/>
                      <w:szCs w:val="18"/>
                    </w:rPr>
                    <w:t>SS</w:t>
                  </w:r>
                </w:p>
              </w:tc>
              <w:tc>
                <w:tcPr>
                  <w:tcW w:w="692" w:type="pct"/>
                  <w:vMerge w:val="continue"/>
                  <w:shd w:val="clear" w:color="auto" w:fill="auto"/>
                  <w:vAlign w:val="center"/>
                </w:tcPr>
                <w:p w14:paraId="07212073">
                  <w:pPr>
                    <w:adjustRightInd w:val="0"/>
                    <w:snapToGrid w:val="0"/>
                    <w:jc w:val="center"/>
                    <w:rPr>
                      <w:color w:val="auto"/>
                      <w:sz w:val="18"/>
                      <w:szCs w:val="18"/>
                    </w:rPr>
                  </w:pPr>
                </w:p>
              </w:tc>
              <w:tc>
                <w:tcPr>
                  <w:tcW w:w="1231" w:type="dxa"/>
                  <w:shd w:val="clear" w:color="auto" w:fill="auto"/>
                  <w:vAlign w:val="center"/>
                </w:tcPr>
                <w:p w14:paraId="316EDD20">
                  <w:pPr>
                    <w:keepNext w:val="0"/>
                    <w:keepLines w:val="0"/>
                    <w:widowControl/>
                    <w:suppressLineNumbers w:val="0"/>
                    <w:jc w:val="center"/>
                    <w:textAlignment w:val="center"/>
                    <w:rPr>
                      <w:rFonts w:hint="eastAsia"/>
                      <w:color w:val="auto"/>
                      <w:sz w:val="18"/>
                      <w:szCs w:val="18"/>
                      <w:lang w:val="en-US" w:eastAsia="zh-CN"/>
                    </w:rPr>
                  </w:pPr>
                  <w:r>
                    <w:rPr>
                      <w:rFonts w:hint="default" w:ascii="Times New Roman" w:hAnsi="Times New Roman" w:eastAsia="宋体" w:cs="Times New Roman"/>
                      <w:i w:val="0"/>
                      <w:iCs w:val="0"/>
                      <w:color w:val="auto"/>
                      <w:kern w:val="0"/>
                      <w:sz w:val="21"/>
                      <w:szCs w:val="21"/>
                      <w:u w:val="none"/>
                      <w:lang w:val="en-US" w:eastAsia="zh-CN" w:bidi="ar"/>
                    </w:rPr>
                    <w:t>11.88</w:t>
                  </w:r>
                </w:p>
              </w:tc>
              <w:tc>
                <w:tcPr>
                  <w:tcW w:w="680" w:type="pct"/>
                  <w:vMerge w:val="continue"/>
                  <w:shd w:val="clear" w:color="auto" w:fill="auto"/>
                  <w:vAlign w:val="center"/>
                </w:tcPr>
                <w:p w14:paraId="09722A0C">
                  <w:pPr>
                    <w:adjustRightInd w:val="0"/>
                    <w:snapToGrid w:val="0"/>
                    <w:jc w:val="center"/>
                    <w:rPr>
                      <w:rFonts w:hint="eastAsia"/>
                      <w:color w:val="auto"/>
                      <w:sz w:val="18"/>
                      <w:szCs w:val="18"/>
                      <w:lang w:val="en-US" w:eastAsia="zh-CN"/>
                    </w:rPr>
                  </w:pPr>
                </w:p>
              </w:tc>
              <w:tc>
                <w:tcPr>
                  <w:tcW w:w="818" w:type="dxa"/>
                  <w:shd w:val="clear" w:color="auto" w:fill="auto"/>
                  <w:vAlign w:val="center"/>
                </w:tcPr>
                <w:p w14:paraId="0F25BDF7">
                  <w:pPr>
                    <w:keepNext w:val="0"/>
                    <w:keepLines w:val="0"/>
                    <w:widowControl/>
                    <w:suppressLineNumbers w:val="0"/>
                    <w:jc w:val="center"/>
                    <w:textAlignment w:val="center"/>
                    <w:rPr>
                      <w:rFonts w:hint="eastAsia"/>
                      <w:color w:val="auto"/>
                      <w:sz w:val="18"/>
                      <w:szCs w:val="18"/>
                      <w:lang w:val="en-US" w:eastAsia="zh-CN"/>
                    </w:rPr>
                  </w:pPr>
                  <w:r>
                    <w:rPr>
                      <w:rFonts w:hint="default" w:ascii="Times New Roman" w:hAnsi="Times New Roman" w:eastAsia="宋体" w:cs="Times New Roman"/>
                      <w:i w:val="0"/>
                      <w:iCs w:val="0"/>
                      <w:color w:val="auto"/>
                      <w:kern w:val="0"/>
                      <w:sz w:val="21"/>
                      <w:szCs w:val="21"/>
                      <w:u w:val="none"/>
                      <w:lang w:val="en-US" w:eastAsia="zh-CN" w:bidi="ar"/>
                    </w:rPr>
                    <w:t>2.95</w:t>
                  </w:r>
                </w:p>
              </w:tc>
              <w:tc>
                <w:tcPr>
                  <w:tcW w:w="797" w:type="pct"/>
                  <w:vMerge w:val="continue"/>
                  <w:shd w:val="clear" w:color="auto" w:fill="auto"/>
                  <w:vAlign w:val="center"/>
                </w:tcPr>
                <w:p w14:paraId="198982AB">
                  <w:pPr>
                    <w:adjustRightInd w:val="0"/>
                    <w:snapToGrid w:val="0"/>
                    <w:jc w:val="center"/>
                    <w:rPr>
                      <w:color w:val="auto"/>
                      <w:sz w:val="18"/>
                      <w:szCs w:val="18"/>
                    </w:rPr>
                  </w:pPr>
                </w:p>
              </w:tc>
            </w:tr>
            <w:tr w14:paraId="42EB5C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pct"/>
                  <w:vMerge w:val="continue"/>
                  <w:shd w:val="clear" w:color="auto" w:fill="auto"/>
                  <w:vAlign w:val="center"/>
                </w:tcPr>
                <w:p w14:paraId="70079B15">
                  <w:pPr>
                    <w:adjustRightInd w:val="0"/>
                    <w:snapToGrid w:val="0"/>
                    <w:jc w:val="center"/>
                    <w:rPr>
                      <w:color w:val="auto"/>
                      <w:sz w:val="18"/>
                      <w:szCs w:val="18"/>
                    </w:rPr>
                  </w:pPr>
                </w:p>
              </w:tc>
              <w:tc>
                <w:tcPr>
                  <w:tcW w:w="820" w:type="pct"/>
                  <w:shd w:val="clear" w:color="auto" w:fill="auto"/>
                  <w:vAlign w:val="center"/>
                </w:tcPr>
                <w:p w14:paraId="7D93F4EE">
                  <w:pPr>
                    <w:adjustRightInd w:val="0"/>
                    <w:snapToGrid w:val="0"/>
                    <w:jc w:val="center"/>
                    <w:rPr>
                      <w:color w:val="auto"/>
                      <w:sz w:val="18"/>
                      <w:szCs w:val="18"/>
                    </w:rPr>
                  </w:pPr>
                  <w:r>
                    <w:rPr>
                      <w:color w:val="auto"/>
                      <w:sz w:val="18"/>
                      <w:szCs w:val="18"/>
                    </w:rPr>
                    <w:t>氨氮</w:t>
                  </w:r>
                </w:p>
              </w:tc>
              <w:tc>
                <w:tcPr>
                  <w:tcW w:w="692" w:type="pct"/>
                  <w:vMerge w:val="continue"/>
                  <w:shd w:val="clear" w:color="auto" w:fill="auto"/>
                  <w:vAlign w:val="center"/>
                </w:tcPr>
                <w:p w14:paraId="684A6C50">
                  <w:pPr>
                    <w:adjustRightInd w:val="0"/>
                    <w:snapToGrid w:val="0"/>
                    <w:jc w:val="center"/>
                    <w:rPr>
                      <w:color w:val="auto"/>
                      <w:sz w:val="18"/>
                      <w:szCs w:val="18"/>
                    </w:rPr>
                  </w:pPr>
                </w:p>
              </w:tc>
              <w:tc>
                <w:tcPr>
                  <w:tcW w:w="1231" w:type="dxa"/>
                  <w:shd w:val="clear" w:color="auto" w:fill="auto"/>
                  <w:vAlign w:val="center"/>
                </w:tcPr>
                <w:p w14:paraId="05A765F6">
                  <w:pPr>
                    <w:keepNext w:val="0"/>
                    <w:keepLines w:val="0"/>
                    <w:widowControl/>
                    <w:suppressLineNumbers w:val="0"/>
                    <w:jc w:val="center"/>
                    <w:textAlignment w:val="center"/>
                    <w:rPr>
                      <w:rFonts w:hint="eastAsia"/>
                      <w:color w:val="auto"/>
                      <w:sz w:val="18"/>
                      <w:szCs w:val="18"/>
                      <w:lang w:val="en-US" w:eastAsia="zh-CN"/>
                    </w:rPr>
                  </w:pPr>
                  <w:r>
                    <w:rPr>
                      <w:rFonts w:hint="default" w:ascii="Times New Roman" w:hAnsi="Times New Roman" w:eastAsia="宋体" w:cs="Times New Roman"/>
                      <w:i w:val="0"/>
                      <w:iCs w:val="0"/>
                      <w:color w:val="auto"/>
                      <w:kern w:val="0"/>
                      <w:sz w:val="21"/>
                      <w:szCs w:val="21"/>
                      <w:u w:val="none"/>
                      <w:lang w:val="en-US" w:eastAsia="zh-CN" w:bidi="ar"/>
                    </w:rPr>
                    <w:t>0.83</w:t>
                  </w:r>
                </w:p>
              </w:tc>
              <w:tc>
                <w:tcPr>
                  <w:tcW w:w="680" w:type="pct"/>
                  <w:vMerge w:val="continue"/>
                  <w:shd w:val="clear" w:color="auto" w:fill="auto"/>
                  <w:vAlign w:val="center"/>
                </w:tcPr>
                <w:p w14:paraId="79C633FF">
                  <w:pPr>
                    <w:adjustRightInd w:val="0"/>
                    <w:snapToGrid w:val="0"/>
                    <w:jc w:val="center"/>
                    <w:rPr>
                      <w:rFonts w:hint="eastAsia"/>
                      <w:color w:val="auto"/>
                      <w:sz w:val="18"/>
                      <w:szCs w:val="18"/>
                      <w:lang w:val="en-US" w:eastAsia="zh-CN"/>
                    </w:rPr>
                  </w:pPr>
                </w:p>
              </w:tc>
              <w:tc>
                <w:tcPr>
                  <w:tcW w:w="818" w:type="dxa"/>
                  <w:shd w:val="clear" w:color="auto" w:fill="auto"/>
                  <w:vAlign w:val="center"/>
                </w:tcPr>
                <w:p w14:paraId="25FD3DFD">
                  <w:pPr>
                    <w:keepNext w:val="0"/>
                    <w:keepLines w:val="0"/>
                    <w:widowControl/>
                    <w:suppressLineNumbers w:val="0"/>
                    <w:jc w:val="center"/>
                    <w:textAlignment w:val="center"/>
                    <w:rPr>
                      <w:rFonts w:hint="eastAsia"/>
                      <w:color w:val="auto"/>
                      <w:sz w:val="18"/>
                      <w:szCs w:val="18"/>
                      <w:lang w:val="en-US" w:eastAsia="zh-CN"/>
                    </w:rPr>
                  </w:pPr>
                  <w:r>
                    <w:rPr>
                      <w:rFonts w:hint="default" w:ascii="Times New Roman" w:hAnsi="Times New Roman" w:eastAsia="宋体" w:cs="Times New Roman"/>
                      <w:i w:val="0"/>
                      <w:iCs w:val="0"/>
                      <w:color w:val="auto"/>
                      <w:kern w:val="0"/>
                      <w:sz w:val="21"/>
                      <w:szCs w:val="21"/>
                      <w:u w:val="none"/>
                      <w:lang w:val="en-US" w:eastAsia="zh-CN" w:bidi="ar"/>
                    </w:rPr>
                    <w:t>0.58</w:t>
                  </w:r>
                </w:p>
              </w:tc>
              <w:tc>
                <w:tcPr>
                  <w:tcW w:w="797" w:type="pct"/>
                  <w:vMerge w:val="continue"/>
                  <w:shd w:val="clear" w:color="auto" w:fill="auto"/>
                  <w:vAlign w:val="center"/>
                </w:tcPr>
                <w:p w14:paraId="7C11F878">
                  <w:pPr>
                    <w:adjustRightInd w:val="0"/>
                    <w:snapToGrid w:val="0"/>
                    <w:jc w:val="center"/>
                    <w:rPr>
                      <w:color w:val="auto"/>
                      <w:sz w:val="18"/>
                      <w:szCs w:val="18"/>
                    </w:rPr>
                  </w:pPr>
                </w:p>
              </w:tc>
            </w:tr>
            <w:tr w14:paraId="2ECA3B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pct"/>
                  <w:vMerge w:val="continue"/>
                  <w:shd w:val="clear" w:color="auto" w:fill="auto"/>
                  <w:vAlign w:val="center"/>
                </w:tcPr>
                <w:p w14:paraId="7F969B09">
                  <w:pPr>
                    <w:adjustRightInd w:val="0"/>
                    <w:snapToGrid w:val="0"/>
                    <w:jc w:val="center"/>
                    <w:rPr>
                      <w:color w:val="auto"/>
                      <w:sz w:val="18"/>
                      <w:szCs w:val="18"/>
                    </w:rPr>
                  </w:pPr>
                </w:p>
              </w:tc>
              <w:tc>
                <w:tcPr>
                  <w:tcW w:w="820" w:type="pct"/>
                  <w:shd w:val="clear" w:color="auto" w:fill="auto"/>
                  <w:vAlign w:val="center"/>
                </w:tcPr>
                <w:p w14:paraId="07C01CA7">
                  <w:pPr>
                    <w:adjustRightInd w:val="0"/>
                    <w:snapToGrid w:val="0"/>
                    <w:jc w:val="center"/>
                    <w:rPr>
                      <w:color w:val="auto"/>
                      <w:sz w:val="18"/>
                      <w:szCs w:val="18"/>
                    </w:rPr>
                  </w:pPr>
                  <w:r>
                    <w:rPr>
                      <w:color w:val="auto"/>
                      <w:sz w:val="18"/>
                      <w:szCs w:val="18"/>
                    </w:rPr>
                    <w:t>总氮</w:t>
                  </w:r>
                </w:p>
              </w:tc>
              <w:tc>
                <w:tcPr>
                  <w:tcW w:w="692" w:type="pct"/>
                  <w:vMerge w:val="continue"/>
                  <w:shd w:val="clear" w:color="auto" w:fill="auto"/>
                  <w:vAlign w:val="center"/>
                </w:tcPr>
                <w:p w14:paraId="6F1784EE">
                  <w:pPr>
                    <w:adjustRightInd w:val="0"/>
                    <w:snapToGrid w:val="0"/>
                    <w:jc w:val="center"/>
                    <w:rPr>
                      <w:color w:val="auto"/>
                      <w:sz w:val="18"/>
                      <w:szCs w:val="18"/>
                    </w:rPr>
                  </w:pPr>
                </w:p>
              </w:tc>
              <w:tc>
                <w:tcPr>
                  <w:tcW w:w="1231" w:type="dxa"/>
                  <w:shd w:val="clear" w:color="auto" w:fill="auto"/>
                  <w:vAlign w:val="center"/>
                </w:tcPr>
                <w:p w14:paraId="4E65E975">
                  <w:pPr>
                    <w:keepNext w:val="0"/>
                    <w:keepLines w:val="0"/>
                    <w:widowControl/>
                    <w:suppressLineNumbers w:val="0"/>
                    <w:jc w:val="center"/>
                    <w:textAlignment w:val="center"/>
                    <w:rPr>
                      <w:rFonts w:hint="eastAsia"/>
                      <w:color w:val="auto"/>
                      <w:sz w:val="18"/>
                      <w:szCs w:val="18"/>
                      <w:lang w:val="en-US" w:eastAsia="zh-CN"/>
                    </w:rPr>
                  </w:pPr>
                  <w:r>
                    <w:rPr>
                      <w:rFonts w:hint="default" w:ascii="Times New Roman" w:hAnsi="Times New Roman" w:eastAsia="宋体" w:cs="Times New Roman"/>
                      <w:i w:val="0"/>
                      <w:iCs w:val="0"/>
                      <w:color w:val="auto"/>
                      <w:kern w:val="0"/>
                      <w:sz w:val="21"/>
                      <w:szCs w:val="21"/>
                      <w:u w:val="none"/>
                      <w:lang w:val="en-US" w:eastAsia="zh-CN" w:bidi="ar"/>
                    </w:rPr>
                    <w:t>1.58</w:t>
                  </w:r>
                </w:p>
              </w:tc>
              <w:tc>
                <w:tcPr>
                  <w:tcW w:w="680" w:type="pct"/>
                  <w:vMerge w:val="continue"/>
                  <w:shd w:val="clear" w:color="auto" w:fill="auto"/>
                  <w:vAlign w:val="center"/>
                </w:tcPr>
                <w:p w14:paraId="471E4E06">
                  <w:pPr>
                    <w:adjustRightInd w:val="0"/>
                    <w:snapToGrid w:val="0"/>
                    <w:jc w:val="center"/>
                    <w:rPr>
                      <w:rFonts w:hint="eastAsia"/>
                      <w:color w:val="auto"/>
                      <w:sz w:val="18"/>
                      <w:szCs w:val="18"/>
                      <w:lang w:val="en-US" w:eastAsia="zh-CN"/>
                    </w:rPr>
                  </w:pPr>
                </w:p>
              </w:tc>
              <w:tc>
                <w:tcPr>
                  <w:tcW w:w="818" w:type="dxa"/>
                  <w:shd w:val="clear" w:color="auto" w:fill="auto"/>
                  <w:vAlign w:val="center"/>
                </w:tcPr>
                <w:p w14:paraId="06FADD01">
                  <w:pPr>
                    <w:keepNext w:val="0"/>
                    <w:keepLines w:val="0"/>
                    <w:widowControl/>
                    <w:suppressLineNumbers w:val="0"/>
                    <w:jc w:val="center"/>
                    <w:textAlignment w:val="center"/>
                    <w:rPr>
                      <w:rFonts w:hint="eastAsia"/>
                      <w:color w:val="auto"/>
                      <w:sz w:val="18"/>
                      <w:szCs w:val="18"/>
                      <w:lang w:val="en-US" w:eastAsia="zh-CN"/>
                    </w:rPr>
                  </w:pPr>
                  <w:r>
                    <w:rPr>
                      <w:rFonts w:hint="default" w:ascii="Times New Roman" w:hAnsi="Times New Roman" w:eastAsia="宋体" w:cs="Times New Roman"/>
                      <w:i w:val="0"/>
                      <w:iCs w:val="0"/>
                      <w:color w:val="auto"/>
                      <w:kern w:val="0"/>
                      <w:sz w:val="21"/>
                      <w:szCs w:val="21"/>
                      <w:u w:val="none"/>
                      <w:lang w:val="en-US" w:eastAsia="zh-CN" w:bidi="ar"/>
                    </w:rPr>
                    <w:t>0.89</w:t>
                  </w:r>
                </w:p>
              </w:tc>
              <w:tc>
                <w:tcPr>
                  <w:tcW w:w="797" w:type="pct"/>
                  <w:vMerge w:val="continue"/>
                  <w:shd w:val="clear" w:color="auto" w:fill="auto"/>
                  <w:vAlign w:val="center"/>
                </w:tcPr>
                <w:p w14:paraId="37BE2A17">
                  <w:pPr>
                    <w:adjustRightInd w:val="0"/>
                    <w:snapToGrid w:val="0"/>
                    <w:jc w:val="center"/>
                    <w:rPr>
                      <w:color w:val="auto"/>
                      <w:sz w:val="18"/>
                      <w:szCs w:val="18"/>
                    </w:rPr>
                  </w:pPr>
                </w:p>
              </w:tc>
            </w:tr>
            <w:tr w14:paraId="056E59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pct"/>
                  <w:vMerge w:val="continue"/>
                  <w:shd w:val="clear" w:color="auto" w:fill="auto"/>
                  <w:vAlign w:val="center"/>
                </w:tcPr>
                <w:p w14:paraId="63E1C176">
                  <w:pPr>
                    <w:adjustRightInd w:val="0"/>
                    <w:snapToGrid w:val="0"/>
                    <w:jc w:val="center"/>
                    <w:rPr>
                      <w:color w:val="auto"/>
                      <w:sz w:val="18"/>
                      <w:szCs w:val="18"/>
                    </w:rPr>
                  </w:pPr>
                </w:p>
              </w:tc>
              <w:tc>
                <w:tcPr>
                  <w:tcW w:w="820" w:type="pct"/>
                  <w:shd w:val="clear" w:color="auto" w:fill="auto"/>
                  <w:vAlign w:val="center"/>
                </w:tcPr>
                <w:p w14:paraId="10A88180">
                  <w:pPr>
                    <w:adjustRightInd w:val="0"/>
                    <w:snapToGrid w:val="0"/>
                    <w:jc w:val="center"/>
                    <w:rPr>
                      <w:color w:val="auto"/>
                      <w:sz w:val="18"/>
                      <w:szCs w:val="18"/>
                    </w:rPr>
                  </w:pPr>
                  <w:r>
                    <w:rPr>
                      <w:color w:val="auto"/>
                      <w:sz w:val="18"/>
                      <w:szCs w:val="18"/>
                    </w:rPr>
                    <w:t>总磷</w:t>
                  </w:r>
                </w:p>
              </w:tc>
              <w:tc>
                <w:tcPr>
                  <w:tcW w:w="692" w:type="pct"/>
                  <w:vMerge w:val="continue"/>
                  <w:shd w:val="clear" w:color="auto" w:fill="auto"/>
                  <w:vAlign w:val="center"/>
                </w:tcPr>
                <w:p w14:paraId="5AFC178F">
                  <w:pPr>
                    <w:adjustRightInd w:val="0"/>
                    <w:snapToGrid w:val="0"/>
                    <w:jc w:val="center"/>
                    <w:rPr>
                      <w:color w:val="auto"/>
                      <w:sz w:val="18"/>
                      <w:szCs w:val="18"/>
                    </w:rPr>
                  </w:pPr>
                </w:p>
              </w:tc>
              <w:tc>
                <w:tcPr>
                  <w:tcW w:w="1231" w:type="dxa"/>
                  <w:shd w:val="clear" w:color="auto" w:fill="auto"/>
                  <w:vAlign w:val="center"/>
                </w:tcPr>
                <w:p w14:paraId="74016C85">
                  <w:pPr>
                    <w:keepNext w:val="0"/>
                    <w:keepLines w:val="0"/>
                    <w:widowControl/>
                    <w:suppressLineNumbers w:val="0"/>
                    <w:jc w:val="center"/>
                    <w:textAlignment w:val="center"/>
                    <w:rPr>
                      <w:rFonts w:hint="eastAsia"/>
                      <w:color w:val="auto"/>
                      <w:sz w:val="18"/>
                      <w:szCs w:val="18"/>
                      <w:lang w:val="en-US" w:eastAsia="zh-CN"/>
                    </w:rPr>
                  </w:pPr>
                  <w:r>
                    <w:rPr>
                      <w:rFonts w:hint="default" w:ascii="Times New Roman" w:hAnsi="Times New Roman" w:eastAsia="宋体" w:cs="Times New Roman"/>
                      <w:i w:val="0"/>
                      <w:iCs w:val="0"/>
                      <w:color w:val="auto"/>
                      <w:kern w:val="0"/>
                      <w:sz w:val="21"/>
                      <w:szCs w:val="21"/>
                      <w:u w:val="none"/>
                      <w:lang w:val="en-US" w:eastAsia="zh-CN" w:bidi="ar"/>
                    </w:rPr>
                    <w:t>0.15</w:t>
                  </w:r>
                </w:p>
              </w:tc>
              <w:tc>
                <w:tcPr>
                  <w:tcW w:w="680" w:type="pct"/>
                  <w:vMerge w:val="continue"/>
                  <w:shd w:val="clear" w:color="auto" w:fill="auto"/>
                  <w:vAlign w:val="center"/>
                </w:tcPr>
                <w:p w14:paraId="3F55BA07">
                  <w:pPr>
                    <w:adjustRightInd w:val="0"/>
                    <w:snapToGrid w:val="0"/>
                    <w:jc w:val="center"/>
                    <w:rPr>
                      <w:rFonts w:hint="eastAsia"/>
                      <w:color w:val="auto"/>
                      <w:sz w:val="18"/>
                      <w:szCs w:val="18"/>
                      <w:lang w:val="en-US" w:eastAsia="zh-CN"/>
                    </w:rPr>
                  </w:pPr>
                </w:p>
              </w:tc>
              <w:tc>
                <w:tcPr>
                  <w:tcW w:w="818" w:type="dxa"/>
                  <w:shd w:val="clear" w:color="auto" w:fill="auto"/>
                  <w:vAlign w:val="center"/>
                </w:tcPr>
                <w:p w14:paraId="72961AF5">
                  <w:pPr>
                    <w:keepNext w:val="0"/>
                    <w:keepLines w:val="0"/>
                    <w:widowControl/>
                    <w:suppressLineNumbers w:val="0"/>
                    <w:jc w:val="center"/>
                    <w:textAlignment w:val="center"/>
                    <w:rPr>
                      <w:rFonts w:hint="eastAsia"/>
                      <w:color w:val="auto"/>
                      <w:sz w:val="18"/>
                      <w:szCs w:val="18"/>
                      <w:lang w:val="en-US" w:eastAsia="zh-CN"/>
                    </w:rPr>
                  </w:pPr>
                  <w:r>
                    <w:rPr>
                      <w:rFonts w:hint="default" w:ascii="Times New Roman" w:hAnsi="Times New Roman" w:eastAsia="宋体" w:cs="Times New Roman"/>
                      <w:i w:val="0"/>
                      <w:iCs w:val="0"/>
                      <w:color w:val="auto"/>
                      <w:kern w:val="0"/>
                      <w:sz w:val="21"/>
                      <w:szCs w:val="21"/>
                      <w:u w:val="none"/>
                      <w:lang w:val="en-US" w:eastAsia="zh-CN" w:bidi="ar"/>
                    </w:rPr>
                    <w:t>0.07</w:t>
                  </w:r>
                </w:p>
              </w:tc>
              <w:tc>
                <w:tcPr>
                  <w:tcW w:w="797" w:type="pct"/>
                  <w:vMerge w:val="continue"/>
                  <w:shd w:val="clear" w:color="auto" w:fill="auto"/>
                  <w:vAlign w:val="center"/>
                </w:tcPr>
                <w:p w14:paraId="35C58798">
                  <w:pPr>
                    <w:adjustRightInd w:val="0"/>
                    <w:snapToGrid w:val="0"/>
                    <w:jc w:val="center"/>
                    <w:rPr>
                      <w:color w:val="auto"/>
                      <w:sz w:val="18"/>
                      <w:szCs w:val="18"/>
                    </w:rPr>
                  </w:pPr>
                </w:p>
              </w:tc>
            </w:tr>
            <w:tr w14:paraId="0195CE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770" w:type="pct"/>
                  <w:vMerge w:val="continue"/>
                  <w:shd w:val="clear" w:color="auto" w:fill="auto"/>
                  <w:vAlign w:val="center"/>
                </w:tcPr>
                <w:p w14:paraId="3FC9E950">
                  <w:pPr>
                    <w:adjustRightInd w:val="0"/>
                    <w:snapToGrid w:val="0"/>
                    <w:jc w:val="center"/>
                    <w:rPr>
                      <w:color w:val="auto"/>
                      <w:sz w:val="18"/>
                      <w:szCs w:val="18"/>
                    </w:rPr>
                  </w:pPr>
                </w:p>
              </w:tc>
              <w:tc>
                <w:tcPr>
                  <w:tcW w:w="820" w:type="pct"/>
                  <w:shd w:val="clear" w:color="auto" w:fill="auto"/>
                  <w:vAlign w:val="center"/>
                </w:tcPr>
                <w:p w14:paraId="4968C5CE">
                  <w:pPr>
                    <w:adjustRightInd w:val="0"/>
                    <w:snapToGrid w:val="0"/>
                    <w:jc w:val="center"/>
                    <w:rPr>
                      <w:color w:val="auto"/>
                      <w:sz w:val="18"/>
                      <w:szCs w:val="18"/>
                    </w:rPr>
                  </w:pPr>
                  <w:r>
                    <w:rPr>
                      <w:color w:val="auto"/>
                      <w:sz w:val="18"/>
                      <w:szCs w:val="18"/>
                    </w:rPr>
                    <w:t>动植物油</w:t>
                  </w:r>
                </w:p>
              </w:tc>
              <w:tc>
                <w:tcPr>
                  <w:tcW w:w="692" w:type="pct"/>
                  <w:vMerge w:val="continue"/>
                  <w:shd w:val="clear" w:color="auto" w:fill="auto"/>
                  <w:vAlign w:val="center"/>
                </w:tcPr>
                <w:p w14:paraId="7B02B7DD">
                  <w:pPr>
                    <w:adjustRightInd w:val="0"/>
                    <w:snapToGrid w:val="0"/>
                    <w:jc w:val="center"/>
                    <w:rPr>
                      <w:color w:val="auto"/>
                      <w:sz w:val="18"/>
                      <w:szCs w:val="18"/>
                    </w:rPr>
                  </w:pPr>
                </w:p>
              </w:tc>
              <w:tc>
                <w:tcPr>
                  <w:tcW w:w="1231" w:type="dxa"/>
                  <w:shd w:val="clear" w:color="auto" w:fill="auto"/>
                  <w:vAlign w:val="center"/>
                </w:tcPr>
                <w:p w14:paraId="35E8C53B">
                  <w:pPr>
                    <w:keepNext w:val="0"/>
                    <w:keepLines w:val="0"/>
                    <w:widowControl/>
                    <w:suppressLineNumbers w:val="0"/>
                    <w:jc w:val="center"/>
                    <w:textAlignment w:val="center"/>
                    <w:rPr>
                      <w:rFonts w:hint="eastAsia"/>
                      <w:color w:val="auto"/>
                      <w:sz w:val="18"/>
                      <w:szCs w:val="18"/>
                      <w:lang w:val="en-US" w:eastAsia="zh-CN"/>
                    </w:rPr>
                  </w:pPr>
                  <w:r>
                    <w:rPr>
                      <w:rFonts w:hint="default" w:ascii="Times New Roman" w:hAnsi="Times New Roman" w:eastAsia="宋体" w:cs="Times New Roman"/>
                      <w:i w:val="0"/>
                      <w:iCs w:val="0"/>
                      <w:color w:val="auto"/>
                      <w:kern w:val="0"/>
                      <w:sz w:val="21"/>
                      <w:szCs w:val="21"/>
                      <w:u w:val="none"/>
                      <w:lang w:val="en-US" w:eastAsia="zh-CN" w:bidi="ar"/>
                    </w:rPr>
                    <w:t>0.07</w:t>
                  </w:r>
                </w:p>
              </w:tc>
              <w:tc>
                <w:tcPr>
                  <w:tcW w:w="680" w:type="pct"/>
                  <w:vMerge w:val="continue"/>
                  <w:shd w:val="clear" w:color="auto" w:fill="auto"/>
                  <w:vAlign w:val="center"/>
                </w:tcPr>
                <w:p w14:paraId="6460937D">
                  <w:pPr>
                    <w:adjustRightInd w:val="0"/>
                    <w:snapToGrid w:val="0"/>
                    <w:jc w:val="center"/>
                    <w:rPr>
                      <w:rFonts w:hint="eastAsia"/>
                      <w:color w:val="auto"/>
                      <w:sz w:val="18"/>
                      <w:szCs w:val="18"/>
                      <w:lang w:val="en-US" w:eastAsia="zh-CN"/>
                    </w:rPr>
                  </w:pPr>
                </w:p>
              </w:tc>
              <w:tc>
                <w:tcPr>
                  <w:tcW w:w="818" w:type="dxa"/>
                  <w:shd w:val="clear" w:color="auto" w:fill="auto"/>
                  <w:vAlign w:val="center"/>
                </w:tcPr>
                <w:p w14:paraId="40FFF236">
                  <w:pPr>
                    <w:keepNext w:val="0"/>
                    <w:keepLines w:val="0"/>
                    <w:widowControl/>
                    <w:suppressLineNumbers w:val="0"/>
                    <w:jc w:val="center"/>
                    <w:textAlignment w:val="center"/>
                    <w:rPr>
                      <w:rFonts w:hint="eastAsia"/>
                      <w:color w:val="auto"/>
                      <w:sz w:val="18"/>
                      <w:szCs w:val="18"/>
                      <w:lang w:val="en-US" w:eastAsia="zh-CN"/>
                    </w:rPr>
                  </w:pPr>
                  <w:r>
                    <w:rPr>
                      <w:rFonts w:hint="default" w:ascii="Times New Roman" w:hAnsi="Times New Roman" w:eastAsia="宋体" w:cs="Times New Roman"/>
                      <w:i w:val="0"/>
                      <w:iCs w:val="0"/>
                      <w:color w:val="auto"/>
                      <w:kern w:val="0"/>
                      <w:sz w:val="21"/>
                      <w:szCs w:val="21"/>
                      <w:u w:val="none"/>
                      <w:lang w:val="en-US" w:eastAsia="zh-CN" w:bidi="ar"/>
                    </w:rPr>
                    <w:t>0.06</w:t>
                  </w:r>
                </w:p>
              </w:tc>
              <w:tc>
                <w:tcPr>
                  <w:tcW w:w="797" w:type="pct"/>
                  <w:vMerge w:val="continue"/>
                  <w:shd w:val="clear" w:color="auto" w:fill="auto"/>
                  <w:vAlign w:val="center"/>
                </w:tcPr>
                <w:p w14:paraId="3313D15F">
                  <w:pPr>
                    <w:adjustRightInd w:val="0"/>
                    <w:snapToGrid w:val="0"/>
                    <w:jc w:val="center"/>
                    <w:rPr>
                      <w:color w:val="auto"/>
                      <w:sz w:val="18"/>
                      <w:szCs w:val="18"/>
                    </w:rPr>
                  </w:pPr>
                </w:p>
              </w:tc>
            </w:tr>
            <w:tr w14:paraId="028F36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pct"/>
                  <w:vMerge w:val="continue"/>
                  <w:shd w:val="clear" w:color="auto" w:fill="auto"/>
                  <w:vAlign w:val="center"/>
                </w:tcPr>
                <w:p w14:paraId="1BDBD3B3">
                  <w:pPr>
                    <w:adjustRightInd w:val="0"/>
                    <w:snapToGrid w:val="0"/>
                    <w:jc w:val="center"/>
                    <w:rPr>
                      <w:color w:val="auto"/>
                      <w:sz w:val="18"/>
                      <w:szCs w:val="18"/>
                    </w:rPr>
                  </w:pPr>
                </w:p>
              </w:tc>
              <w:tc>
                <w:tcPr>
                  <w:tcW w:w="820" w:type="pct"/>
                  <w:shd w:val="clear" w:color="auto" w:fill="auto"/>
                  <w:vAlign w:val="center"/>
                </w:tcPr>
                <w:p w14:paraId="6F0A90E9">
                  <w:pPr>
                    <w:adjustRightInd w:val="0"/>
                    <w:snapToGrid w:val="0"/>
                    <w:jc w:val="center"/>
                    <w:rPr>
                      <w:color w:val="auto"/>
                      <w:sz w:val="18"/>
                      <w:szCs w:val="18"/>
                    </w:rPr>
                  </w:pPr>
                  <w:r>
                    <w:rPr>
                      <w:color w:val="auto"/>
                      <w:sz w:val="18"/>
                      <w:szCs w:val="18"/>
                    </w:rPr>
                    <w:t>LAS</w:t>
                  </w:r>
                </w:p>
              </w:tc>
              <w:tc>
                <w:tcPr>
                  <w:tcW w:w="692" w:type="pct"/>
                  <w:vMerge w:val="continue"/>
                  <w:shd w:val="clear" w:color="auto" w:fill="auto"/>
                  <w:vAlign w:val="center"/>
                </w:tcPr>
                <w:p w14:paraId="43DCD5C4">
                  <w:pPr>
                    <w:adjustRightInd w:val="0"/>
                    <w:snapToGrid w:val="0"/>
                    <w:jc w:val="center"/>
                    <w:rPr>
                      <w:color w:val="auto"/>
                      <w:sz w:val="18"/>
                      <w:szCs w:val="18"/>
                    </w:rPr>
                  </w:pPr>
                </w:p>
              </w:tc>
              <w:tc>
                <w:tcPr>
                  <w:tcW w:w="1231" w:type="dxa"/>
                  <w:shd w:val="clear" w:color="auto" w:fill="auto"/>
                  <w:vAlign w:val="center"/>
                </w:tcPr>
                <w:p w14:paraId="7449B156">
                  <w:pPr>
                    <w:keepNext w:val="0"/>
                    <w:keepLines w:val="0"/>
                    <w:widowControl/>
                    <w:suppressLineNumbers w:val="0"/>
                    <w:jc w:val="center"/>
                    <w:textAlignment w:val="center"/>
                    <w:rPr>
                      <w:rFonts w:hint="eastAsia"/>
                      <w:color w:val="auto"/>
                      <w:sz w:val="18"/>
                      <w:szCs w:val="18"/>
                      <w:lang w:val="en-US" w:eastAsia="zh-CN"/>
                    </w:rPr>
                  </w:pPr>
                  <w:r>
                    <w:rPr>
                      <w:rFonts w:hint="default" w:ascii="Times New Roman" w:hAnsi="Times New Roman" w:eastAsia="宋体" w:cs="Times New Roman"/>
                      <w:i w:val="0"/>
                      <w:iCs w:val="0"/>
                      <w:color w:val="auto"/>
                      <w:kern w:val="0"/>
                      <w:sz w:val="21"/>
                      <w:szCs w:val="21"/>
                      <w:u w:val="none"/>
                      <w:lang w:val="en-US" w:eastAsia="zh-CN" w:bidi="ar"/>
                    </w:rPr>
                    <w:t>0.15</w:t>
                  </w:r>
                </w:p>
              </w:tc>
              <w:tc>
                <w:tcPr>
                  <w:tcW w:w="680" w:type="pct"/>
                  <w:vMerge w:val="continue"/>
                  <w:shd w:val="clear" w:color="auto" w:fill="auto"/>
                  <w:vAlign w:val="center"/>
                </w:tcPr>
                <w:p w14:paraId="7E5B32E1">
                  <w:pPr>
                    <w:adjustRightInd w:val="0"/>
                    <w:snapToGrid w:val="0"/>
                    <w:jc w:val="center"/>
                    <w:rPr>
                      <w:rFonts w:hint="eastAsia"/>
                      <w:color w:val="auto"/>
                      <w:sz w:val="18"/>
                      <w:szCs w:val="18"/>
                      <w:lang w:val="en-US" w:eastAsia="zh-CN"/>
                    </w:rPr>
                  </w:pPr>
                </w:p>
              </w:tc>
              <w:tc>
                <w:tcPr>
                  <w:tcW w:w="818" w:type="dxa"/>
                  <w:shd w:val="clear" w:color="auto" w:fill="auto"/>
                  <w:vAlign w:val="center"/>
                </w:tcPr>
                <w:p w14:paraId="5E0A1CE5">
                  <w:pPr>
                    <w:keepNext w:val="0"/>
                    <w:keepLines w:val="0"/>
                    <w:widowControl/>
                    <w:suppressLineNumbers w:val="0"/>
                    <w:jc w:val="center"/>
                    <w:textAlignment w:val="center"/>
                    <w:rPr>
                      <w:rFonts w:hint="eastAsia"/>
                      <w:color w:val="auto"/>
                      <w:sz w:val="18"/>
                      <w:szCs w:val="18"/>
                      <w:lang w:val="en-US" w:eastAsia="zh-CN"/>
                    </w:rPr>
                  </w:pPr>
                  <w:r>
                    <w:rPr>
                      <w:rFonts w:hint="default" w:ascii="Times New Roman" w:hAnsi="Times New Roman" w:eastAsia="宋体" w:cs="Times New Roman"/>
                      <w:i w:val="0"/>
                      <w:iCs w:val="0"/>
                      <w:color w:val="auto"/>
                      <w:kern w:val="0"/>
                      <w:sz w:val="21"/>
                      <w:szCs w:val="21"/>
                      <w:u w:val="none"/>
                      <w:lang w:val="en-US" w:eastAsia="zh-CN" w:bidi="ar"/>
                    </w:rPr>
                    <w:t>0.14</w:t>
                  </w:r>
                </w:p>
              </w:tc>
              <w:tc>
                <w:tcPr>
                  <w:tcW w:w="797" w:type="pct"/>
                  <w:vMerge w:val="continue"/>
                  <w:shd w:val="clear" w:color="auto" w:fill="auto"/>
                  <w:vAlign w:val="center"/>
                </w:tcPr>
                <w:p w14:paraId="506FBBDE">
                  <w:pPr>
                    <w:adjustRightInd w:val="0"/>
                    <w:snapToGrid w:val="0"/>
                    <w:jc w:val="center"/>
                    <w:rPr>
                      <w:color w:val="auto"/>
                      <w:sz w:val="18"/>
                      <w:szCs w:val="18"/>
                    </w:rPr>
                  </w:pPr>
                </w:p>
              </w:tc>
            </w:tr>
            <w:tr w14:paraId="7931FC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0" w:type="pct"/>
                  <w:vMerge w:val="continue"/>
                  <w:shd w:val="clear" w:color="auto" w:fill="auto"/>
                  <w:vAlign w:val="center"/>
                </w:tcPr>
                <w:p w14:paraId="59D0DAB9">
                  <w:pPr>
                    <w:adjustRightInd w:val="0"/>
                    <w:snapToGrid w:val="0"/>
                    <w:jc w:val="center"/>
                    <w:rPr>
                      <w:color w:val="auto"/>
                      <w:sz w:val="18"/>
                      <w:szCs w:val="18"/>
                    </w:rPr>
                  </w:pPr>
                </w:p>
              </w:tc>
              <w:tc>
                <w:tcPr>
                  <w:tcW w:w="820" w:type="pct"/>
                  <w:shd w:val="clear" w:color="auto" w:fill="auto"/>
                  <w:vAlign w:val="center"/>
                </w:tcPr>
                <w:p w14:paraId="42A8021C">
                  <w:pPr>
                    <w:adjustRightInd w:val="0"/>
                    <w:snapToGrid w:val="0"/>
                    <w:jc w:val="center"/>
                    <w:rPr>
                      <w:rFonts w:hint="eastAsia" w:eastAsia="宋体"/>
                      <w:color w:val="auto"/>
                      <w:sz w:val="18"/>
                      <w:szCs w:val="18"/>
                      <w:lang w:eastAsia="zh-CN"/>
                    </w:rPr>
                  </w:pPr>
                  <w:r>
                    <w:rPr>
                      <w:rFonts w:hint="eastAsia" w:cs="Times New Roman"/>
                      <w:color w:val="auto"/>
                      <w:sz w:val="18"/>
                      <w:szCs w:val="18"/>
                      <w:lang w:val="en-US" w:eastAsia="zh-CN"/>
                    </w:rPr>
                    <w:t>全盐量</w:t>
                  </w:r>
                </w:p>
              </w:tc>
              <w:tc>
                <w:tcPr>
                  <w:tcW w:w="692" w:type="pct"/>
                  <w:vMerge w:val="continue"/>
                  <w:shd w:val="clear" w:color="auto" w:fill="auto"/>
                  <w:vAlign w:val="center"/>
                </w:tcPr>
                <w:p w14:paraId="31BC789E">
                  <w:pPr>
                    <w:adjustRightInd w:val="0"/>
                    <w:snapToGrid w:val="0"/>
                    <w:jc w:val="center"/>
                    <w:rPr>
                      <w:color w:val="auto"/>
                      <w:sz w:val="18"/>
                      <w:szCs w:val="18"/>
                    </w:rPr>
                  </w:pPr>
                </w:p>
              </w:tc>
              <w:tc>
                <w:tcPr>
                  <w:tcW w:w="1231" w:type="dxa"/>
                  <w:shd w:val="clear" w:color="auto" w:fill="auto"/>
                  <w:vAlign w:val="center"/>
                </w:tcPr>
                <w:p w14:paraId="30F4D3CF">
                  <w:pPr>
                    <w:keepNext w:val="0"/>
                    <w:keepLines w:val="0"/>
                    <w:widowControl/>
                    <w:suppressLineNumbers w:val="0"/>
                    <w:jc w:val="center"/>
                    <w:textAlignment w:val="center"/>
                    <w:rPr>
                      <w:rFonts w:hint="default"/>
                      <w:color w:val="auto"/>
                      <w:sz w:val="18"/>
                      <w:szCs w:val="18"/>
                      <w:lang w:val="en-US" w:eastAsia="zh-CN"/>
                    </w:rPr>
                  </w:pPr>
                  <w:r>
                    <w:rPr>
                      <w:rFonts w:hint="eastAsia" w:cs="Times New Roman"/>
                      <w:i w:val="0"/>
                      <w:iCs w:val="0"/>
                      <w:color w:val="auto"/>
                      <w:kern w:val="0"/>
                      <w:sz w:val="21"/>
                      <w:szCs w:val="21"/>
                      <w:u w:val="none"/>
                      <w:lang w:val="en-US" w:eastAsia="zh-CN" w:bidi="ar"/>
                    </w:rPr>
                    <w:t>5.94</w:t>
                  </w:r>
                </w:p>
              </w:tc>
              <w:tc>
                <w:tcPr>
                  <w:tcW w:w="680" w:type="pct"/>
                  <w:vMerge w:val="continue"/>
                  <w:shd w:val="clear" w:color="auto" w:fill="auto"/>
                  <w:vAlign w:val="center"/>
                </w:tcPr>
                <w:p w14:paraId="63C57691">
                  <w:pPr>
                    <w:adjustRightInd w:val="0"/>
                    <w:snapToGrid w:val="0"/>
                    <w:jc w:val="center"/>
                    <w:rPr>
                      <w:rFonts w:hint="eastAsia"/>
                      <w:color w:val="auto"/>
                      <w:sz w:val="18"/>
                      <w:szCs w:val="18"/>
                      <w:lang w:val="en-US" w:eastAsia="zh-CN"/>
                    </w:rPr>
                  </w:pPr>
                </w:p>
              </w:tc>
              <w:tc>
                <w:tcPr>
                  <w:tcW w:w="818" w:type="dxa"/>
                  <w:shd w:val="clear" w:color="auto" w:fill="auto"/>
                  <w:vAlign w:val="center"/>
                </w:tcPr>
                <w:p w14:paraId="0D8BE7AE">
                  <w:pPr>
                    <w:keepNext w:val="0"/>
                    <w:keepLines w:val="0"/>
                    <w:widowControl/>
                    <w:suppressLineNumbers w:val="0"/>
                    <w:jc w:val="center"/>
                    <w:textAlignment w:val="center"/>
                    <w:rPr>
                      <w:rFonts w:hint="default"/>
                      <w:color w:val="auto"/>
                      <w:sz w:val="18"/>
                      <w:szCs w:val="18"/>
                      <w:lang w:val="en-US" w:eastAsia="zh-CN"/>
                    </w:rPr>
                  </w:pPr>
                  <w:r>
                    <w:rPr>
                      <w:rFonts w:hint="default" w:ascii="Times New Roman" w:hAnsi="Times New Roman" w:eastAsia="宋体" w:cs="Times New Roman"/>
                      <w:i w:val="0"/>
                      <w:iCs w:val="0"/>
                      <w:color w:val="auto"/>
                      <w:kern w:val="0"/>
                      <w:sz w:val="21"/>
                      <w:szCs w:val="21"/>
                      <w:u w:val="none"/>
                      <w:lang w:val="en-US" w:eastAsia="zh-CN" w:bidi="ar"/>
                    </w:rPr>
                    <w:t>5.94</w:t>
                  </w:r>
                </w:p>
              </w:tc>
              <w:tc>
                <w:tcPr>
                  <w:tcW w:w="797" w:type="pct"/>
                  <w:vMerge w:val="continue"/>
                  <w:shd w:val="clear" w:color="auto" w:fill="auto"/>
                  <w:vAlign w:val="center"/>
                </w:tcPr>
                <w:p w14:paraId="743A8DD6">
                  <w:pPr>
                    <w:adjustRightInd w:val="0"/>
                    <w:snapToGrid w:val="0"/>
                    <w:jc w:val="center"/>
                    <w:rPr>
                      <w:color w:val="auto"/>
                      <w:sz w:val="18"/>
                      <w:szCs w:val="18"/>
                    </w:rPr>
                  </w:pPr>
                </w:p>
              </w:tc>
            </w:tr>
          </w:tbl>
          <w:p w14:paraId="2A50B0C3">
            <w:pPr>
              <w:spacing w:before="240" w:beforeLines="100"/>
              <w:ind w:firstLine="482" w:firstLineChars="200"/>
              <w:jc w:val="center"/>
              <w:rPr>
                <w:b/>
                <w:color w:val="auto"/>
                <w:sz w:val="24"/>
              </w:rPr>
            </w:pPr>
          </w:p>
          <w:p w14:paraId="06926EF1">
            <w:pPr>
              <w:spacing w:before="240" w:beforeLines="100"/>
              <w:ind w:firstLine="482" w:firstLineChars="200"/>
              <w:jc w:val="center"/>
              <w:rPr>
                <w:b/>
                <w:color w:val="auto"/>
                <w:sz w:val="24"/>
              </w:rPr>
            </w:pPr>
          </w:p>
          <w:p w14:paraId="72DD21F5">
            <w:pPr>
              <w:spacing w:before="240" w:beforeLines="100"/>
              <w:ind w:firstLine="482" w:firstLineChars="200"/>
              <w:jc w:val="center"/>
              <w:rPr>
                <w:b/>
                <w:color w:val="auto"/>
                <w:sz w:val="24"/>
              </w:rPr>
            </w:pPr>
          </w:p>
          <w:p w14:paraId="11773EC1">
            <w:pPr>
              <w:spacing w:before="240" w:beforeLines="100"/>
              <w:ind w:firstLine="482" w:firstLineChars="200"/>
              <w:jc w:val="center"/>
              <w:rPr>
                <w:b/>
                <w:color w:val="auto"/>
                <w:sz w:val="24"/>
              </w:rPr>
            </w:pPr>
          </w:p>
          <w:p w14:paraId="34640C8F">
            <w:pPr>
              <w:spacing w:before="240" w:beforeLines="100"/>
              <w:ind w:firstLine="482" w:firstLineChars="200"/>
              <w:jc w:val="center"/>
              <w:rPr>
                <w:b/>
                <w:color w:val="auto"/>
                <w:sz w:val="24"/>
              </w:rPr>
            </w:pPr>
            <w:r>
              <w:rPr>
                <w:b/>
                <w:color w:val="auto"/>
                <w:sz w:val="24"/>
              </w:rPr>
              <w:t>表4-1</w:t>
            </w:r>
            <w:r>
              <w:rPr>
                <w:rFonts w:hint="eastAsia"/>
                <w:b/>
                <w:color w:val="auto"/>
                <w:sz w:val="24"/>
                <w:lang w:val="en-US" w:eastAsia="zh-CN"/>
              </w:rPr>
              <w:t>4</w:t>
            </w:r>
            <w:r>
              <w:rPr>
                <w:b/>
                <w:color w:val="auto"/>
                <w:sz w:val="24"/>
              </w:rPr>
              <w:t xml:space="preserve"> 废水间接排放口基本信息</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48"/>
              <w:gridCol w:w="636"/>
              <w:gridCol w:w="882"/>
              <w:gridCol w:w="812"/>
              <w:gridCol w:w="648"/>
              <w:gridCol w:w="547"/>
              <w:gridCol w:w="843"/>
              <w:gridCol w:w="491"/>
              <w:gridCol w:w="727"/>
              <w:gridCol w:w="1073"/>
              <w:gridCol w:w="1321"/>
            </w:tblGrid>
            <w:tr w14:paraId="54E333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1" w:type="pct"/>
                  <w:vMerge w:val="restart"/>
                  <w:shd w:val="clear" w:color="auto" w:fill="auto"/>
                  <w:vAlign w:val="center"/>
                </w:tcPr>
                <w:p w14:paraId="44BEA775">
                  <w:pPr>
                    <w:adjustRightInd w:val="0"/>
                    <w:snapToGrid w:val="0"/>
                    <w:jc w:val="center"/>
                    <w:rPr>
                      <w:b/>
                      <w:color w:val="auto"/>
                      <w:kern w:val="0"/>
                      <w:szCs w:val="28"/>
                    </w:rPr>
                  </w:pPr>
                  <w:r>
                    <w:rPr>
                      <w:b/>
                      <w:color w:val="auto"/>
                      <w:kern w:val="0"/>
                      <w:szCs w:val="28"/>
                    </w:rPr>
                    <w:t>序号</w:t>
                  </w:r>
                </w:p>
              </w:tc>
              <w:tc>
                <w:tcPr>
                  <w:tcW w:w="372" w:type="pct"/>
                  <w:vMerge w:val="restart"/>
                  <w:shd w:val="clear" w:color="auto" w:fill="auto"/>
                  <w:vAlign w:val="center"/>
                </w:tcPr>
                <w:p w14:paraId="750FBF6F">
                  <w:pPr>
                    <w:adjustRightInd w:val="0"/>
                    <w:snapToGrid w:val="0"/>
                    <w:jc w:val="center"/>
                    <w:rPr>
                      <w:b/>
                      <w:color w:val="auto"/>
                      <w:kern w:val="0"/>
                      <w:szCs w:val="28"/>
                    </w:rPr>
                  </w:pPr>
                  <w:r>
                    <w:rPr>
                      <w:rFonts w:hint="eastAsia"/>
                      <w:b/>
                      <w:color w:val="auto"/>
                      <w:kern w:val="0"/>
                      <w:szCs w:val="28"/>
                    </w:rPr>
                    <w:t>排放口编号</w:t>
                  </w:r>
                </w:p>
              </w:tc>
              <w:tc>
                <w:tcPr>
                  <w:tcW w:w="993" w:type="pct"/>
                  <w:gridSpan w:val="2"/>
                  <w:shd w:val="clear" w:color="auto" w:fill="auto"/>
                  <w:vAlign w:val="center"/>
                </w:tcPr>
                <w:p w14:paraId="2A538DDE">
                  <w:pPr>
                    <w:adjustRightInd w:val="0"/>
                    <w:snapToGrid w:val="0"/>
                    <w:jc w:val="center"/>
                    <w:rPr>
                      <w:b/>
                      <w:color w:val="auto"/>
                      <w:kern w:val="0"/>
                      <w:szCs w:val="28"/>
                    </w:rPr>
                  </w:pPr>
                  <w:r>
                    <w:rPr>
                      <w:rFonts w:hint="eastAsia"/>
                      <w:b/>
                      <w:color w:val="auto"/>
                      <w:kern w:val="0"/>
                      <w:szCs w:val="28"/>
                    </w:rPr>
                    <w:t>排放口地理坐标</w:t>
                  </w:r>
                </w:p>
              </w:tc>
              <w:tc>
                <w:tcPr>
                  <w:tcW w:w="379" w:type="pct"/>
                  <w:vMerge w:val="restart"/>
                  <w:shd w:val="clear" w:color="auto" w:fill="auto"/>
                  <w:vAlign w:val="center"/>
                </w:tcPr>
                <w:p w14:paraId="04A5F41F">
                  <w:pPr>
                    <w:adjustRightInd w:val="0"/>
                    <w:snapToGrid w:val="0"/>
                    <w:jc w:val="center"/>
                    <w:rPr>
                      <w:b/>
                      <w:color w:val="auto"/>
                      <w:kern w:val="0"/>
                      <w:szCs w:val="28"/>
                    </w:rPr>
                  </w:pPr>
                  <w:r>
                    <w:rPr>
                      <w:rFonts w:hint="eastAsia"/>
                      <w:b/>
                      <w:color w:val="auto"/>
                      <w:kern w:val="0"/>
                      <w:szCs w:val="28"/>
                    </w:rPr>
                    <w:t>废水排放量/（万t</w:t>
                  </w:r>
                  <w:r>
                    <w:rPr>
                      <w:b/>
                      <w:color w:val="auto"/>
                      <w:kern w:val="0"/>
                      <w:szCs w:val="28"/>
                    </w:rPr>
                    <w:t>/a</w:t>
                  </w:r>
                  <w:r>
                    <w:rPr>
                      <w:rFonts w:hint="eastAsia"/>
                      <w:b/>
                      <w:color w:val="auto"/>
                      <w:kern w:val="0"/>
                      <w:szCs w:val="28"/>
                    </w:rPr>
                    <w:t>）</w:t>
                  </w:r>
                </w:p>
              </w:tc>
              <w:tc>
                <w:tcPr>
                  <w:tcW w:w="320" w:type="pct"/>
                  <w:vMerge w:val="restart"/>
                  <w:shd w:val="clear" w:color="auto" w:fill="auto"/>
                  <w:vAlign w:val="center"/>
                </w:tcPr>
                <w:p w14:paraId="119B8FED">
                  <w:pPr>
                    <w:adjustRightInd w:val="0"/>
                    <w:snapToGrid w:val="0"/>
                    <w:jc w:val="center"/>
                    <w:rPr>
                      <w:b/>
                      <w:color w:val="auto"/>
                      <w:kern w:val="0"/>
                      <w:szCs w:val="28"/>
                    </w:rPr>
                  </w:pPr>
                  <w:r>
                    <w:rPr>
                      <w:rFonts w:hint="eastAsia"/>
                      <w:b/>
                      <w:color w:val="auto"/>
                      <w:kern w:val="0"/>
                      <w:szCs w:val="28"/>
                    </w:rPr>
                    <w:t>排放去向</w:t>
                  </w:r>
                </w:p>
              </w:tc>
              <w:tc>
                <w:tcPr>
                  <w:tcW w:w="494" w:type="pct"/>
                  <w:vMerge w:val="restart"/>
                  <w:shd w:val="clear" w:color="auto" w:fill="auto"/>
                  <w:vAlign w:val="center"/>
                </w:tcPr>
                <w:p w14:paraId="7A609ACA">
                  <w:pPr>
                    <w:adjustRightInd w:val="0"/>
                    <w:snapToGrid w:val="0"/>
                    <w:jc w:val="center"/>
                    <w:rPr>
                      <w:b/>
                      <w:color w:val="auto"/>
                      <w:kern w:val="0"/>
                      <w:szCs w:val="28"/>
                    </w:rPr>
                  </w:pPr>
                  <w:r>
                    <w:rPr>
                      <w:rFonts w:hint="eastAsia"/>
                      <w:b/>
                      <w:color w:val="auto"/>
                      <w:kern w:val="0"/>
                      <w:szCs w:val="28"/>
                    </w:rPr>
                    <w:t>排放规律</w:t>
                  </w:r>
                </w:p>
              </w:tc>
              <w:tc>
                <w:tcPr>
                  <w:tcW w:w="287" w:type="pct"/>
                  <w:vMerge w:val="restart"/>
                  <w:shd w:val="clear" w:color="auto" w:fill="auto"/>
                  <w:vAlign w:val="center"/>
                </w:tcPr>
                <w:p w14:paraId="0DBBDA1A">
                  <w:pPr>
                    <w:adjustRightInd w:val="0"/>
                    <w:snapToGrid w:val="0"/>
                    <w:jc w:val="center"/>
                    <w:rPr>
                      <w:b/>
                      <w:color w:val="auto"/>
                      <w:kern w:val="0"/>
                      <w:szCs w:val="28"/>
                    </w:rPr>
                  </w:pPr>
                  <w:r>
                    <w:rPr>
                      <w:rFonts w:hint="eastAsia"/>
                      <w:b/>
                      <w:color w:val="auto"/>
                      <w:kern w:val="0"/>
                      <w:szCs w:val="28"/>
                    </w:rPr>
                    <w:t>间歇排放时段</w:t>
                  </w:r>
                </w:p>
              </w:tc>
              <w:tc>
                <w:tcPr>
                  <w:tcW w:w="1829" w:type="pct"/>
                  <w:gridSpan w:val="3"/>
                  <w:shd w:val="clear" w:color="auto" w:fill="auto"/>
                  <w:vAlign w:val="center"/>
                </w:tcPr>
                <w:p w14:paraId="51C8B9E8">
                  <w:pPr>
                    <w:adjustRightInd w:val="0"/>
                    <w:snapToGrid w:val="0"/>
                    <w:jc w:val="center"/>
                    <w:rPr>
                      <w:b/>
                      <w:color w:val="auto"/>
                      <w:kern w:val="0"/>
                      <w:szCs w:val="28"/>
                    </w:rPr>
                  </w:pPr>
                  <w:r>
                    <w:rPr>
                      <w:rFonts w:hint="eastAsia"/>
                      <w:b/>
                      <w:color w:val="auto"/>
                      <w:kern w:val="0"/>
                      <w:szCs w:val="28"/>
                    </w:rPr>
                    <w:t>受纳污水处理厂信息</w:t>
                  </w:r>
                </w:p>
              </w:tc>
            </w:tr>
            <w:tr w14:paraId="59D6C6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1" w:type="pct"/>
                  <w:vMerge w:val="continue"/>
                  <w:shd w:val="clear" w:color="auto" w:fill="auto"/>
                  <w:vAlign w:val="center"/>
                </w:tcPr>
                <w:p w14:paraId="3871C39A">
                  <w:pPr>
                    <w:adjustRightInd w:val="0"/>
                    <w:snapToGrid w:val="0"/>
                    <w:jc w:val="center"/>
                    <w:rPr>
                      <w:b/>
                      <w:color w:val="auto"/>
                      <w:kern w:val="0"/>
                      <w:szCs w:val="28"/>
                    </w:rPr>
                  </w:pPr>
                </w:p>
              </w:tc>
              <w:tc>
                <w:tcPr>
                  <w:tcW w:w="372" w:type="pct"/>
                  <w:vMerge w:val="continue"/>
                  <w:shd w:val="clear" w:color="auto" w:fill="auto"/>
                  <w:vAlign w:val="center"/>
                </w:tcPr>
                <w:p w14:paraId="4A15164D">
                  <w:pPr>
                    <w:adjustRightInd w:val="0"/>
                    <w:snapToGrid w:val="0"/>
                    <w:jc w:val="center"/>
                    <w:rPr>
                      <w:b/>
                      <w:color w:val="auto"/>
                      <w:kern w:val="0"/>
                      <w:szCs w:val="28"/>
                    </w:rPr>
                  </w:pPr>
                </w:p>
              </w:tc>
              <w:tc>
                <w:tcPr>
                  <w:tcW w:w="517" w:type="pct"/>
                  <w:shd w:val="clear" w:color="auto" w:fill="auto"/>
                  <w:vAlign w:val="center"/>
                </w:tcPr>
                <w:p w14:paraId="6FDA5A15">
                  <w:pPr>
                    <w:adjustRightInd w:val="0"/>
                    <w:snapToGrid w:val="0"/>
                    <w:jc w:val="center"/>
                    <w:rPr>
                      <w:b/>
                      <w:color w:val="auto"/>
                      <w:kern w:val="0"/>
                      <w:szCs w:val="28"/>
                    </w:rPr>
                  </w:pPr>
                  <w:r>
                    <w:rPr>
                      <w:rFonts w:hint="eastAsia"/>
                      <w:b/>
                      <w:color w:val="auto"/>
                      <w:kern w:val="0"/>
                      <w:szCs w:val="28"/>
                    </w:rPr>
                    <w:t>经度</w:t>
                  </w:r>
                </w:p>
              </w:tc>
              <w:tc>
                <w:tcPr>
                  <w:tcW w:w="476" w:type="pct"/>
                  <w:shd w:val="clear" w:color="auto" w:fill="auto"/>
                  <w:vAlign w:val="center"/>
                </w:tcPr>
                <w:p w14:paraId="0E606538">
                  <w:pPr>
                    <w:adjustRightInd w:val="0"/>
                    <w:snapToGrid w:val="0"/>
                    <w:jc w:val="center"/>
                    <w:rPr>
                      <w:b/>
                      <w:color w:val="auto"/>
                      <w:kern w:val="0"/>
                      <w:szCs w:val="28"/>
                    </w:rPr>
                  </w:pPr>
                  <w:r>
                    <w:rPr>
                      <w:rFonts w:hint="eastAsia"/>
                      <w:b/>
                      <w:color w:val="auto"/>
                      <w:kern w:val="0"/>
                      <w:szCs w:val="28"/>
                    </w:rPr>
                    <w:t>纬度</w:t>
                  </w:r>
                </w:p>
              </w:tc>
              <w:tc>
                <w:tcPr>
                  <w:tcW w:w="379" w:type="pct"/>
                  <w:vMerge w:val="continue"/>
                  <w:shd w:val="clear" w:color="auto" w:fill="auto"/>
                  <w:vAlign w:val="center"/>
                </w:tcPr>
                <w:p w14:paraId="5DD8847F">
                  <w:pPr>
                    <w:adjustRightInd w:val="0"/>
                    <w:snapToGrid w:val="0"/>
                    <w:jc w:val="center"/>
                    <w:rPr>
                      <w:b/>
                      <w:color w:val="auto"/>
                      <w:kern w:val="0"/>
                      <w:szCs w:val="28"/>
                    </w:rPr>
                  </w:pPr>
                </w:p>
              </w:tc>
              <w:tc>
                <w:tcPr>
                  <w:tcW w:w="320" w:type="pct"/>
                  <w:vMerge w:val="continue"/>
                  <w:shd w:val="clear" w:color="auto" w:fill="auto"/>
                  <w:vAlign w:val="center"/>
                </w:tcPr>
                <w:p w14:paraId="6C3AE0BB">
                  <w:pPr>
                    <w:adjustRightInd w:val="0"/>
                    <w:snapToGrid w:val="0"/>
                    <w:jc w:val="center"/>
                    <w:rPr>
                      <w:b/>
                      <w:color w:val="auto"/>
                      <w:kern w:val="0"/>
                      <w:szCs w:val="28"/>
                    </w:rPr>
                  </w:pPr>
                </w:p>
              </w:tc>
              <w:tc>
                <w:tcPr>
                  <w:tcW w:w="494" w:type="pct"/>
                  <w:vMerge w:val="continue"/>
                  <w:shd w:val="clear" w:color="auto" w:fill="auto"/>
                  <w:vAlign w:val="center"/>
                </w:tcPr>
                <w:p w14:paraId="578E9E25">
                  <w:pPr>
                    <w:adjustRightInd w:val="0"/>
                    <w:snapToGrid w:val="0"/>
                    <w:jc w:val="center"/>
                    <w:rPr>
                      <w:b/>
                      <w:color w:val="auto"/>
                      <w:kern w:val="0"/>
                      <w:szCs w:val="28"/>
                    </w:rPr>
                  </w:pPr>
                </w:p>
              </w:tc>
              <w:tc>
                <w:tcPr>
                  <w:tcW w:w="287" w:type="pct"/>
                  <w:vMerge w:val="continue"/>
                  <w:shd w:val="clear" w:color="auto" w:fill="auto"/>
                  <w:vAlign w:val="center"/>
                </w:tcPr>
                <w:p w14:paraId="10C47A2F">
                  <w:pPr>
                    <w:adjustRightInd w:val="0"/>
                    <w:snapToGrid w:val="0"/>
                    <w:jc w:val="center"/>
                    <w:rPr>
                      <w:b/>
                      <w:color w:val="auto"/>
                      <w:kern w:val="0"/>
                      <w:szCs w:val="28"/>
                    </w:rPr>
                  </w:pPr>
                </w:p>
              </w:tc>
              <w:tc>
                <w:tcPr>
                  <w:tcW w:w="426" w:type="pct"/>
                  <w:shd w:val="clear" w:color="auto" w:fill="auto"/>
                  <w:vAlign w:val="center"/>
                </w:tcPr>
                <w:p w14:paraId="509A7BC8">
                  <w:pPr>
                    <w:adjustRightInd w:val="0"/>
                    <w:snapToGrid w:val="0"/>
                    <w:jc w:val="center"/>
                    <w:rPr>
                      <w:b/>
                      <w:color w:val="auto"/>
                      <w:kern w:val="0"/>
                      <w:szCs w:val="28"/>
                    </w:rPr>
                  </w:pPr>
                  <w:r>
                    <w:rPr>
                      <w:rFonts w:hint="eastAsia"/>
                      <w:b/>
                      <w:color w:val="auto"/>
                      <w:kern w:val="0"/>
                      <w:szCs w:val="28"/>
                    </w:rPr>
                    <w:t>名称</w:t>
                  </w:r>
                </w:p>
              </w:tc>
              <w:tc>
                <w:tcPr>
                  <w:tcW w:w="629" w:type="pct"/>
                  <w:shd w:val="clear" w:color="auto" w:fill="auto"/>
                  <w:vAlign w:val="center"/>
                </w:tcPr>
                <w:p w14:paraId="2F6C95F4">
                  <w:pPr>
                    <w:adjustRightInd w:val="0"/>
                    <w:snapToGrid w:val="0"/>
                    <w:jc w:val="center"/>
                    <w:rPr>
                      <w:b/>
                      <w:color w:val="auto"/>
                      <w:kern w:val="0"/>
                      <w:szCs w:val="28"/>
                    </w:rPr>
                  </w:pPr>
                  <w:r>
                    <w:rPr>
                      <w:rFonts w:hint="eastAsia"/>
                      <w:b/>
                      <w:color w:val="auto"/>
                      <w:kern w:val="0"/>
                      <w:szCs w:val="28"/>
                    </w:rPr>
                    <w:t>污染物种类</w:t>
                  </w:r>
                </w:p>
              </w:tc>
              <w:tc>
                <w:tcPr>
                  <w:tcW w:w="774" w:type="pct"/>
                  <w:shd w:val="clear" w:color="auto" w:fill="auto"/>
                  <w:vAlign w:val="center"/>
                </w:tcPr>
                <w:p w14:paraId="14401B09">
                  <w:pPr>
                    <w:adjustRightInd w:val="0"/>
                    <w:snapToGrid w:val="0"/>
                    <w:jc w:val="center"/>
                    <w:rPr>
                      <w:b/>
                      <w:color w:val="auto"/>
                      <w:kern w:val="0"/>
                      <w:szCs w:val="28"/>
                    </w:rPr>
                  </w:pPr>
                  <w:r>
                    <w:rPr>
                      <w:rFonts w:hint="eastAsia"/>
                      <w:b/>
                      <w:color w:val="auto"/>
                      <w:kern w:val="0"/>
                      <w:szCs w:val="28"/>
                    </w:rPr>
                    <w:t>国家或地方污染物排放标准浓度限制/（m</w:t>
                  </w:r>
                  <w:r>
                    <w:rPr>
                      <w:b/>
                      <w:color w:val="auto"/>
                      <w:kern w:val="0"/>
                      <w:szCs w:val="28"/>
                    </w:rPr>
                    <w:t>g/L</w:t>
                  </w:r>
                  <w:r>
                    <w:rPr>
                      <w:rFonts w:hint="eastAsia"/>
                      <w:b/>
                      <w:color w:val="auto"/>
                      <w:kern w:val="0"/>
                      <w:szCs w:val="28"/>
                    </w:rPr>
                    <w:t>）</w:t>
                  </w:r>
                </w:p>
              </w:tc>
            </w:tr>
            <w:tr w14:paraId="7C0239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1" w:type="pct"/>
                  <w:vMerge w:val="restart"/>
                  <w:shd w:val="clear" w:color="auto" w:fill="auto"/>
                  <w:vAlign w:val="center"/>
                </w:tcPr>
                <w:p w14:paraId="41670A70">
                  <w:pPr>
                    <w:adjustRightInd w:val="0"/>
                    <w:snapToGrid w:val="0"/>
                    <w:jc w:val="center"/>
                    <w:rPr>
                      <w:color w:val="auto"/>
                      <w:kern w:val="0"/>
                      <w:szCs w:val="21"/>
                    </w:rPr>
                  </w:pPr>
                  <w:r>
                    <w:rPr>
                      <w:rFonts w:hint="eastAsia"/>
                      <w:color w:val="auto"/>
                      <w:kern w:val="0"/>
                      <w:szCs w:val="21"/>
                    </w:rPr>
                    <w:t>1</w:t>
                  </w:r>
                </w:p>
              </w:tc>
              <w:tc>
                <w:tcPr>
                  <w:tcW w:w="372" w:type="pct"/>
                  <w:vMerge w:val="restart"/>
                  <w:shd w:val="clear" w:color="auto" w:fill="auto"/>
                  <w:vAlign w:val="center"/>
                </w:tcPr>
                <w:p w14:paraId="17A8974E">
                  <w:pPr>
                    <w:adjustRightInd w:val="0"/>
                    <w:snapToGrid w:val="0"/>
                    <w:jc w:val="center"/>
                    <w:rPr>
                      <w:color w:val="auto"/>
                      <w:kern w:val="0"/>
                      <w:szCs w:val="21"/>
                    </w:rPr>
                  </w:pPr>
                  <w:r>
                    <w:rPr>
                      <w:color w:val="auto"/>
                      <w:kern w:val="0"/>
                      <w:szCs w:val="21"/>
                    </w:rPr>
                    <w:t>DW001</w:t>
                  </w:r>
                </w:p>
              </w:tc>
              <w:tc>
                <w:tcPr>
                  <w:tcW w:w="517" w:type="pct"/>
                  <w:vMerge w:val="restart"/>
                  <w:shd w:val="clear" w:color="auto" w:fill="auto"/>
                  <w:vAlign w:val="center"/>
                </w:tcPr>
                <w:p w14:paraId="213D5D3F">
                  <w:pPr>
                    <w:adjustRightInd w:val="0"/>
                    <w:snapToGrid w:val="0"/>
                    <w:jc w:val="center"/>
                    <w:rPr>
                      <w:color w:val="auto"/>
                      <w:szCs w:val="21"/>
                    </w:rPr>
                  </w:pPr>
                  <w:r>
                    <w:rPr>
                      <w:color w:val="auto"/>
                      <w:szCs w:val="21"/>
                    </w:rPr>
                    <w:t>119°13’7’’</w:t>
                  </w:r>
                </w:p>
              </w:tc>
              <w:tc>
                <w:tcPr>
                  <w:tcW w:w="476" w:type="pct"/>
                  <w:vMerge w:val="restart"/>
                  <w:shd w:val="clear" w:color="auto" w:fill="auto"/>
                  <w:vAlign w:val="center"/>
                </w:tcPr>
                <w:p w14:paraId="794A4747">
                  <w:pPr>
                    <w:adjustRightInd w:val="0"/>
                    <w:snapToGrid w:val="0"/>
                    <w:jc w:val="center"/>
                    <w:rPr>
                      <w:color w:val="auto"/>
                      <w:szCs w:val="21"/>
                    </w:rPr>
                  </w:pPr>
                  <w:r>
                    <w:rPr>
                      <w:color w:val="auto"/>
                      <w:szCs w:val="21"/>
                    </w:rPr>
                    <w:t>33°46’58’’</w:t>
                  </w:r>
                </w:p>
              </w:tc>
              <w:tc>
                <w:tcPr>
                  <w:tcW w:w="379" w:type="pct"/>
                  <w:vMerge w:val="restart"/>
                  <w:shd w:val="clear" w:color="auto" w:fill="auto"/>
                  <w:vAlign w:val="center"/>
                </w:tcPr>
                <w:p w14:paraId="73C6E331">
                  <w:pPr>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42.2574</w:t>
                  </w:r>
                </w:p>
              </w:tc>
              <w:tc>
                <w:tcPr>
                  <w:tcW w:w="320" w:type="pct"/>
                  <w:vMerge w:val="restart"/>
                  <w:shd w:val="clear" w:color="auto" w:fill="auto"/>
                  <w:vAlign w:val="center"/>
                </w:tcPr>
                <w:p w14:paraId="08772BD2">
                  <w:pPr>
                    <w:adjustRightInd w:val="0"/>
                    <w:snapToGrid w:val="0"/>
                    <w:jc w:val="center"/>
                    <w:rPr>
                      <w:color w:val="auto"/>
                      <w:kern w:val="0"/>
                      <w:szCs w:val="21"/>
                    </w:rPr>
                  </w:pPr>
                  <w:r>
                    <w:rPr>
                      <w:rFonts w:hint="eastAsia"/>
                      <w:color w:val="auto"/>
                      <w:kern w:val="0"/>
                      <w:szCs w:val="21"/>
                    </w:rPr>
                    <w:t>厂内综合污水处理站</w:t>
                  </w:r>
                </w:p>
              </w:tc>
              <w:tc>
                <w:tcPr>
                  <w:tcW w:w="494" w:type="pct"/>
                  <w:vMerge w:val="restart"/>
                  <w:shd w:val="clear" w:color="auto" w:fill="auto"/>
                  <w:vAlign w:val="center"/>
                </w:tcPr>
                <w:p w14:paraId="27DB7BE1">
                  <w:pPr>
                    <w:adjustRightInd w:val="0"/>
                    <w:snapToGrid w:val="0"/>
                    <w:jc w:val="center"/>
                    <w:rPr>
                      <w:color w:val="auto"/>
                      <w:kern w:val="0"/>
                      <w:szCs w:val="21"/>
                    </w:rPr>
                  </w:pPr>
                  <w:r>
                    <w:rPr>
                      <w:rFonts w:hint="eastAsia"/>
                      <w:color w:val="auto"/>
                      <w:szCs w:val="21"/>
                    </w:rPr>
                    <w:t>间断</w:t>
                  </w:r>
                  <w:r>
                    <w:rPr>
                      <w:color w:val="auto"/>
                      <w:szCs w:val="21"/>
                    </w:rPr>
                    <w:t>排放，排放期间流量不稳定，但有周期性规律</w:t>
                  </w:r>
                </w:p>
              </w:tc>
              <w:tc>
                <w:tcPr>
                  <w:tcW w:w="287" w:type="pct"/>
                  <w:vMerge w:val="restart"/>
                  <w:shd w:val="clear" w:color="auto" w:fill="auto"/>
                  <w:vAlign w:val="center"/>
                </w:tcPr>
                <w:p w14:paraId="63D3D373">
                  <w:pPr>
                    <w:adjustRightInd w:val="0"/>
                    <w:snapToGrid w:val="0"/>
                    <w:jc w:val="center"/>
                    <w:rPr>
                      <w:color w:val="auto"/>
                      <w:kern w:val="0"/>
                      <w:szCs w:val="21"/>
                    </w:rPr>
                  </w:pPr>
                  <w:r>
                    <w:rPr>
                      <w:rFonts w:hint="eastAsia"/>
                      <w:color w:val="auto"/>
                      <w:kern w:val="0"/>
                      <w:szCs w:val="21"/>
                    </w:rPr>
                    <w:t>/</w:t>
                  </w:r>
                </w:p>
              </w:tc>
              <w:tc>
                <w:tcPr>
                  <w:tcW w:w="426" w:type="pct"/>
                  <w:vMerge w:val="restart"/>
                  <w:shd w:val="clear" w:color="auto" w:fill="auto"/>
                  <w:vAlign w:val="center"/>
                </w:tcPr>
                <w:p w14:paraId="484DFFD7">
                  <w:pPr>
                    <w:adjustRightInd w:val="0"/>
                    <w:snapToGrid w:val="0"/>
                    <w:jc w:val="center"/>
                    <w:rPr>
                      <w:color w:val="auto"/>
                      <w:kern w:val="0"/>
                      <w:szCs w:val="21"/>
                    </w:rPr>
                  </w:pPr>
                  <w:r>
                    <w:rPr>
                      <w:color w:val="auto"/>
                      <w:kern w:val="0"/>
                      <w:szCs w:val="21"/>
                    </w:rPr>
                    <w:t>涟水经济开发区西区污水处理厂</w:t>
                  </w:r>
                </w:p>
              </w:tc>
              <w:tc>
                <w:tcPr>
                  <w:tcW w:w="629" w:type="pct"/>
                  <w:shd w:val="clear" w:color="auto" w:fill="auto"/>
                  <w:vAlign w:val="center"/>
                </w:tcPr>
                <w:p w14:paraId="21DDA8FC">
                  <w:pPr>
                    <w:adjustRightInd w:val="0"/>
                    <w:snapToGrid w:val="0"/>
                    <w:jc w:val="center"/>
                    <w:rPr>
                      <w:color w:val="auto"/>
                      <w:kern w:val="0"/>
                      <w:szCs w:val="21"/>
                    </w:rPr>
                  </w:pPr>
                  <w:r>
                    <w:rPr>
                      <w:color w:val="auto"/>
                      <w:szCs w:val="21"/>
                    </w:rPr>
                    <w:t>COD</w:t>
                  </w:r>
                </w:p>
              </w:tc>
              <w:tc>
                <w:tcPr>
                  <w:tcW w:w="774" w:type="pct"/>
                  <w:shd w:val="clear" w:color="auto" w:fill="auto"/>
                  <w:vAlign w:val="center"/>
                </w:tcPr>
                <w:p w14:paraId="08523FBB">
                  <w:pPr>
                    <w:adjustRightInd w:val="0"/>
                    <w:snapToGrid w:val="0"/>
                    <w:jc w:val="center"/>
                    <w:rPr>
                      <w:color w:val="auto"/>
                      <w:kern w:val="0"/>
                      <w:szCs w:val="21"/>
                    </w:rPr>
                  </w:pPr>
                  <w:r>
                    <w:rPr>
                      <w:rFonts w:hint="eastAsia"/>
                      <w:color w:val="auto"/>
                      <w:kern w:val="0"/>
                      <w:szCs w:val="21"/>
                    </w:rPr>
                    <w:t>5</w:t>
                  </w:r>
                  <w:r>
                    <w:rPr>
                      <w:color w:val="auto"/>
                      <w:kern w:val="0"/>
                      <w:szCs w:val="21"/>
                    </w:rPr>
                    <w:t>0</w:t>
                  </w:r>
                </w:p>
              </w:tc>
            </w:tr>
            <w:tr w14:paraId="59BC19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1" w:type="pct"/>
                  <w:vMerge w:val="continue"/>
                  <w:shd w:val="clear" w:color="auto" w:fill="auto"/>
                  <w:vAlign w:val="center"/>
                </w:tcPr>
                <w:p w14:paraId="308B7FA0">
                  <w:pPr>
                    <w:adjustRightInd w:val="0"/>
                    <w:snapToGrid w:val="0"/>
                    <w:jc w:val="center"/>
                    <w:rPr>
                      <w:color w:val="auto"/>
                      <w:kern w:val="0"/>
                      <w:szCs w:val="21"/>
                    </w:rPr>
                  </w:pPr>
                </w:p>
              </w:tc>
              <w:tc>
                <w:tcPr>
                  <w:tcW w:w="372" w:type="pct"/>
                  <w:vMerge w:val="continue"/>
                  <w:shd w:val="clear" w:color="auto" w:fill="auto"/>
                  <w:vAlign w:val="center"/>
                </w:tcPr>
                <w:p w14:paraId="142D714F">
                  <w:pPr>
                    <w:adjustRightInd w:val="0"/>
                    <w:snapToGrid w:val="0"/>
                    <w:jc w:val="center"/>
                    <w:rPr>
                      <w:color w:val="auto"/>
                      <w:kern w:val="0"/>
                      <w:szCs w:val="21"/>
                    </w:rPr>
                  </w:pPr>
                </w:p>
              </w:tc>
              <w:tc>
                <w:tcPr>
                  <w:tcW w:w="517" w:type="pct"/>
                  <w:vMerge w:val="continue"/>
                  <w:shd w:val="clear" w:color="auto" w:fill="auto"/>
                  <w:vAlign w:val="center"/>
                </w:tcPr>
                <w:p w14:paraId="192E0541">
                  <w:pPr>
                    <w:adjustRightInd w:val="0"/>
                    <w:snapToGrid w:val="0"/>
                    <w:jc w:val="center"/>
                    <w:rPr>
                      <w:color w:val="auto"/>
                      <w:szCs w:val="21"/>
                    </w:rPr>
                  </w:pPr>
                </w:p>
              </w:tc>
              <w:tc>
                <w:tcPr>
                  <w:tcW w:w="476" w:type="pct"/>
                  <w:vMerge w:val="continue"/>
                  <w:shd w:val="clear" w:color="auto" w:fill="auto"/>
                  <w:vAlign w:val="center"/>
                </w:tcPr>
                <w:p w14:paraId="5CC6B641">
                  <w:pPr>
                    <w:adjustRightInd w:val="0"/>
                    <w:snapToGrid w:val="0"/>
                    <w:jc w:val="center"/>
                    <w:rPr>
                      <w:color w:val="auto"/>
                      <w:szCs w:val="21"/>
                    </w:rPr>
                  </w:pPr>
                </w:p>
              </w:tc>
              <w:tc>
                <w:tcPr>
                  <w:tcW w:w="379" w:type="pct"/>
                  <w:vMerge w:val="continue"/>
                  <w:shd w:val="clear" w:color="auto" w:fill="auto"/>
                  <w:vAlign w:val="center"/>
                </w:tcPr>
                <w:p w14:paraId="5C974FF6">
                  <w:pPr>
                    <w:adjustRightInd w:val="0"/>
                    <w:snapToGrid w:val="0"/>
                    <w:jc w:val="center"/>
                    <w:rPr>
                      <w:color w:val="auto"/>
                      <w:kern w:val="0"/>
                      <w:szCs w:val="21"/>
                    </w:rPr>
                  </w:pPr>
                </w:p>
              </w:tc>
              <w:tc>
                <w:tcPr>
                  <w:tcW w:w="320" w:type="pct"/>
                  <w:vMerge w:val="continue"/>
                  <w:shd w:val="clear" w:color="auto" w:fill="auto"/>
                  <w:vAlign w:val="center"/>
                </w:tcPr>
                <w:p w14:paraId="578E4DAD">
                  <w:pPr>
                    <w:adjustRightInd w:val="0"/>
                    <w:snapToGrid w:val="0"/>
                    <w:jc w:val="center"/>
                    <w:rPr>
                      <w:color w:val="auto"/>
                      <w:kern w:val="0"/>
                      <w:szCs w:val="21"/>
                    </w:rPr>
                  </w:pPr>
                </w:p>
              </w:tc>
              <w:tc>
                <w:tcPr>
                  <w:tcW w:w="494" w:type="pct"/>
                  <w:vMerge w:val="continue"/>
                  <w:shd w:val="clear" w:color="auto" w:fill="auto"/>
                  <w:vAlign w:val="center"/>
                </w:tcPr>
                <w:p w14:paraId="4C884DA7">
                  <w:pPr>
                    <w:adjustRightInd w:val="0"/>
                    <w:snapToGrid w:val="0"/>
                    <w:jc w:val="center"/>
                    <w:rPr>
                      <w:color w:val="auto"/>
                      <w:kern w:val="0"/>
                      <w:szCs w:val="21"/>
                    </w:rPr>
                  </w:pPr>
                </w:p>
              </w:tc>
              <w:tc>
                <w:tcPr>
                  <w:tcW w:w="287" w:type="pct"/>
                  <w:vMerge w:val="continue"/>
                  <w:shd w:val="clear" w:color="auto" w:fill="auto"/>
                  <w:vAlign w:val="center"/>
                </w:tcPr>
                <w:p w14:paraId="25BB6060">
                  <w:pPr>
                    <w:adjustRightInd w:val="0"/>
                    <w:snapToGrid w:val="0"/>
                    <w:jc w:val="center"/>
                    <w:rPr>
                      <w:color w:val="auto"/>
                      <w:kern w:val="0"/>
                      <w:szCs w:val="21"/>
                    </w:rPr>
                  </w:pPr>
                </w:p>
              </w:tc>
              <w:tc>
                <w:tcPr>
                  <w:tcW w:w="426" w:type="pct"/>
                  <w:vMerge w:val="continue"/>
                  <w:shd w:val="clear" w:color="auto" w:fill="auto"/>
                  <w:vAlign w:val="center"/>
                </w:tcPr>
                <w:p w14:paraId="2E0ED610">
                  <w:pPr>
                    <w:adjustRightInd w:val="0"/>
                    <w:snapToGrid w:val="0"/>
                    <w:jc w:val="center"/>
                    <w:rPr>
                      <w:color w:val="auto"/>
                      <w:kern w:val="0"/>
                      <w:szCs w:val="21"/>
                    </w:rPr>
                  </w:pPr>
                </w:p>
              </w:tc>
              <w:tc>
                <w:tcPr>
                  <w:tcW w:w="629" w:type="pct"/>
                  <w:shd w:val="clear" w:color="auto" w:fill="auto"/>
                  <w:vAlign w:val="center"/>
                </w:tcPr>
                <w:p w14:paraId="6C9159EE">
                  <w:pPr>
                    <w:adjustRightInd w:val="0"/>
                    <w:snapToGrid w:val="0"/>
                    <w:jc w:val="center"/>
                    <w:rPr>
                      <w:color w:val="auto"/>
                      <w:kern w:val="0"/>
                      <w:szCs w:val="21"/>
                    </w:rPr>
                  </w:pPr>
                  <w:r>
                    <w:rPr>
                      <w:rFonts w:hint="eastAsia"/>
                      <w:color w:val="auto"/>
                      <w:szCs w:val="21"/>
                    </w:rPr>
                    <w:t>B</w:t>
                  </w:r>
                  <w:r>
                    <w:rPr>
                      <w:color w:val="auto"/>
                      <w:szCs w:val="21"/>
                    </w:rPr>
                    <w:t>OD</w:t>
                  </w:r>
                  <w:r>
                    <w:rPr>
                      <w:color w:val="auto"/>
                      <w:szCs w:val="21"/>
                      <w:vertAlign w:val="subscript"/>
                    </w:rPr>
                    <w:t>5</w:t>
                  </w:r>
                </w:p>
              </w:tc>
              <w:tc>
                <w:tcPr>
                  <w:tcW w:w="774" w:type="pct"/>
                  <w:shd w:val="clear" w:color="auto" w:fill="auto"/>
                  <w:vAlign w:val="center"/>
                </w:tcPr>
                <w:p w14:paraId="7AFDF832">
                  <w:pPr>
                    <w:adjustRightInd w:val="0"/>
                    <w:snapToGrid w:val="0"/>
                    <w:jc w:val="center"/>
                    <w:rPr>
                      <w:color w:val="auto"/>
                      <w:kern w:val="0"/>
                      <w:szCs w:val="21"/>
                    </w:rPr>
                  </w:pPr>
                  <w:r>
                    <w:rPr>
                      <w:rFonts w:hint="eastAsia"/>
                      <w:color w:val="auto"/>
                      <w:kern w:val="0"/>
                      <w:szCs w:val="21"/>
                    </w:rPr>
                    <w:t>1</w:t>
                  </w:r>
                  <w:r>
                    <w:rPr>
                      <w:color w:val="auto"/>
                      <w:kern w:val="0"/>
                      <w:szCs w:val="21"/>
                    </w:rPr>
                    <w:t>0</w:t>
                  </w:r>
                </w:p>
              </w:tc>
            </w:tr>
            <w:tr w14:paraId="5EED47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1" w:type="pct"/>
                  <w:vMerge w:val="continue"/>
                  <w:shd w:val="clear" w:color="auto" w:fill="auto"/>
                  <w:vAlign w:val="center"/>
                </w:tcPr>
                <w:p w14:paraId="65D60877">
                  <w:pPr>
                    <w:adjustRightInd w:val="0"/>
                    <w:snapToGrid w:val="0"/>
                    <w:jc w:val="center"/>
                    <w:rPr>
                      <w:color w:val="auto"/>
                      <w:kern w:val="0"/>
                      <w:szCs w:val="21"/>
                    </w:rPr>
                  </w:pPr>
                </w:p>
              </w:tc>
              <w:tc>
                <w:tcPr>
                  <w:tcW w:w="372" w:type="pct"/>
                  <w:vMerge w:val="continue"/>
                  <w:shd w:val="clear" w:color="auto" w:fill="auto"/>
                  <w:vAlign w:val="center"/>
                </w:tcPr>
                <w:p w14:paraId="36A2BE33">
                  <w:pPr>
                    <w:adjustRightInd w:val="0"/>
                    <w:snapToGrid w:val="0"/>
                    <w:jc w:val="center"/>
                    <w:rPr>
                      <w:color w:val="auto"/>
                      <w:kern w:val="0"/>
                      <w:szCs w:val="21"/>
                    </w:rPr>
                  </w:pPr>
                </w:p>
              </w:tc>
              <w:tc>
                <w:tcPr>
                  <w:tcW w:w="517" w:type="pct"/>
                  <w:vMerge w:val="continue"/>
                  <w:shd w:val="clear" w:color="auto" w:fill="auto"/>
                  <w:vAlign w:val="center"/>
                </w:tcPr>
                <w:p w14:paraId="50C44C4C">
                  <w:pPr>
                    <w:adjustRightInd w:val="0"/>
                    <w:snapToGrid w:val="0"/>
                    <w:jc w:val="center"/>
                    <w:rPr>
                      <w:color w:val="auto"/>
                      <w:szCs w:val="21"/>
                    </w:rPr>
                  </w:pPr>
                </w:p>
              </w:tc>
              <w:tc>
                <w:tcPr>
                  <w:tcW w:w="476" w:type="pct"/>
                  <w:vMerge w:val="continue"/>
                  <w:shd w:val="clear" w:color="auto" w:fill="auto"/>
                  <w:vAlign w:val="center"/>
                </w:tcPr>
                <w:p w14:paraId="40499090">
                  <w:pPr>
                    <w:adjustRightInd w:val="0"/>
                    <w:snapToGrid w:val="0"/>
                    <w:jc w:val="center"/>
                    <w:rPr>
                      <w:color w:val="auto"/>
                      <w:szCs w:val="21"/>
                    </w:rPr>
                  </w:pPr>
                </w:p>
              </w:tc>
              <w:tc>
                <w:tcPr>
                  <w:tcW w:w="379" w:type="pct"/>
                  <w:vMerge w:val="continue"/>
                  <w:shd w:val="clear" w:color="auto" w:fill="auto"/>
                  <w:vAlign w:val="center"/>
                </w:tcPr>
                <w:p w14:paraId="0E7DD3B4">
                  <w:pPr>
                    <w:adjustRightInd w:val="0"/>
                    <w:snapToGrid w:val="0"/>
                    <w:jc w:val="center"/>
                    <w:rPr>
                      <w:color w:val="auto"/>
                      <w:kern w:val="0"/>
                      <w:szCs w:val="21"/>
                    </w:rPr>
                  </w:pPr>
                </w:p>
              </w:tc>
              <w:tc>
                <w:tcPr>
                  <w:tcW w:w="320" w:type="pct"/>
                  <w:vMerge w:val="continue"/>
                  <w:shd w:val="clear" w:color="auto" w:fill="auto"/>
                  <w:vAlign w:val="center"/>
                </w:tcPr>
                <w:p w14:paraId="503AB83A">
                  <w:pPr>
                    <w:adjustRightInd w:val="0"/>
                    <w:snapToGrid w:val="0"/>
                    <w:jc w:val="center"/>
                    <w:rPr>
                      <w:color w:val="auto"/>
                      <w:kern w:val="0"/>
                      <w:szCs w:val="21"/>
                    </w:rPr>
                  </w:pPr>
                </w:p>
              </w:tc>
              <w:tc>
                <w:tcPr>
                  <w:tcW w:w="494" w:type="pct"/>
                  <w:vMerge w:val="continue"/>
                  <w:shd w:val="clear" w:color="auto" w:fill="auto"/>
                  <w:vAlign w:val="center"/>
                </w:tcPr>
                <w:p w14:paraId="31E3488E">
                  <w:pPr>
                    <w:adjustRightInd w:val="0"/>
                    <w:snapToGrid w:val="0"/>
                    <w:jc w:val="center"/>
                    <w:rPr>
                      <w:color w:val="auto"/>
                      <w:kern w:val="0"/>
                      <w:szCs w:val="21"/>
                    </w:rPr>
                  </w:pPr>
                </w:p>
              </w:tc>
              <w:tc>
                <w:tcPr>
                  <w:tcW w:w="287" w:type="pct"/>
                  <w:vMerge w:val="continue"/>
                  <w:shd w:val="clear" w:color="auto" w:fill="auto"/>
                  <w:vAlign w:val="center"/>
                </w:tcPr>
                <w:p w14:paraId="3ED1453D">
                  <w:pPr>
                    <w:adjustRightInd w:val="0"/>
                    <w:snapToGrid w:val="0"/>
                    <w:jc w:val="center"/>
                    <w:rPr>
                      <w:color w:val="auto"/>
                      <w:kern w:val="0"/>
                      <w:szCs w:val="21"/>
                    </w:rPr>
                  </w:pPr>
                </w:p>
              </w:tc>
              <w:tc>
                <w:tcPr>
                  <w:tcW w:w="426" w:type="pct"/>
                  <w:vMerge w:val="continue"/>
                  <w:shd w:val="clear" w:color="auto" w:fill="auto"/>
                  <w:vAlign w:val="center"/>
                </w:tcPr>
                <w:p w14:paraId="172DDB11">
                  <w:pPr>
                    <w:adjustRightInd w:val="0"/>
                    <w:snapToGrid w:val="0"/>
                    <w:jc w:val="center"/>
                    <w:rPr>
                      <w:color w:val="auto"/>
                      <w:kern w:val="0"/>
                      <w:szCs w:val="21"/>
                    </w:rPr>
                  </w:pPr>
                </w:p>
              </w:tc>
              <w:tc>
                <w:tcPr>
                  <w:tcW w:w="629" w:type="pct"/>
                  <w:shd w:val="clear" w:color="auto" w:fill="auto"/>
                  <w:vAlign w:val="center"/>
                </w:tcPr>
                <w:p w14:paraId="5B895BCF">
                  <w:pPr>
                    <w:adjustRightInd w:val="0"/>
                    <w:snapToGrid w:val="0"/>
                    <w:jc w:val="center"/>
                    <w:rPr>
                      <w:color w:val="auto"/>
                      <w:kern w:val="0"/>
                      <w:szCs w:val="21"/>
                    </w:rPr>
                  </w:pPr>
                  <w:r>
                    <w:rPr>
                      <w:rFonts w:hint="eastAsia"/>
                      <w:color w:val="auto"/>
                      <w:szCs w:val="21"/>
                    </w:rPr>
                    <w:t>S</w:t>
                  </w:r>
                  <w:r>
                    <w:rPr>
                      <w:color w:val="auto"/>
                      <w:szCs w:val="21"/>
                    </w:rPr>
                    <w:t>S</w:t>
                  </w:r>
                </w:p>
              </w:tc>
              <w:tc>
                <w:tcPr>
                  <w:tcW w:w="774" w:type="pct"/>
                  <w:shd w:val="clear" w:color="auto" w:fill="auto"/>
                  <w:vAlign w:val="center"/>
                </w:tcPr>
                <w:p w14:paraId="75A0CD42">
                  <w:pPr>
                    <w:adjustRightInd w:val="0"/>
                    <w:snapToGrid w:val="0"/>
                    <w:jc w:val="center"/>
                    <w:rPr>
                      <w:color w:val="auto"/>
                      <w:kern w:val="0"/>
                      <w:szCs w:val="21"/>
                    </w:rPr>
                  </w:pPr>
                  <w:r>
                    <w:rPr>
                      <w:rFonts w:hint="eastAsia"/>
                      <w:color w:val="auto"/>
                      <w:kern w:val="0"/>
                      <w:szCs w:val="21"/>
                    </w:rPr>
                    <w:t>1</w:t>
                  </w:r>
                  <w:r>
                    <w:rPr>
                      <w:color w:val="auto"/>
                      <w:kern w:val="0"/>
                      <w:szCs w:val="21"/>
                    </w:rPr>
                    <w:t>0</w:t>
                  </w:r>
                </w:p>
              </w:tc>
            </w:tr>
            <w:tr w14:paraId="2D77C3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1" w:type="pct"/>
                  <w:vMerge w:val="continue"/>
                  <w:shd w:val="clear" w:color="auto" w:fill="auto"/>
                  <w:vAlign w:val="center"/>
                </w:tcPr>
                <w:p w14:paraId="169715A3">
                  <w:pPr>
                    <w:adjustRightInd w:val="0"/>
                    <w:snapToGrid w:val="0"/>
                    <w:jc w:val="center"/>
                    <w:rPr>
                      <w:color w:val="auto"/>
                      <w:kern w:val="0"/>
                      <w:szCs w:val="21"/>
                    </w:rPr>
                  </w:pPr>
                </w:p>
              </w:tc>
              <w:tc>
                <w:tcPr>
                  <w:tcW w:w="372" w:type="pct"/>
                  <w:vMerge w:val="continue"/>
                  <w:shd w:val="clear" w:color="auto" w:fill="auto"/>
                  <w:vAlign w:val="center"/>
                </w:tcPr>
                <w:p w14:paraId="3C400D00">
                  <w:pPr>
                    <w:adjustRightInd w:val="0"/>
                    <w:snapToGrid w:val="0"/>
                    <w:jc w:val="center"/>
                    <w:rPr>
                      <w:color w:val="auto"/>
                      <w:kern w:val="0"/>
                      <w:szCs w:val="21"/>
                    </w:rPr>
                  </w:pPr>
                </w:p>
              </w:tc>
              <w:tc>
                <w:tcPr>
                  <w:tcW w:w="517" w:type="pct"/>
                  <w:vMerge w:val="continue"/>
                  <w:shd w:val="clear" w:color="auto" w:fill="auto"/>
                  <w:vAlign w:val="center"/>
                </w:tcPr>
                <w:p w14:paraId="20360944">
                  <w:pPr>
                    <w:adjustRightInd w:val="0"/>
                    <w:snapToGrid w:val="0"/>
                    <w:jc w:val="center"/>
                    <w:rPr>
                      <w:color w:val="auto"/>
                      <w:szCs w:val="21"/>
                    </w:rPr>
                  </w:pPr>
                </w:p>
              </w:tc>
              <w:tc>
                <w:tcPr>
                  <w:tcW w:w="476" w:type="pct"/>
                  <w:vMerge w:val="continue"/>
                  <w:shd w:val="clear" w:color="auto" w:fill="auto"/>
                  <w:vAlign w:val="center"/>
                </w:tcPr>
                <w:p w14:paraId="365D0622">
                  <w:pPr>
                    <w:adjustRightInd w:val="0"/>
                    <w:snapToGrid w:val="0"/>
                    <w:jc w:val="center"/>
                    <w:rPr>
                      <w:color w:val="auto"/>
                      <w:szCs w:val="21"/>
                    </w:rPr>
                  </w:pPr>
                </w:p>
              </w:tc>
              <w:tc>
                <w:tcPr>
                  <w:tcW w:w="379" w:type="pct"/>
                  <w:vMerge w:val="continue"/>
                  <w:shd w:val="clear" w:color="auto" w:fill="auto"/>
                  <w:vAlign w:val="center"/>
                </w:tcPr>
                <w:p w14:paraId="5BBC1972">
                  <w:pPr>
                    <w:adjustRightInd w:val="0"/>
                    <w:snapToGrid w:val="0"/>
                    <w:jc w:val="center"/>
                    <w:rPr>
                      <w:color w:val="auto"/>
                      <w:kern w:val="0"/>
                      <w:szCs w:val="21"/>
                    </w:rPr>
                  </w:pPr>
                </w:p>
              </w:tc>
              <w:tc>
                <w:tcPr>
                  <w:tcW w:w="320" w:type="pct"/>
                  <w:vMerge w:val="continue"/>
                  <w:shd w:val="clear" w:color="auto" w:fill="auto"/>
                  <w:vAlign w:val="center"/>
                </w:tcPr>
                <w:p w14:paraId="4CA9AE76">
                  <w:pPr>
                    <w:adjustRightInd w:val="0"/>
                    <w:snapToGrid w:val="0"/>
                    <w:jc w:val="center"/>
                    <w:rPr>
                      <w:color w:val="auto"/>
                      <w:kern w:val="0"/>
                      <w:szCs w:val="21"/>
                    </w:rPr>
                  </w:pPr>
                </w:p>
              </w:tc>
              <w:tc>
                <w:tcPr>
                  <w:tcW w:w="494" w:type="pct"/>
                  <w:vMerge w:val="continue"/>
                  <w:shd w:val="clear" w:color="auto" w:fill="auto"/>
                  <w:vAlign w:val="center"/>
                </w:tcPr>
                <w:p w14:paraId="15BA8E15">
                  <w:pPr>
                    <w:adjustRightInd w:val="0"/>
                    <w:snapToGrid w:val="0"/>
                    <w:jc w:val="center"/>
                    <w:rPr>
                      <w:color w:val="auto"/>
                      <w:kern w:val="0"/>
                      <w:szCs w:val="21"/>
                    </w:rPr>
                  </w:pPr>
                </w:p>
              </w:tc>
              <w:tc>
                <w:tcPr>
                  <w:tcW w:w="287" w:type="pct"/>
                  <w:vMerge w:val="continue"/>
                  <w:shd w:val="clear" w:color="auto" w:fill="auto"/>
                  <w:vAlign w:val="center"/>
                </w:tcPr>
                <w:p w14:paraId="533837E4">
                  <w:pPr>
                    <w:adjustRightInd w:val="0"/>
                    <w:snapToGrid w:val="0"/>
                    <w:jc w:val="center"/>
                    <w:rPr>
                      <w:color w:val="auto"/>
                      <w:kern w:val="0"/>
                      <w:szCs w:val="21"/>
                    </w:rPr>
                  </w:pPr>
                </w:p>
              </w:tc>
              <w:tc>
                <w:tcPr>
                  <w:tcW w:w="426" w:type="pct"/>
                  <w:vMerge w:val="continue"/>
                  <w:shd w:val="clear" w:color="auto" w:fill="auto"/>
                  <w:vAlign w:val="center"/>
                </w:tcPr>
                <w:p w14:paraId="5BB7D82E">
                  <w:pPr>
                    <w:adjustRightInd w:val="0"/>
                    <w:snapToGrid w:val="0"/>
                    <w:jc w:val="center"/>
                    <w:rPr>
                      <w:color w:val="auto"/>
                      <w:kern w:val="0"/>
                      <w:szCs w:val="21"/>
                    </w:rPr>
                  </w:pPr>
                </w:p>
              </w:tc>
              <w:tc>
                <w:tcPr>
                  <w:tcW w:w="629" w:type="pct"/>
                  <w:shd w:val="clear" w:color="auto" w:fill="auto"/>
                  <w:vAlign w:val="center"/>
                </w:tcPr>
                <w:p w14:paraId="7A69FCD7">
                  <w:pPr>
                    <w:adjustRightInd w:val="0"/>
                    <w:snapToGrid w:val="0"/>
                    <w:jc w:val="center"/>
                    <w:rPr>
                      <w:color w:val="auto"/>
                      <w:kern w:val="0"/>
                      <w:szCs w:val="21"/>
                    </w:rPr>
                  </w:pPr>
                  <w:r>
                    <w:rPr>
                      <w:color w:val="auto"/>
                      <w:szCs w:val="21"/>
                    </w:rPr>
                    <w:t>氨氮</w:t>
                  </w:r>
                </w:p>
              </w:tc>
              <w:tc>
                <w:tcPr>
                  <w:tcW w:w="774" w:type="pct"/>
                  <w:shd w:val="clear" w:color="auto" w:fill="auto"/>
                  <w:vAlign w:val="center"/>
                </w:tcPr>
                <w:p w14:paraId="4CED6CE5">
                  <w:pPr>
                    <w:adjustRightInd w:val="0"/>
                    <w:snapToGrid w:val="0"/>
                    <w:jc w:val="center"/>
                    <w:rPr>
                      <w:color w:val="auto"/>
                      <w:kern w:val="0"/>
                      <w:szCs w:val="21"/>
                    </w:rPr>
                  </w:pPr>
                  <w:r>
                    <w:rPr>
                      <w:rFonts w:hint="eastAsia"/>
                      <w:color w:val="auto"/>
                      <w:kern w:val="0"/>
                      <w:szCs w:val="21"/>
                    </w:rPr>
                    <w:t>5</w:t>
                  </w:r>
                </w:p>
              </w:tc>
            </w:tr>
            <w:tr w14:paraId="6C85D2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1" w:type="pct"/>
                  <w:vMerge w:val="continue"/>
                  <w:shd w:val="clear" w:color="auto" w:fill="auto"/>
                  <w:vAlign w:val="center"/>
                </w:tcPr>
                <w:p w14:paraId="68C80671">
                  <w:pPr>
                    <w:adjustRightInd w:val="0"/>
                    <w:snapToGrid w:val="0"/>
                    <w:jc w:val="center"/>
                    <w:rPr>
                      <w:color w:val="auto"/>
                      <w:kern w:val="0"/>
                      <w:szCs w:val="21"/>
                    </w:rPr>
                  </w:pPr>
                </w:p>
              </w:tc>
              <w:tc>
                <w:tcPr>
                  <w:tcW w:w="372" w:type="pct"/>
                  <w:vMerge w:val="continue"/>
                  <w:shd w:val="clear" w:color="auto" w:fill="auto"/>
                  <w:vAlign w:val="center"/>
                </w:tcPr>
                <w:p w14:paraId="303345F7">
                  <w:pPr>
                    <w:adjustRightInd w:val="0"/>
                    <w:snapToGrid w:val="0"/>
                    <w:jc w:val="center"/>
                    <w:rPr>
                      <w:color w:val="auto"/>
                      <w:kern w:val="0"/>
                      <w:szCs w:val="21"/>
                    </w:rPr>
                  </w:pPr>
                </w:p>
              </w:tc>
              <w:tc>
                <w:tcPr>
                  <w:tcW w:w="517" w:type="pct"/>
                  <w:vMerge w:val="continue"/>
                  <w:shd w:val="clear" w:color="auto" w:fill="auto"/>
                  <w:vAlign w:val="center"/>
                </w:tcPr>
                <w:p w14:paraId="31BB62CB">
                  <w:pPr>
                    <w:adjustRightInd w:val="0"/>
                    <w:snapToGrid w:val="0"/>
                    <w:jc w:val="center"/>
                    <w:rPr>
                      <w:color w:val="auto"/>
                      <w:szCs w:val="21"/>
                    </w:rPr>
                  </w:pPr>
                </w:p>
              </w:tc>
              <w:tc>
                <w:tcPr>
                  <w:tcW w:w="476" w:type="pct"/>
                  <w:vMerge w:val="continue"/>
                  <w:shd w:val="clear" w:color="auto" w:fill="auto"/>
                  <w:vAlign w:val="center"/>
                </w:tcPr>
                <w:p w14:paraId="20409434">
                  <w:pPr>
                    <w:adjustRightInd w:val="0"/>
                    <w:snapToGrid w:val="0"/>
                    <w:jc w:val="center"/>
                    <w:rPr>
                      <w:color w:val="auto"/>
                      <w:szCs w:val="21"/>
                    </w:rPr>
                  </w:pPr>
                </w:p>
              </w:tc>
              <w:tc>
                <w:tcPr>
                  <w:tcW w:w="379" w:type="pct"/>
                  <w:vMerge w:val="continue"/>
                  <w:shd w:val="clear" w:color="auto" w:fill="auto"/>
                  <w:vAlign w:val="center"/>
                </w:tcPr>
                <w:p w14:paraId="433C3871">
                  <w:pPr>
                    <w:adjustRightInd w:val="0"/>
                    <w:snapToGrid w:val="0"/>
                    <w:jc w:val="center"/>
                    <w:rPr>
                      <w:color w:val="auto"/>
                      <w:kern w:val="0"/>
                      <w:szCs w:val="21"/>
                    </w:rPr>
                  </w:pPr>
                </w:p>
              </w:tc>
              <w:tc>
                <w:tcPr>
                  <w:tcW w:w="320" w:type="pct"/>
                  <w:vMerge w:val="continue"/>
                  <w:shd w:val="clear" w:color="auto" w:fill="auto"/>
                  <w:vAlign w:val="center"/>
                </w:tcPr>
                <w:p w14:paraId="0545C38F">
                  <w:pPr>
                    <w:adjustRightInd w:val="0"/>
                    <w:snapToGrid w:val="0"/>
                    <w:jc w:val="center"/>
                    <w:rPr>
                      <w:color w:val="auto"/>
                      <w:kern w:val="0"/>
                      <w:szCs w:val="21"/>
                    </w:rPr>
                  </w:pPr>
                </w:p>
              </w:tc>
              <w:tc>
                <w:tcPr>
                  <w:tcW w:w="494" w:type="pct"/>
                  <w:vMerge w:val="continue"/>
                  <w:shd w:val="clear" w:color="auto" w:fill="auto"/>
                  <w:vAlign w:val="center"/>
                </w:tcPr>
                <w:p w14:paraId="3525249C">
                  <w:pPr>
                    <w:adjustRightInd w:val="0"/>
                    <w:snapToGrid w:val="0"/>
                    <w:jc w:val="center"/>
                    <w:rPr>
                      <w:color w:val="auto"/>
                      <w:kern w:val="0"/>
                      <w:szCs w:val="21"/>
                    </w:rPr>
                  </w:pPr>
                </w:p>
              </w:tc>
              <w:tc>
                <w:tcPr>
                  <w:tcW w:w="287" w:type="pct"/>
                  <w:vMerge w:val="continue"/>
                  <w:shd w:val="clear" w:color="auto" w:fill="auto"/>
                  <w:vAlign w:val="center"/>
                </w:tcPr>
                <w:p w14:paraId="44D1A798">
                  <w:pPr>
                    <w:adjustRightInd w:val="0"/>
                    <w:snapToGrid w:val="0"/>
                    <w:jc w:val="center"/>
                    <w:rPr>
                      <w:color w:val="auto"/>
                      <w:kern w:val="0"/>
                      <w:szCs w:val="21"/>
                    </w:rPr>
                  </w:pPr>
                </w:p>
              </w:tc>
              <w:tc>
                <w:tcPr>
                  <w:tcW w:w="426" w:type="pct"/>
                  <w:vMerge w:val="continue"/>
                  <w:shd w:val="clear" w:color="auto" w:fill="auto"/>
                  <w:vAlign w:val="center"/>
                </w:tcPr>
                <w:p w14:paraId="3204C519">
                  <w:pPr>
                    <w:adjustRightInd w:val="0"/>
                    <w:snapToGrid w:val="0"/>
                    <w:jc w:val="center"/>
                    <w:rPr>
                      <w:color w:val="auto"/>
                      <w:kern w:val="0"/>
                      <w:szCs w:val="21"/>
                    </w:rPr>
                  </w:pPr>
                </w:p>
              </w:tc>
              <w:tc>
                <w:tcPr>
                  <w:tcW w:w="629" w:type="pct"/>
                  <w:shd w:val="clear" w:color="auto" w:fill="auto"/>
                  <w:vAlign w:val="center"/>
                </w:tcPr>
                <w:p w14:paraId="76F01AE6">
                  <w:pPr>
                    <w:adjustRightInd w:val="0"/>
                    <w:snapToGrid w:val="0"/>
                    <w:jc w:val="center"/>
                    <w:rPr>
                      <w:color w:val="auto"/>
                      <w:kern w:val="0"/>
                      <w:szCs w:val="21"/>
                    </w:rPr>
                  </w:pPr>
                  <w:r>
                    <w:rPr>
                      <w:color w:val="auto"/>
                      <w:szCs w:val="21"/>
                    </w:rPr>
                    <w:t>总氮</w:t>
                  </w:r>
                </w:p>
              </w:tc>
              <w:tc>
                <w:tcPr>
                  <w:tcW w:w="774" w:type="pct"/>
                  <w:shd w:val="clear" w:color="auto" w:fill="auto"/>
                  <w:vAlign w:val="center"/>
                </w:tcPr>
                <w:p w14:paraId="65AF0119">
                  <w:pPr>
                    <w:adjustRightInd w:val="0"/>
                    <w:snapToGrid w:val="0"/>
                    <w:jc w:val="center"/>
                    <w:rPr>
                      <w:color w:val="auto"/>
                      <w:kern w:val="0"/>
                      <w:szCs w:val="21"/>
                    </w:rPr>
                  </w:pPr>
                  <w:r>
                    <w:rPr>
                      <w:rFonts w:hint="eastAsia"/>
                      <w:color w:val="auto"/>
                      <w:kern w:val="0"/>
                      <w:szCs w:val="21"/>
                    </w:rPr>
                    <w:t>15</w:t>
                  </w:r>
                </w:p>
              </w:tc>
            </w:tr>
            <w:tr w14:paraId="67BC4C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1" w:type="pct"/>
                  <w:vMerge w:val="continue"/>
                  <w:shd w:val="clear" w:color="auto" w:fill="auto"/>
                  <w:vAlign w:val="center"/>
                </w:tcPr>
                <w:p w14:paraId="3A7D905C">
                  <w:pPr>
                    <w:adjustRightInd w:val="0"/>
                    <w:snapToGrid w:val="0"/>
                    <w:jc w:val="center"/>
                    <w:rPr>
                      <w:color w:val="auto"/>
                      <w:kern w:val="0"/>
                      <w:szCs w:val="21"/>
                    </w:rPr>
                  </w:pPr>
                </w:p>
              </w:tc>
              <w:tc>
                <w:tcPr>
                  <w:tcW w:w="372" w:type="pct"/>
                  <w:vMerge w:val="continue"/>
                  <w:shd w:val="clear" w:color="auto" w:fill="auto"/>
                  <w:vAlign w:val="center"/>
                </w:tcPr>
                <w:p w14:paraId="42E10A9E">
                  <w:pPr>
                    <w:adjustRightInd w:val="0"/>
                    <w:snapToGrid w:val="0"/>
                    <w:jc w:val="center"/>
                    <w:rPr>
                      <w:color w:val="auto"/>
                      <w:kern w:val="0"/>
                      <w:szCs w:val="21"/>
                    </w:rPr>
                  </w:pPr>
                </w:p>
              </w:tc>
              <w:tc>
                <w:tcPr>
                  <w:tcW w:w="517" w:type="pct"/>
                  <w:vMerge w:val="continue"/>
                  <w:shd w:val="clear" w:color="auto" w:fill="auto"/>
                  <w:vAlign w:val="center"/>
                </w:tcPr>
                <w:p w14:paraId="48B7B042">
                  <w:pPr>
                    <w:adjustRightInd w:val="0"/>
                    <w:snapToGrid w:val="0"/>
                    <w:jc w:val="center"/>
                    <w:rPr>
                      <w:color w:val="auto"/>
                      <w:szCs w:val="21"/>
                    </w:rPr>
                  </w:pPr>
                </w:p>
              </w:tc>
              <w:tc>
                <w:tcPr>
                  <w:tcW w:w="476" w:type="pct"/>
                  <w:vMerge w:val="continue"/>
                  <w:shd w:val="clear" w:color="auto" w:fill="auto"/>
                  <w:vAlign w:val="center"/>
                </w:tcPr>
                <w:p w14:paraId="52B46204">
                  <w:pPr>
                    <w:adjustRightInd w:val="0"/>
                    <w:snapToGrid w:val="0"/>
                    <w:jc w:val="center"/>
                    <w:rPr>
                      <w:color w:val="auto"/>
                      <w:szCs w:val="21"/>
                    </w:rPr>
                  </w:pPr>
                </w:p>
              </w:tc>
              <w:tc>
                <w:tcPr>
                  <w:tcW w:w="379" w:type="pct"/>
                  <w:vMerge w:val="continue"/>
                  <w:shd w:val="clear" w:color="auto" w:fill="auto"/>
                  <w:vAlign w:val="center"/>
                </w:tcPr>
                <w:p w14:paraId="5F36B935">
                  <w:pPr>
                    <w:adjustRightInd w:val="0"/>
                    <w:snapToGrid w:val="0"/>
                    <w:jc w:val="center"/>
                    <w:rPr>
                      <w:color w:val="auto"/>
                      <w:kern w:val="0"/>
                      <w:szCs w:val="21"/>
                    </w:rPr>
                  </w:pPr>
                </w:p>
              </w:tc>
              <w:tc>
                <w:tcPr>
                  <w:tcW w:w="320" w:type="pct"/>
                  <w:vMerge w:val="continue"/>
                  <w:shd w:val="clear" w:color="auto" w:fill="auto"/>
                  <w:vAlign w:val="center"/>
                </w:tcPr>
                <w:p w14:paraId="707B68FB">
                  <w:pPr>
                    <w:adjustRightInd w:val="0"/>
                    <w:snapToGrid w:val="0"/>
                    <w:jc w:val="center"/>
                    <w:rPr>
                      <w:color w:val="auto"/>
                      <w:kern w:val="0"/>
                      <w:szCs w:val="21"/>
                    </w:rPr>
                  </w:pPr>
                </w:p>
              </w:tc>
              <w:tc>
                <w:tcPr>
                  <w:tcW w:w="494" w:type="pct"/>
                  <w:vMerge w:val="continue"/>
                  <w:shd w:val="clear" w:color="auto" w:fill="auto"/>
                  <w:vAlign w:val="center"/>
                </w:tcPr>
                <w:p w14:paraId="08CD6E98">
                  <w:pPr>
                    <w:adjustRightInd w:val="0"/>
                    <w:snapToGrid w:val="0"/>
                    <w:jc w:val="center"/>
                    <w:rPr>
                      <w:color w:val="auto"/>
                      <w:kern w:val="0"/>
                      <w:szCs w:val="21"/>
                    </w:rPr>
                  </w:pPr>
                </w:p>
              </w:tc>
              <w:tc>
                <w:tcPr>
                  <w:tcW w:w="287" w:type="pct"/>
                  <w:vMerge w:val="continue"/>
                  <w:shd w:val="clear" w:color="auto" w:fill="auto"/>
                  <w:vAlign w:val="center"/>
                </w:tcPr>
                <w:p w14:paraId="109CD753">
                  <w:pPr>
                    <w:adjustRightInd w:val="0"/>
                    <w:snapToGrid w:val="0"/>
                    <w:jc w:val="center"/>
                    <w:rPr>
                      <w:color w:val="auto"/>
                      <w:kern w:val="0"/>
                      <w:szCs w:val="21"/>
                    </w:rPr>
                  </w:pPr>
                </w:p>
              </w:tc>
              <w:tc>
                <w:tcPr>
                  <w:tcW w:w="426" w:type="pct"/>
                  <w:vMerge w:val="continue"/>
                  <w:shd w:val="clear" w:color="auto" w:fill="auto"/>
                  <w:vAlign w:val="center"/>
                </w:tcPr>
                <w:p w14:paraId="06F2BBC9">
                  <w:pPr>
                    <w:adjustRightInd w:val="0"/>
                    <w:snapToGrid w:val="0"/>
                    <w:jc w:val="center"/>
                    <w:rPr>
                      <w:color w:val="auto"/>
                      <w:kern w:val="0"/>
                      <w:szCs w:val="21"/>
                    </w:rPr>
                  </w:pPr>
                </w:p>
              </w:tc>
              <w:tc>
                <w:tcPr>
                  <w:tcW w:w="629" w:type="pct"/>
                  <w:shd w:val="clear" w:color="auto" w:fill="auto"/>
                  <w:vAlign w:val="center"/>
                </w:tcPr>
                <w:p w14:paraId="076CAC4E">
                  <w:pPr>
                    <w:adjustRightInd w:val="0"/>
                    <w:snapToGrid w:val="0"/>
                    <w:jc w:val="center"/>
                    <w:rPr>
                      <w:color w:val="auto"/>
                      <w:kern w:val="0"/>
                      <w:szCs w:val="21"/>
                    </w:rPr>
                  </w:pPr>
                  <w:r>
                    <w:rPr>
                      <w:color w:val="auto"/>
                      <w:szCs w:val="21"/>
                    </w:rPr>
                    <w:t>总磷</w:t>
                  </w:r>
                </w:p>
              </w:tc>
              <w:tc>
                <w:tcPr>
                  <w:tcW w:w="774" w:type="pct"/>
                  <w:shd w:val="clear" w:color="auto" w:fill="auto"/>
                  <w:vAlign w:val="center"/>
                </w:tcPr>
                <w:p w14:paraId="77B588C4">
                  <w:pPr>
                    <w:adjustRightInd w:val="0"/>
                    <w:snapToGrid w:val="0"/>
                    <w:jc w:val="center"/>
                    <w:rPr>
                      <w:color w:val="auto"/>
                      <w:kern w:val="0"/>
                      <w:szCs w:val="21"/>
                    </w:rPr>
                  </w:pPr>
                  <w:r>
                    <w:rPr>
                      <w:rFonts w:hint="eastAsia"/>
                      <w:color w:val="auto"/>
                      <w:kern w:val="0"/>
                      <w:szCs w:val="21"/>
                    </w:rPr>
                    <w:t>0</w:t>
                  </w:r>
                  <w:r>
                    <w:rPr>
                      <w:color w:val="auto"/>
                      <w:kern w:val="0"/>
                      <w:szCs w:val="21"/>
                    </w:rPr>
                    <w:t>.5</w:t>
                  </w:r>
                </w:p>
              </w:tc>
            </w:tr>
            <w:tr w14:paraId="7566F4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1" w:type="pct"/>
                  <w:vMerge w:val="continue"/>
                  <w:shd w:val="clear" w:color="auto" w:fill="auto"/>
                  <w:vAlign w:val="center"/>
                </w:tcPr>
                <w:p w14:paraId="19012A32">
                  <w:pPr>
                    <w:adjustRightInd w:val="0"/>
                    <w:snapToGrid w:val="0"/>
                    <w:jc w:val="center"/>
                    <w:rPr>
                      <w:color w:val="auto"/>
                      <w:kern w:val="0"/>
                      <w:szCs w:val="21"/>
                    </w:rPr>
                  </w:pPr>
                </w:p>
              </w:tc>
              <w:tc>
                <w:tcPr>
                  <w:tcW w:w="372" w:type="pct"/>
                  <w:vMerge w:val="continue"/>
                  <w:shd w:val="clear" w:color="auto" w:fill="auto"/>
                  <w:vAlign w:val="center"/>
                </w:tcPr>
                <w:p w14:paraId="3494B31F">
                  <w:pPr>
                    <w:adjustRightInd w:val="0"/>
                    <w:snapToGrid w:val="0"/>
                    <w:jc w:val="center"/>
                    <w:rPr>
                      <w:color w:val="auto"/>
                      <w:kern w:val="0"/>
                      <w:szCs w:val="21"/>
                    </w:rPr>
                  </w:pPr>
                </w:p>
              </w:tc>
              <w:tc>
                <w:tcPr>
                  <w:tcW w:w="517" w:type="pct"/>
                  <w:vMerge w:val="continue"/>
                  <w:shd w:val="clear" w:color="auto" w:fill="auto"/>
                  <w:vAlign w:val="center"/>
                </w:tcPr>
                <w:p w14:paraId="0DE48EFA">
                  <w:pPr>
                    <w:adjustRightInd w:val="0"/>
                    <w:snapToGrid w:val="0"/>
                    <w:jc w:val="center"/>
                    <w:rPr>
                      <w:color w:val="auto"/>
                      <w:szCs w:val="21"/>
                    </w:rPr>
                  </w:pPr>
                </w:p>
              </w:tc>
              <w:tc>
                <w:tcPr>
                  <w:tcW w:w="476" w:type="pct"/>
                  <w:vMerge w:val="continue"/>
                  <w:shd w:val="clear" w:color="auto" w:fill="auto"/>
                  <w:vAlign w:val="center"/>
                </w:tcPr>
                <w:p w14:paraId="0D619F30">
                  <w:pPr>
                    <w:adjustRightInd w:val="0"/>
                    <w:snapToGrid w:val="0"/>
                    <w:jc w:val="center"/>
                    <w:rPr>
                      <w:color w:val="auto"/>
                      <w:szCs w:val="21"/>
                    </w:rPr>
                  </w:pPr>
                </w:p>
              </w:tc>
              <w:tc>
                <w:tcPr>
                  <w:tcW w:w="379" w:type="pct"/>
                  <w:vMerge w:val="continue"/>
                  <w:shd w:val="clear" w:color="auto" w:fill="auto"/>
                  <w:vAlign w:val="center"/>
                </w:tcPr>
                <w:p w14:paraId="7ABED473">
                  <w:pPr>
                    <w:adjustRightInd w:val="0"/>
                    <w:snapToGrid w:val="0"/>
                    <w:jc w:val="center"/>
                    <w:rPr>
                      <w:color w:val="auto"/>
                      <w:kern w:val="0"/>
                      <w:szCs w:val="21"/>
                    </w:rPr>
                  </w:pPr>
                </w:p>
              </w:tc>
              <w:tc>
                <w:tcPr>
                  <w:tcW w:w="320" w:type="pct"/>
                  <w:vMerge w:val="continue"/>
                  <w:shd w:val="clear" w:color="auto" w:fill="auto"/>
                  <w:vAlign w:val="center"/>
                </w:tcPr>
                <w:p w14:paraId="654B750C">
                  <w:pPr>
                    <w:adjustRightInd w:val="0"/>
                    <w:snapToGrid w:val="0"/>
                    <w:jc w:val="center"/>
                    <w:rPr>
                      <w:color w:val="auto"/>
                      <w:kern w:val="0"/>
                      <w:szCs w:val="21"/>
                    </w:rPr>
                  </w:pPr>
                </w:p>
              </w:tc>
              <w:tc>
                <w:tcPr>
                  <w:tcW w:w="494" w:type="pct"/>
                  <w:vMerge w:val="continue"/>
                  <w:shd w:val="clear" w:color="auto" w:fill="auto"/>
                  <w:vAlign w:val="center"/>
                </w:tcPr>
                <w:p w14:paraId="3C177678">
                  <w:pPr>
                    <w:adjustRightInd w:val="0"/>
                    <w:snapToGrid w:val="0"/>
                    <w:jc w:val="center"/>
                    <w:rPr>
                      <w:color w:val="auto"/>
                      <w:kern w:val="0"/>
                      <w:szCs w:val="21"/>
                    </w:rPr>
                  </w:pPr>
                </w:p>
              </w:tc>
              <w:tc>
                <w:tcPr>
                  <w:tcW w:w="287" w:type="pct"/>
                  <w:vMerge w:val="continue"/>
                  <w:shd w:val="clear" w:color="auto" w:fill="auto"/>
                  <w:vAlign w:val="center"/>
                </w:tcPr>
                <w:p w14:paraId="43128B4C">
                  <w:pPr>
                    <w:adjustRightInd w:val="0"/>
                    <w:snapToGrid w:val="0"/>
                    <w:jc w:val="center"/>
                    <w:rPr>
                      <w:color w:val="auto"/>
                      <w:kern w:val="0"/>
                      <w:szCs w:val="21"/>
                    </w:rPr>
                  </w:pPr>
                </w:p>
              </w:tc>
              <w:tc>
                <w:tcPr>
                  <w:tcW w:w="426" w:type="pct"/>
                  <w:vMerge w:val="continue"/>
                  <w:shd w:val="clear" w:color="auto" w:fill="auto"/>
                  <w:vAlign w:val="center"/>
                </w:tcPr>
                <w:p w14:paraId="3CDCCA2C">
                  <w:pPr>
                    <w:adjustRightInd w:val="0"/>
                    <w:snapToGrid w:val="0"/>
                    <w:jc w:val="center"/>
                    <w:rPr>
                      <w:color w:val="auto"/>
                      <w:kern w:val="0"/>
                      <w:szCs w:val="21"/>
                    </w:rPr>
                  </w:pPr>
                </w:p>
              </w:tc>
              <w:tc>
                <w:tcPr>
                  <w:tcW w:w="629" w:type="pct"/>
                  <w:shd w:val="clear" w:color="auto" w:fill="auto"/>
                  <w:vAlign w:val="center"/>
                </w:tcPr>
                <w:p w14:paraId="66473FE3">
                  <w:pPr>
                    <w:adjustRightInd w:val="0"/>
                    <w:snapToGrid w:val="0"/>
                    <w:jc w:val="center"/>
                    <w:rPr>
                      <w:color w:val="auto"/>
                      <w:kern w:val="0"/>
                      <w:szCs w:val="21"/>
                    </w:rPr>
                  </w:pPr>
                  <w:r>
                    <w:rPr>
                      <w:color w:val="auto"/>
                      <w:szCs w:val="21"/>
                    </w:rPr>
                    <w:t>动植物油</w:t>
                  </w:r>
                </w:p>
              </w:tc>
              <w:tc>
                <w:tcPr>
                  <w:tcW w:w="774" w:type="pct"/>
                  <w:shd w:val="clear" w:color="auto" w:fill="auto"/>
                  <w:vAlign w:val="center"/>
                </w:tcPr>
                <w:p w14:paraId="52638CD0">
                  <w:pPr>
                    <w:adjustRightInd w:val="0"/>
                    <w:snapToGrid w:val="0"/>
                    <w:jc w:val="center"/>
                    <w:rPr>
                      <w:color w:val="auto"/>
                      <w:kern w:val="0"/>
                      <w:szCs w:val="21"/>
                    </w:rPr>
                  </w:pPr>
                  <w:r>
                    <w:rPr>
                      <w:rFonts w:hint="eastAsia"/>
                      <w:color w:val="auto"/>
                      <w:kern w:val="0"/>
                      <w:szCs w:val="21"/>
                    </w:rPr>
                    <w:t>1</w:t>
                  </w:r>
                </w:p>
              </w:tc>
            </w:tr>
            <w:tr w14:paraId="2FB599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1" w:type="pct"/>
                  <w:vMerge w:val="continue"/>
                  <w:shd w:val="clear" w:color="auto" w:fill="auto"/>
                  <w:vAlign w:val="center"/>
                </w:tcPr>
                <w:p w14:paraId="66C0D210">
                  <w:pPr>
                    <w:adjustRightInd w:val="0"/>
                    <w:snapToGrid w:val="0"/>
                    <w:jc w:val="center"/>
                    <w:rPr>
                      <w:color w:val="auto"/>
                      <w:kern w:val="0"/>
                      <w:szCs w:val="21"/>
                    </w:rPr>
                  </w:pPr>
                </w:p>
              </w:tc>
              <w:tc>
                <w:tcPr>
                  <w:tcW w:w="372" w:type="pct"/>
                  <w:vMerge w:val="continue"/>
                  <w:shd w:val="clear" w:color="auto" w:fill="auto"/>
                  <w:vAlign w:val="center"/>
                </w:tcPr>
                <w:p w14:paraId="423712A5">
                  <w:pPr>
                    <w:adjustRightInd w:val="0"/>
                    <w:snapToGrid w:val="0"/>
                    <w:jc w:val="center"/>
                    <w:rPr>
                      <w:color w:val="auto"/>
                      <w:kern w:val="0"/>
                      <w:szCs w:val="21"/>
                    </w:rPr>
                  </w:pPr>
                </w:p>
              </w:tc>
              <w:tc>
                <w:tcPr>
                  <w:tcW w:w="517" w:type="pct"/>
                  <w:vMerge w:val="continue"/>
                  <w:shd w:val="clear" w:color="auto" w:fill="auto"/>
                  <w:vAlign w:val="center"/>
                </w:tcPr>
                <w:p w14:paraId="6ED6DE80">
                  <w:pPr>
                    <w:adjustRightInd w:val="0"/>
                    <w:snapToGrid w:val="0"/>
                    <w:jc w:val="center"/>
                    <w:rPr>
                      <w:color w:val="auto"/>
                      <w:szCs w:val="21"/>
                    </w:rPr>
                  </w:pPr>
                </w:p>
              </w:tc>
              <w:tc>
                <w:tcPr>
                  <w:tcW w:w="476" w:type="pct"/>
                  <w:vMerge w:val="continue"/>
                  <w:shd w:val="clear" w:color="auto" w:fill="auto"/>
                  <w:vAlign w:val="center"/>
                </w:tcPr>
                <w:p w14:paraId="4F7DE194">
                  <w:pPr>
                    <w:adjustRightInd w:val="0"/>
                    <w:snapToGrid w:val="0"/>
                    <w:jc w:val="center"/>
                    <w:rPr>
                      <w:color w:val="auto"/>
                      <w:szCs w:val="21"/>
                    </w:rPr>
                  </w:pPr>
                </w:p>
              </w:tc>
              <w:tc>
                <w:tcPr>
                  <w:tcW w:w="379" w:type="pct"/>
                  <w:vMerge w:val="continue"/>
                  <w:shd w:val="clear" w:color="auto" w:fill="auto"/>
                  <w:vAlign w:val="center"/>
                </w:tcPr>
                <w:p w14:paraId="00858F7E">
                  <w:pPr>
                    <w:adjustRightInd w:val="0"/>
                    <w:snapToGrid w:val="0"/>
                    <w:jc w:val="center"/>
                    <w:rPr>
                      <w:color w:val="auto"/>
                      <w:kern w:val="0"/>
                      <w:szCs w:val="21"/>
                    </w:rPr>
                  </w:pPr>
                </w:p>
              </w:tc>
              <w:tc>
                <w:tcPr>
                  <w:tcW w:w="320" w:type="pct"/>
                  <w:vMerge w:val="continue"/>
                  <w:shd w:val="clear" w:color="auto" w:fill="auto"/>
                  <w:vAlign w:val="center"/>
                </w:tcPr>
                <w:p w14:paraId="4D0E3ECF">
                  <w:pPr>
                    <w:adjustRightInd w:val="0"/>
                    <w:snapToGrid w:val="0"/>
                    <w:jc w:val="center"/>
                    <w:rPr>
                      <w:color w:val="auto"/>
                      <w:kern w:val="0"/>
                      <w:szCs w:val="21"/>
                    </w:rPr>
                  </w:pPr>
                </w:p>
              </w:tc>
              <w:tc>
                <w:tcPr>
                  <w:tcW w:w="494" w:type="pct"/>
                  <w:vMerge w:val="continue"/>
                  <w:shd w:val="clear" w:color="auto" w:fill="auto"/>
                  <w:vAlign w:val="center"/>
                </w:tcPr>
                <w:p w14:paraId="07627560">
                  <w:pPr>
                    <w:adjustRightInd w:val="0"/>
                    <w:snapToGrid w:val="0"/>
                    <w:jc w:val="center"/>
                    <w:rPr>
                      <w:color w:val="auto"/>
                      <w:kern w:val="0"/>
                      <w:szCs w:val="21"/>
                    </w:rPr>
                  </w:pPr>
                </w:p>
              </w:tc>
              <w:tc>
                <w:tcPr>
                  <w:tcW w:w="287" w:type="pct"/>
                  <w:vMerge w:val="continue"/>
                  <w:shd w:val="clear" w:color="auto" w:fill="auto"/>
                  <w:vAlign w:val="center"/>
                </w:tcPr>
                <w:p w14:paraId="21953978">
                  <w:pPr>
                    <w:adjustRightInd w:val="0"/>
                    <w:snapToGrid w:val="0"/>
                    <w:jc w:val="center"/>
                    <w:rPr>
                      <w:color w:val="auto"/>
                      <w:kern w:val="0"/>
                      <w:szCs w:val="21"/>
                    </w:rPr>
                  </w:pPr>
                </w:p>
              </w:tc>
              <w:tc>
                <w:tcPr>
                  <w:tcW w:w="426" w:type="pct"/>
                  <w:vMerge w:val="continue"/>
                  <w:shd w:val="clear" w:color="auto" w:fill="auto"/>
                  <w:vAlign w:val="center"/>
                </w:tcPr>
                <w:p w14:paraId="3AF35741">
                  <w:pPr>
                    <w:adjustRightInd w:val="0"/>
                    <w:snapToGrid w:val="0"/>
                    <w:jc w:val="center"/>
                    <w:rPr>
                      <w:color w:val="auto"/>
                      <w:kern w:val="0"/>
                      <w:szCs w:val="21"/>
                    </w:rPr>
                  </w:pPr>
                </w:p>
              </w:tc>
              <w:tc>
                <w:tcPr>
                  <w:tcW w:w="629" w:type="pct"/>
                  <w:shd w:val="clear" w:color="auto" w:fill="auto"/>
                  <w:vAlign w:val="center"/>
                </w:tcPr>
                <w:p w14:paraId="648468DE">
                  <w:pPr>
                    <w:adjustRightInd w:val="0"/>
                    <w:snapToGrid w:val="0"/>
                    <w:jc w:val="center"/>
                    <w:rPr>
                      <w:color w:val="auto"/>
                      <w:kern w:val="0"/>
                      <w:szCs w:val="21"/>
                    </w:rPr>
                  </w:pPr>
                  <w:r>
                    <w:rPr>
                      <w:rFonts w:hint="eastAsia"/>
                      <w:color w:val="auto"/>
                      <w:szCs w:val="21"/>
                    </w:rPr>
                    <w:t>L</w:t>
                  </w:r>
                  <w:r>
                    <w:rPr>
                      <w:color w:val="auto"/>
                      <w:szCs w:val="21"/>
                    </w:rPr>
                    <w:t>AS</w:t>
                  </w:r>
                </w:p>
              </w:tc>
              <w:tc>
                <w:tcPr>
                  <w:tcW w:w="774" w:type="pct"/>
                  <w:shd w:val="clear" w:color="auto" w:fill="auto"/>
                  <w:vAlign w:val="center"/>
                </w:tcPr>
                <w:p w14:paraId="0DD0AEB7">
                  <w:pPr>
                    <w:adjustRightInd w:val="0"/>
                    <w:snapToGrid w:val="0"/>
                    <w:jc w:val="center"/>
                    <w:rPr>
                      <w:color w:val="auto"/>
                      <w:kern w:val="0"/>
                      <w:szCs w:val="21"/>
                    </w:rPr>
                  </w:pPr>
                  <w:r>
                    <w:rPr>
                      <w:rFonts w:hint="eastAsia"/>
                      <w:color w:val="auto"/>
                      <w:kern w:val="0"/>
                      <w:szCs w:val="21"/>
                    </w:rPr>
                    <w:t>0</w:t>
                  </w:r>
                  <w:r>
                    <w:rPr>
                      <w:color w:val="auto"/>
                      <w:kern w:val="0"/>
                      <w:szCs w:val="21"/>
                    </w:rPr>
                    <w:t>.5</w:t>
                  </w:r>
                </w:p>
              </w:tc>
            </w:tr>
          </w:tbl>
          <w:p w14:paraId="0C647758">
            <w:pPr>
              <w:widowControl/>
              <w:autoSpaceDE w:val="0"/>
              <w:autoSpaceDN w:val="0"/>
              <w:adjustRightInd w:val="0"/>
              <w:snapToGrid w:val="0"/>
              <w:spacing w:line="360" w:lineRule="auto"/>
              <w:ind w:firstLine="482" w:firstLineChars="200"/>
              <w:jc w:val="left"/>
              <w:rPr>
                <w:rFonts w:hint="default" w:ascii="Times New Roman" w:hAnsi="Times New Roman" w:cs="Times New Roman" w:eastAsiaTheme="minorEastAsia"/>
                <w:b/>
                <w:color w:val="auto"/>
                <w:kern w:val="0"/>
                <w:sz w:val="24"/>
              </w:rPr>
            </w:pPr>
            <w:r>
              <w:rPr>
                <w:rFonts w:hint="default" w:ascii="Times New Roman" w:hAnsi="Times New Roman" w:cs="Times New Roman" w:eastAsiaTheme="minorEastAsia"/>
                <w:b/>
                <w:color w:val="auto"/>
                <w:kern w:val="0"/>
                <w:sz w:val="24"/>
              </w:rPr>
              <w:t>2.2监测计划</w:t>
            </w:r>
          </w:p>
          <w:p w14:paraId="732FB0B3">
            <w:pPr>
              <w:adjustRightInd w:val="0"/>
              <w:snapToGrid w:val="0"/>
              <w:spacing w:line="360" w:lineRule="auto"/>
              <w:ind w:firstLine="440" w:firstLineChars="200"/>
              <w:rPr>
                <w:bCs/>
                <w:color w:val="auto"/>
                <w:spacing w:val="-10"/>
                <w:sz w:val="24"/>
                <w:szCs w:val="21"/>
              </w:rPr>
            </w:pPr>
            <w:r>
              <w:rPr>
                <w:bCs/>
                <w:color w:val="auto"/>
                <w:spacing w:val="-10"/>
                <w:sz w:val="24"/>
                <w:szCs w:val="21"/>
              </w:rPr>
              <w:t>本项目综合废水间接排放口DW001监测要求详见表4-1</w:t>
            </w:r>
            <w:r>
              <w:rPr>
                <w:rFonts w:hint="eastAsia"/>
                <w:bCs/>
                <w:color w:val="auto"/>
                <w:spacing w:val="-10"/>
                <w:sz w:val="24"/>
                <w:szCs w:val="21"/>
                <w:lang w:val="en-US" w:eastAsia="zh-CN"/>
              </w:rPr>
              <w:t>4</w:t>
            </w:r>
            <w:r>
              <w:rPr>
                <w:bCs/>
                <w:color w:val="auto"/>
                <w:spacing w:val="-10"/>
                <w:sz w:val="24"/>
                <w:szCs w:val="21"/>
              </w:rPr>
              <w:t>。</w:t>
            </w:r>
          </w:p>
          <w:p w14:paraId="29D7923D">
            <w:pPr>
              <w:jc w:val="center"/>
              <w:rPr>
                <w:b/>
                <w:color w:val="auto"/>
                <w:sz w:val="24"/>
              </w:rPr>
            </w:pPr>
            <w:r>
              <w:rPr>
                <w:b/>
                <w:color w:val="auto"/>
                <w:sz w:val="24"/>
              </w:rPr>
              <w:t>表4-1</w:t>
            </w:r>
            <w:r>
              <w:rPr>
                <w:rFonts w:hint="eastAsia"/>
                <w:b/>
                <w:color w:val="auto"/>
                <w:sz w:val="24"/>
                <w:lang w:val="en-US" w:eastAsia="zh-CN"/>
              </w:rPr>
              <w:t>4</w:t>
            </w:r>
            <w:r>
              <w:rPr>
                <w:b/>
                <w:color w:val="auto"/>
                <w:sz w:val="24"/>
              </w:rPr>
              <w:t xml:space="preserve"> 废水间接排放口监测要求</w:t>
            </w:r>
          </w:p>
          <w:tbl>
            <w:tblPr>
              <w:tblStyle w:val="3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52"/>
              <w:gridCol w:w="675"/>
              <w:gridCol w:w="975"/>
              <w:gridCol w:w="885"/>
              <w:gridCol w:w="1066"/>
              <w:gridCol w:w="1454"/>
              <w:gridCol w:w="676"/>
              <w:gridCol w:w="779"/>
              <w:gridCol w:w="870"/>
              <w:gridCol w:w="793"/>
            </w:tblGrid>
            <w:tr w14:paraId="036076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6" w:type="pct"/>
                  <w:shd w:val="clear" w:color="auto" w:fill="auto"/>
                  <w:vAlign w:val="center"/>
                </w:tcPr>
                <w:p w14:paraId="05C71E0F">
                  <w:pPr>
                    <w:tabs>
                      <w:tab w:val="right" w:pos="1785"/>
                    </w:tabs>
                    <w:adjustRightInd w:val="0"/>
                    <w:snapToGrid w:val="0"/>
                    <w:jc w:val="center"/>
                    <w:rPr>
                      <w:b/>
                      <w:color w:val="auto"/>
                      <w:kern w:val="0"/>
                      <w:szCs w:val="21"/>
                    </w:rPr>
                  </w:pPr>
                  <w:r>
                    <w:rPr>
                      <w:b/>
                      <w:color w:val="auto"/>
                      <w:kern w:val="0"/>
                      <w:szCs w:val="21"/>
                    </w:rPr>
                    <w:t>序号</w:t>
                  </w:r>
                </w:p>
              </w:tc>
              <w:tc>
                <w:tcPr>
                  <w:tcW w:w="395" w:type="pct"/>
                  <w:shd w:val="clear" w:color="auto" w:fill="auto"/>
                  <w:vAlign w:val="center"/>
                </w:tcPr>
                <w:p w14:paraId="37E1465B">
                  <w:pPr>
                    <w:adjustRightInd w:val="0"/>
                    <w:snapToGrid w:val="0"/>
                    <w:jc w:val="center"/>
                    <w:rPr>
                      <w:b/>
                      <w:color w:val="auto"/>
                      <w:kern w:val="0"/>
                      <w:szCs w:val="28"/>
                    </w:rPr>
                  </w:pPr>
                  <w:r>
                    <w:rPr>
                      <w:b/>
                      <w:color w:val="auto"/>
                      <w:kern w:val="0"/>
                      <w:szCs w:val="28"/>
                    </w:rPr>
                    <w:t>排放口编号</w:t>
                  </w:r>
                </w:p>
              </w:tc>
              <w:tc>
                <w:tcPr>
                  <w:tcW w:w="571" w:type="pct"/>
                  <w:vAlign w:val="center"/>
                </w:tcPr>
                <w:p w14:paraId="5374E3FD">
                  <w:pPr>
                    <w:adjustRightInd w:val="0"/>
                    <w:snapToGrid w:val="0"/>
                    <w:jc w:val="center"/>
                    <w:rPr>
                      <w:b/>
                      <w:color w:val="auto"/>
                      <w:kern w:val="0"/>
                      <w:szCs w:val="28"/>
                    </w:rPr>
                  </w:pPr>
                  <w:r>
                    <w:rPr>
                      <w:b/>
                      <w:color w:val="auto"/>
                      <w:kern w:val="0"/>
                      <w:szCs w:val="28"/>
                    </w:rPr>
                    <w:t>污染物名称</w:t>
                  </w:r>
                </w:p>
              </w:tc>
              <w:tc>
                <w:tcPr>
                  <w:tcW w:w="519" w:type="pct"/>
                  <w:vAlign w:val="center"/>
                </w:tcPr>
                <w:p w14:paraId="610E0139">
                  <w:pPr>
                    <w:adjustRightInd w:val="0"/>
                    <w:snapToGrid w:val="0"/>
                    <w:jc w:val="center"/>
                    <w:rPr>
                      <w:b/>
                      <w:color w:val="auto"/>
                      <w:kern w:val="0"/>
                      <w:szCs w:val="28"/>
                    </w:rPr>
                  </w:pPr>
                  <w:r>
                    <w:rPr>
                      <w:rFonts w:hint="eastAsia"/>
                      <w:b/>
                      <w:color w:val="auto"/>
                      <w:kern w:val="0"/>
                      <w:szCs w:val="28"/>
                    </w:rPr>
                    <w:t>监测设施</w:t>
                  </w:r>
                </w:p>
              </w:tc>
              <w:tc>
                <w:tcPr>
                  <w:tcW w:w="625" w:type="pct"/>
                  <w:vAlign w:val="center"/>
                </w:tcPr>
                <w:p w14:paraId="269AD064">
                  <w:pPr>
                    <w:adjustRightInd w:val="0"/>
                    <w:snapToGrid w:val="0"/>
                    <w:jc w:val="center"/>
                    <w:rPr>
                      <w:b/>
                      <w:color w:val="auto"/>
                      <w:kern w:val="0"/>
                      <w:szCs w:val="28"/>
                    </w:rPr>
                  </w:pPr>
                  <w:r>
                    <w:rPr>
                      <w:rFonts w:hint="eastAsia"/>
                      <w:b/>
                      <w:color w:val="auto"/>
                      <w:kern w:val="0"/>
                      <w:szCs w:val="28"/>
                    </w:rPr>
                    <w:t>自动监测设施安装位置</w:t>
                  </w:r>
                </w:p>
              </w:tc>
              <w:tc>
                <w:tcPr>
                  <w:tcW w:w="852" w:type="pct"/>
                  <w:vAlign w:val="center"/>
                </w:tcPr>
                <w:p w14:paraId="65AE00AD">
                  <w:pPr>
                    <w:adjustRightInd w:val="0"/>
                    <w:snapToGrid w:val="0"/>
                    <w:jc w:val="center"/>
                    <w:rPr>
                      <w:b/>
                      <w:color w:val="auto"/>
                      <w:kern w:val="0"/>
                      <w:szCs w:val="28"/>
                    </w:rPr>
                  </w:pPr>
                  <w:r>
                    <w:rPr>
                      <w:rFonts w:hint="eastAsia"/>
                      <w:b/>
                      <w:color w:val="auto"/>
                      <w:kern w:val="0"/>
                      <w:szCs w:val="28"/>
                    </w:rPr>
                    <w:t>自动监测设施的安装、运行、维护等相关管理要求</w:t>
                  </w:r>
                </w:p>
              </w:tc>
              <w:tc>
                <w:tcPr>
                  <w:tcW w:w="396" w:type="pct"/>
                  <w:vAlign w:val="center"/>
                </w:tcPr>
                <w:p w14:paraId="29ACE421">
                  <w:pPr>
                    <w:adjustRightInd w:val="0"/>
                    <w:snapToGrid w:val="0"/>
                    <w:jc w:val="center"/>
                    <w:rPr>
                      <w:b/>
                      <w:color w:val="auto"/>
                      <w:kern w:val="0"/>
                      <w:szCs w:val="28"/>
                    </w:rPr>
                  </w:pPr>
                  <w:r>
                    <w:rPr>
                      <w:rFonts w:hint="eastAsia"/>
                      <w:b/>
                      <w:color w:val="auto"/>
                      <w:kern w:val="0"/>
                      <w:szCs w:val="28"/>
                    </w:rPr>
                    <w:t>自动监测是否联网</w:t>
                  </w:r>
                </w:p>
              </w:tc>
              <w:tc>
                <w:tcPr>
                  <w:tcW w:w="456" w:type="pct"/>
                  <w:shd w:val="clear" w:color="auto" w:fill="auto"/>
                  <w:vAlign w:val="center"/>
                </w:tcPr>
                <w:p w14:paraId="66CA97F5">
                  <w:pPr>
                    <w:adjustRightInd w:val="0"/>
                    <w:snapToGrid w:val="0"/>
                    <w:jc w:val="center"/>
                    <w:rPr>
                      <w:b/>
                      <w:color w:val="auto"/>
                      <w:kern w:val="0"/>
                      <w:szCs w:val="28"/>
                    </w:rPr>
                  </w:pPr>
                  <w:r>
                    <w:rPr>
                      <w:rFonts w:hint="eastAsia"/>
                      <w:b/>
                      <w:color w:val="auto"/>
                      <w:kern w:val="0"/>
                      <w:szCs w:val="28"/>
                    </w:rPr>
                    <w:t>自动监测仪器名称</w:t>
                  </w:r>
                </w:p>
              </w:tc>
              <w:tc>
                <w:tcPr>
                  <w:tcW w:w="510" w:type="pct"/>
                  <w:shd w:val="clear" w:color="auto" w:fill="auto"/>
                  <w:vAlign w:val="center"/>
                </w:tcPr>
                <w:p w14:paraId="6C71AF51">
                  <w:pPr>
                    <w:adjustRightInd w:val="0"/>
                    <w:snapToGrid w:val="0"/>
                    <w:jc w:val="center"/>
                    <w:rPr>
                      <w:b/>
                      <w:color w:val="auto"/>
                      <w:kern w:val="0"/>
                      <w:szCs w:val="28"/>
                    </w:rPr>
                  </w:pPr>
                  <w:r>
                    <w:rPr>
                      <w:rFonts w:hint="eastAsia"/>
                      <w:b/>
                      <w:color w:val="auto"/>
                      <w:kern w:val="0"/>
                      <w:szCs w:val="28"/>
                    </w:rPr>
                    <w:t>手工监测采样方法及个数</w:t>
                  </w:r>
                </w:p>
              </w:tc>
              <w:tc>
                <w:tcPr>
                  <w:tcW w:w="465" w:type="pct"/>
                  <w:shd w:val="clear" w:color="auto" w:fill="auto"/>
                  <w:vAlign w:val="center"/>
                </w:tcPr>
                <w:p w14:paraId="373CC627">
                  <w:pPr>
                    <w:adjustRightInd w:val="0"/>
                    <w:snapToGrid w:val="0"/>
                    <w:jc w:val="center"/>
                    <w:rPr>
                      <w:b/>
                      <w:color w:val="auto"/>
                      <w:kern w:val="0"/>
                      <w:szCs w:val="28"/>
                    </w:rPr>
                  </w:pPr>
                  <w:r>
                    <w:rPr>
                      <w:rFonts w:hint="eastAsia"/>
                      <w:b/>
                      <w:color w:val="auto"/>
                      <w:kern w:val="0"/>
                      <w:szCs w:val="28"/>
                    </w:rPr>
                    <w:t>手工监测频次</w:t>
                  </w:r>
                </w:p>
              </w:tc>
            </w:tr>
            <w:tr w14:paraId="6CCAAD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6" w:type="pct"/>
                  <w:shd w:val="clear" w:color="auto" w:fill="auto"/>
                  <w:vAlign w:val="center"/>
                </w:tcPr>
                <w:p w14:paraId="516CC565">
                  <w:pPr>
                    <w:adjustRightInd w:val="0"/>
                    <w:snapToGrid w:val="0"/>
                    <w:jc w:val="center"/>
                    <w:rPr>
                      <w:color w:val="auto"/>
                      <w:kern w:val="0"/>
                      <w:sz w:val="18"/>
                      <w:szCs w:val="18"/>
                    </w:rPr>
                  </w:pPr>
                  <w:r>
                    <w:rPr>
                      <w:color w:val="auto"/>
                      <w:kern w:val="0"/>
                      <w:sz w:val="18"/>
                      <w:szCs w:val="18"/>
                    </w:rPr>
                    <w:t>1</w:t>
                  </w:r>
                </w:p>
              </w:tc>
              <w:tc>
                <w:tcPr>
                  <w:tcW w:w="395" w:type="pct"/>
                  <w:vMerge w:val="restart"/>
                  <w:shd w:val="clear" w:color="auto" w:fill="auto"/>
                  <w:vAlign w:val="center"/>
                </w:tcPr>
                <w:p w14:paraId="5D014B73">
                  <w:pPr>
                    <w:adjustRightInd w:val="0"/>
                    <w:snapToGrid w:val="0"/>
                    <w:jc w:val="center"/>
                    <w:rPr>
                      <w:b/>
                      <w:color w:val="auto"/>
                      <w:kern w:val="0"/>
                      <w:sz w:val="18"/>
                      <w:szCs w:val="18"/>
                    </w:rPr>
                  </w:pPr>
                  <w:r>
                    <w:rPr>
                      <w:bCs/>
                      <w:color w:val="auto"/>
                      <w:spacing w:val="-10"/>
                      <w:sz w:val="18"/>
                      <w:szCs w:val="18"/>
                    </w:rPr>
                    <w:t>DW001</w:t>
                  </w:r>
                </w:p>
              </w:tc>
              <w:tc>
                <w:tcPr>
                  <w:tcW w:w="571" w:type="pct"/>
                  <w:vAlign w:val="center"/>
                </w:tcPr>
                <w:p w14:paraId="155D8BF9">
                  <w:pPr>
                    <w:adjustRightInd w:val="0"/>
                    <w:snapToGrid w:val="0"/>
                    <w:jc w:val="center"/>
                    <w:rPr>
                      <w:color w:val="auto"/>
                      <w:sz w:val="18"/>
                      <w:szCs w:val="18"/>
                    </w:rPr>
                  </w:pPr>
                  <w:r>
                    <w:rPr>
                      <w:color w:val="auto"/>
                      <w:sz w:val="18"/>
                      <w:szCs w:val="18"/>
                    </w:rPr>
                    <w:t>COD</w:t>
                  </w:r>
                </w:p>
              </w:tc>
              <w:tc>
                <w:tcPr>
                  <w:tcW w:w="519" w:type="pct"/>
                  <w:vAlign w:val="center"/>
                </w:tcPr>
                <w:p w14:paraId="48259F47">
                  <w:pPr>
                    <w:adjustRightInd w:val="0"/>
                    <w:snapToGrid w:val="0"/>
                    <w:jc w:val="center"/>
                    <w:rPr>
                      <w:color w:val="auto"/>
                      <w:kern w:val="0"/>
                      <w:sz w:val="18"/>
                      <w:szCs w:val="18"/>
                    </w:rPr>
                  </w:pPr>
                  <w:r>
                    <w:rPr>
                      <w:color w:val="auto"/>
                      <w:sz w:val="18"/>
                      <w:szCs w:val="18"/>
                    </w:rPr>
                    <w:t>□</w:t>
                  </w:r>
                  <w:r>
                    <w:rPr>
                      <w:color w:val="auto"/>
                      <w:kern w:val="0"/>
                      <w:sz w:val="18"/>
                      <w:szCs w:val="18"/>
                    </w:rPr>
                    <w:t>自动</w:t>
                  </w:r>
                </w:p>
                <w:p w14:paraId="7E2EFDC1">
                  <w:pPr>
                    <w:adjustRightInd w:val="0"/>
                    <w:snapToGrid w:val="0"/>
                    <w:jc w:val="center"/>
                    <w:rPr>
                      <w:color w:val="auto"/>
                      <w:sz w:val="18"/>
                      <w:szCs w:val="18"/>
                    </w:rPr>
                  </w:pPr>
                  <w:r>
                    <w:rPr>
                      <w:color w:val="auto"/>
                      <w:sz w:val="18"/>
                      <w:szCs w:val="18"/>
                    </w:rPr>
                    <w:sym w:font="Wingdings 2" w:char="F052"/>
                  </w:r>
                  <w:r>
                    <w:rPr>
                      <w:color w:val="auto"/>
                      <w:kern w:val="0"/>
                      <w:sz w:val="18"/>
                      <w:szCs w:val="18"/>
                    </w:rPr>
                    <w:t>手动</w:t>
                  </w:r>
                </w:p>
              </w:tc>
              <w:tc>
                <w:tcPr>
                  <w:tcW w:w="625" w:type="pct"/>
                  <w:vMerge w:val="restart"/>
                  <w:vAlign w:val="center"/>
                </w:tcPr>
                <w:p w14:paraId="08FFC299">
                  <w:pPr>
                    <w:adjustRightInd w:val="0"/>
                    <w:snapToGrid w:val="0"/>
                    <w:jc w:val="center"/>
                    <w:rPr>
                      <w:color w:val="auto"/>
                      <w:sz w:val="18"/>
                      <w:szCs w:val="18"/>
                    </w:rPr>
                  </w:pPr>
                  <w:r>
                    <w:rPr>
                      <w:rFonts w:hint="eastAsia"/>
                      <w:color w:val="auto"/>
                      <w:sz w:val="18"/>
                      <w:szCs w:val="18"/>
                    </w:rPr>
                    <w:t>/</w:t>
                  </w:r>
                </w:p>
              </w:tc>
              <w:tc>
                <w:tcPr>
                  <w:tcW w:w="852" w:type="pct"/>
                  <w:vMerge w:val="restart"/>
                  <w:vAlign w:val="center"/>
                </w:tcPr>
                <w:p w14:paraId="4993445D">
                  <w:pPr>
                    <w:adjustRightInd w:val="0"/>
                    <w:snapToGrid w:val="0"/>
                    <w:jc w:val="center"/>
                    <w:rPr>
                      <w:color w:val="auto"/>
                      <w:sz w:val="18"/>
                      <w:szCs w:val="18"/>
                    </w:rPr>
                  </w:pPr>
                  <w:r>
                    <w:rPr>
                      <w:rFonts w:hint="eastAsia"/>
                      <w:color w:val="auto"/>
                      <w:sz w:val="18"/>
                      <w:szCs w:val="18"/>
                    </w:rPr>
                    <w:t>/</w:t>
                  </w:r>
                </w:p>
              </w:tc>
              <w:tc>
                <w:tcPr>
                  <w:tcW w:w="396" w:type="pct"/>
                  <w:vMerge w:val="restart"/>
                  <w:vAlign w:val="center"/>
                </w:tcPr>
                <w:p w14:paraId="4FA019C4">
                  <w:pPr>
                    <w:adjustRightInd w:val="0"/>
                    <w:snapToGrid w:val="0"/>
                    <w:jc w:val="center"/>
                    <w:rPr>
                      <w:color w:val="auto"/>
                      <w:sz w:val="18"/>
                      <w:szCs w:val="18"/>
                    </w:rPr>
                  </w:pPr>
                  <w:r>
                    <w:rPr>
                      <w:rFonts w:hint="eastAsia"/>
                      <w:color w:val="auto"/>
                      <w:sz w:val="18"/>
                      <w:szCs w:val="18"/>
                    </w:rPr>
                    <w:t>/</w:t>
                  </w:r>
                </w:p>
              </w:tc>
              <w:tc>
                <w:tcPr>
                  <w:tcW w:w="456" w:type="pct"/>
                  <w:vMerge w:val="restart"/>
                  <w:shd w:val="clear" w:color="auto" w:fill="auto"/>
                  <w:vAlign w:val="center"/>
                </w:tcPr>
                <w:p w14:paraId="4CEB5FE2">
                  <w:pPr>
                    <w:adjustRightInd w:val="0"/>
                    <w:snapToGrid w:val="0"/>
                    <w:jc w:val="center"/>
                    <w:rPr>
                      <w:color w:val="auto"/>
                      <w:sz w:val="18"/>
                      <w:szCs w:val="18"/>
                    </w:rPr>
                  </w:pPr>
                  <w:r>
                    <w:rPr>
                      <w:rFonts w:hint="eastAsia"/>
                      <w:color w:val="auto"/>
                      <w:sz w:val="18"/>
                      <w:szCs w:val="18"/>
                    </w:rPr>
                    <w:t>/</w:t>
                  </w:r>
                </w:p>
              </w:tc>
              <w:tc>
                <w:tcPr>
                  <w:tcW w:w="510" w:type="pct"/>
                  <w:vMerge w:val="restart"/>
                  <w:shd w:val="clear" w:color="auto" w:fill="auto"/>
                  <w:vAlign w:val="center"/>
                </w:tcPr>
                <w:p w14:paraId="675EC24C">
                  <w:pPr>
                    <w:adjustRightInd w:val="0"/>
                    <w:snapToGrid w:val="0"/>
                    <w:jc w:val="center"/>
                    <w:rPr>
                      <w:b/>
                      <w:color w:val="auto"/>
                      <w:kern w:val="0"/>
                      <w:sz w:val="18"/>
                      <w:szCs w:val="18"/>
                    </w:rPr>
                  </w:pPr>
                  <w:r>
                    <w:rPr>
                      <w:color w:val="auto"/>
                      <w:sz w:val="18"/>
                      <w:szCs w:val="18"/>
                    </w:rPr>
                    <w:t>瞬时采样（4个瞬时样）</w:t>
                  </w:r>
                </w:p>
              </w:tc>
              <w:tc>
                <w:tcPr>
                  <w:tcW w:w="465" w:type="pct"/>
                  <w:vMerge w:val="restart"/>
                  <w:shd w:val="clear" w:color="auto" w:fill="auto"/>
                  <w:vAlign w:val="center"/>
                </w:tcPr>
                <w:p w14:paraId="38F3F42C">
                  <w:pPr>
                    <w:keepNext/>
                    <w:topLinePunct/>
                    <w:jc w:val="center"/>
                    <w:textAlignment w:val="center"/>
                    <w:rPr>
                      <w:color w:val="auto"/>
                      <w:sz w:val="18"/>
                      <w:szCs w:val="18"/>
                    </w:rPr>
                  </w:pPr>
                  <w:r>
                    <w:rPr>
                      <w:color w:val="auto"/>
                      <w:sz w:val="18"/>
                      <w:szCs w:val="18"/>
                    </w:rPr>
                    <w:t>每季度1次</w:t>
                  </w:r>
                </w:p>
              </w:tc>
            </w:tr>
            <w:tr w14:paraId="132DDE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6" w:type="pct"/>
                  <w:shd w:val="clear" w:color="auto" w:fill="auto"/>
                  <w:vAlign w:val="center"/>
                </w:tcPr>
                <w:p w14:paraId="54A73134">
                  <w:pPr>
                    <w:adjustRightInd w:val="0"/>
                    <w:snapToGrid w:val="0"/>
                    <w:jc w:val="center"/>
                    <w:rPr>
                      <w:color w:val="auto"/>
                      <w:kern w:val="0"/>
                      <w:sz w:val="18"/>
                      <w:szCs w:val="18"/>
                    </w:rPr>
                  </w:pPr>
                  <w:r>
                    <w:rPr>
                      <w:rFonts w:hint="eastAsia"/>
                      <w:color w:val="auto"/>
                      <w:kern w:val="0"/>
                      <w:sz w:val="18"/>
                      <w:szCs w:val="18"/>
                    </w:rPr>
                    <w:t>2</w:t>
                  </w:r>
                </w:p>
              </w:tc>
              <w:tc>
                <w:tcPr>
                  <w:tcW w:w="395" w:type="pct"/>
                  <w:vMerge w:val="continue"/>
                  <w:shd w:val="clear" w:color="auto" w:fill="auto"/>
                  <w:vAlign w:val="center"/>
                </w:tcPr>
                <w:p w14:paraId="793C9E2A">
                  <w:pPr>
                    <w:adjustRightInd w:val="0"/>
                    <w:snapToGrid w:val="0"/>
                    <w:jc w:val="center"/>
                    <w:rPr>
                      <w:b/>
                      <w:color w:val="auto"/>
                      <w:kern w:val="0"/>
                      <w:sz w:val="18"/>
                      <w:szCs w:val="18"/>
                    </w:rPr>
                  </w:pPr>
                </w:p>
              </w:tc>
              <w:tc>
                <w:tcPr>
                  <w:tcW w:w="571" w:type="pct"/>
                  <w:vAlign w:val="center"/>
                </w:tcPr>
                <w:p w14:paraId="37DF402E">
                  <w:pPr>
                    <w:adjustRightInd w:val="0"/>
                    <w:snapToGrid w:val="0"/>
                    <w:jc w:val="center"/>
                    <w:rPr>
                      <w:color w:val="auto"/>
                      <w:sz w:val="18"/>
                      <w:szCs w:val="18"/>
                    </w:rPr>
                  </w:pPr>
                  <w:r>
                    <w:rPr>
                      <w:rFonts w:hint="eastAsia"/>
                      <w:color w:val="auto"/>
                      <w:sz w:val="18"/>
                      <w:szCs w:val="18"/>
                    </w:rPr>
                    <w:t>B</w:t>
                  </w:r>
                  <w:r>
                    <w:rPr>
                      <w:color w:val="auto"/>
                      <w:sz w:val="18"/>
                      <w:szCs w:val="18"/>
                    </w:rPr>
                    <w:t>OD</w:t>
                  </w:r>
                  <w:r>
                    <w:rPr>
                      <w:color w:val="auto"/>
                      <w:sz w:val="18"/>
                      <w:szCs w:val="18"/>
                      <w:vertAlign w:val="subscript"/>
                    </w:rPr>
                    <w:t>5</w:t>
                  </w:r>
                </w:p>
              </w:tc>
              <w:tc>
                <w:tcPr>
                  <w:tcW w:w="519" w:type="pct"/>
                  <w:vAlign w:val="center"/>
                </w:tcPr>
                <w:p w14:paraId="1EE1D501">
                  <w:pPr>
                    <w:adjustRightInd w:val="0"/>
                    <w:snapToGrid w:val="0"/>
                    <w:jc w:val="center"/>
                    <w:rPr>
                      <w:color w:val="auto"/>
                      <w:kern w:val="0"/>
                      <w:sz w:val="18"/>
                      <w:szCs w:val="18"/>
                    </w:rPr>
                  </w:pPr>
                  <w:r>
                    <w:rPr>
                      <w:color w:val="auto"/>
                      <w:sz w:val="18"/>
                      <w:szCs w:val="18"/>
                    </w:rPr>
                    <w:t>□</w:t>
                  </w:r>
                  <w:r>
                    <w:rPr>
                      <w:color w:val="auto"/>
                      <w:kern w:val="0"/>
                      <w:sz w:val="18"/>
                      <w:szCs w:val="18"/>
                    </w:rPr>
                    <w:t>自动</w:t>
                  </w:r>
                </w:p>
                <w:p w14:paraId="6B9887F1">
                  <w:pPr>
                    <w:adjustRightInd w:val="0"/>
                    <w:snapToGrid w:val="0"/>
                    <w:jc w:val="center"/>
                    <w:rPr>
                      <w:color w:val="auto"/>
                      <w:sz w:val="18"/>
                      <w:szCs w:val="18"/>
                    </w:rPr>
                  </w:pPr>
                  <w:r>
                    <w:rPr>
                      <w:color w:val="auto"/>
                      <w:sz w:val="18"/>
                      <w:szCs w:val="18"/>
                    </w:rPr>
                    <w:sym w:font="Wingdings 2" w:char="F052"/>
                  </w:r>
                  <w:r>
                    <w:rPr>
                      <w:color w:val="auto"/>
                      <w:kern w:val="0"/>
                      <w:sz w:val="18"/>
                      <w:szCs w:val="18"/>
                    </w:rPr>
                    <w:t>手动</w:t>
                  </w:r>
                </w:p>
              </w:tc>
              <w:tc>
                <w:tcPr>
                  <w:tcW w:w="625" w:type="pct"/>
                  <w:vMerge w:val="continue"/>
                  <w:vAlign w:val="center"/>
                </w:tcPr>
                <w:p w14:paraId="51C23E97">
                  <w:pPr>
                    <w:adjustRightInd w:val="0"/>
                    <w:snapToGrid w:val="0"/>
                    <w:jc w:val="center"/>
                    <w:rPr>
                      <w:color w:val="auto"/>
                      <w:sz w:val="18"/>
                      <w:szCs w:val="18"/>
                    </w:rPr>
                  </w:pPr>
                </w:p>
              </w:tc>
              <w:tc>
                <w:tcPr>
                  <w:tcW w:w="852" w:type="pct"/>
                  <w:vMerge w:val="continue"/>
                  <w:vAlign w:val="center"/>
                </w:tcPr>
                <w:p w14:paraId="457BD3AB">
                  <w:pPr>
                    <w:adjustRightInd w:val="0"/>
                    <w:snapToGrid w:val="0"/>
                    <w:jc w:val="center"/>
                    <w:rPr>
                      <w:color w:val="auto"/>
                      <w:sz w:val="18"/>
                      <w:szCs w:val="18"/>
                    </w:rPr>
                  </w:pPr>
                </w:p>
              </w:tc>
              <w:tc>
                <w:tcPr>
                  <w:tcW w:w="396" w:type="pct"/>
                  <w:vMerge w:val="continue"/>
                  <w:vAlign w:val="center"/>
                </w:tcPr>
                <w:p w14:paraId="6AA6A292">
                  <w:pPr>
                    <w:adjustRightInd w:val="0"/>
                    <w:snapToGrid w:val="0"/>
                    <w:jc w:val="center"/>
                    <w:rPr>
                      <w:color w:val="auto"/>
                      <w:sz w:val="18"/>
                      <w:szCs w:val="18"/>
                    </w:rPr>
                  </w:pPr>
                </w:p>
              </w:tc>
              <w:tc>
                <w:tcPr>
                  <w:tcW w:w="456" w:type="pct"/>
                  <w:vMerge w:val="continue"/>
                  <w:shd w:val="clear" w:color="auto" w:fill="auto"/>
                  <w:vAlign w:val="center"/>
                </w:tcPr>
                <w:p w14:paraId="6CC31A18">
                  <w:pPr>
                    <w:adjustRightInd w:val="0"/>
                    <w:snapToGrid w:val="0"/>
                    <w:jc w:val="center"/>
                    <w:rPr>
                      <w:color w:val="auto"/>
                      <w:sz w:val="18"/>
                      <w:szCs w:val="18"/>
                    </w:rPr>
                  </w:pPr>
                </w:p>
              </w:tc>
              <w:tc>
                <w:tcPr>
                  <w:tcW w:w="510" w:type="pct"/>
                  <w:vMerge w:val="continue"/>
                  <w:shd w:val="clear" w:color="auto" w:fill="auto"/>
                  <w:vAlign w:val="center"/>
                </w:tcPr>
                <w:p w14:paraId="623694CD">
                  <w:pPr>
                    <w:adjustRightInd w:val="0"/>
                    <w:snapToGrid w:val="0"/>
                    <w:jc w:val="center"/>
                    <w:rPr>
                      <w:color w:val="auto"/>
                      <w:sz w:val="18"/>
                      <w:szCs w:val="18"/>
                    </w:rPr>
                  </w:pPr>
                </w:p>
              </w:tc>
              <w:tc>
                <w:tcPr>
                  <w:tcW w:w="465" w:type="pct"/>
                  <w:vMerge w:val="continue"/>
                  <w:shd w:val="clear" w:color="auto" w:fill="auto"/>
                  <w:vAlign w:val="center"/>
                </w:tcPr>
                <w:p w14:paraId="3EB58DB1">
                  <w:pPr>
                    <w:adjustRightInd w:val="0"/>
                    <w:snapToGrid w:val="0"/>
                    <w:spacing w:line="360" w:lineRule="auto"/>
                    <w:jc w:val="center"/>
                    <w:rPr>
                      <w:b/>
                      <w:color w:val="auto"/>
                      <w:kern w:val="0"/>
                      <w:sz w:val="18"/>
                      <w:szCs w:val="18"/>
                    </w:rPr>
                  </w:pPr>
                </w:p>
              </w:tc>
            </w:tr>
            <w:tr w14:paraId="4C0037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06" w:type="pct"/>
                  <w:shd w:val="clear" w:color="auto" w:fill="auto"/>
                  <w:vAlign w:val="center"/>
                </w:tcPr>
                <w:p w14:paraId="0EABAD66">
                  <w:pPr>
                    <w:adjustRightInd w:val="0"/>
                    <w:snapToGrid w:val="0"/>
                    <w:jc w:val="center"/>
                    <w:rPr>
                      <w:color w:val="auto"/>
                      <w:kern w:val="0"/>
                      <w:sz w:val="18"/>
                      <w:szCs w:val="18"/>
                    </w:rPr>
                  </w:pPr>
                  <w:r>
                    <w:rPr>
                      <w:color w:val="auto"/>
                      <w:kern w:val="0"/>
                      <w:sz w:val="18"/>
                      <w:szCs w:val="18"/>
                    </w:rPr>
                    <w:t>3</w:t>
                  </w:r>
                </w:p>
              </w:tc>
              <w:tc>
                <w:tcPr>
                  <w:tcW w:w="395" w:type="pct"/>
                  <w:vMerge w:val="continue"/>
                  <w:shd w:val="clear" w:color="auto" w:fill="auto"/>
                  <w:vAlign w:val="center"/>
                </w:tcPr>
                <w:p w14:paraId="4829C2A1">
                  <w:pPr>
                    <w:adjustRightInd w:val="0"/>
                    <w:snapToGrid w:val="0"/>
                    <w:jc w:val="center"/>
                    <w:rPr>
                      <w:b/>
                      <w:color w:val="auto"/>
                      <w:kern w:val="0"/>
                      <w:sz w:val="18"/>
                      <w:szCs w:val="18"/>
                    </w:rPr>
                  </w:pPr>
                </w:p>
              </w:tc>
              <w:tc>
                <w:tcPr>
                  <w:tcW w:w="571" w:type="pct"/>
                  <w:vAlign w:val="center"/>
                </w:tcPr>
                <w:p w14:paraId="6DA464FC">
                  <w:pPr>
                    <w:adjustRightInd w:val="0"/>
                    <w:snapToGrid w:val="0"/>
                    <w:jc w:val="center"/>
                    <w:rPr>
                      <w:color w:val="auto"/>
                      <w:sz w:val="18"/>
                      <w:szCs w:val="18"/>
                    </w:rPr>
                  </w:pPr>
                  <w:r>
                    <w:rPr>
                      <w:rFonts w:hint="eastAsia"/>
                      <w:color w:val="auto"/>
                      <w:sz w:val="18"/>
                      <w:szCs w:val="18"/>
                    </w:rPr>
                    <w:t>S</w:t>
                  </w:r>
                  <w:r>
                    <w:rPr>
                      <w:color w:val="auto"/>
                      <w:sz w:val="18"/>
                      <w:szCs w:val="18"/>
                    </w:rPr>
                    <w:t>S</w:t>
                  </w:r>
                </w:p>
              </w:tc>
              <w:tc>
                <w:tcPr>
                  <w:tcW w:w="519" w:type="pct"/>
                  <w:vAlign w:val="center"/>
                </w:tcPr>
                <w:p w14:paraId="1417EA30">
                  <w:pPr>
                    <w:adjustRightInd w:val="0"/>
                    <w:snapToGrid w:val="0"/>
                    <w:jc w:val="center"/>
                    <w:rPr>
                      <w:color w:val="auto"/>
                      <w:kern w:val="0"/>
                      <w:sz w:val="18"/>
                      <w:szCs w:val="18"/>
                    </w:rPr>
                  </w:pPr>
                  <w:r>
                    <w:rPr>
                      <w:color w:val="auto"/>
                      <w:sz w:val="18"/>
                      <w:szCs w:val="18"/>
                    </w:rPr>
                    <w:t>□</w:t>
                  </w:r>
                  <w:r>
                    <w:rPr>
                      <w:color w:val="auto"/>
                      <w:kern w:val="0"/>
                      <w:sz w:val="18"/>
                      <w:szCs w:val="18"/>
                    </w:rPr>
                    <w:t>自动</w:t>
                  </w:r>
                </w:p>
                <w:p w14:paraId="45F0F714">
                  <w:pPr>
                    <w:adjustRightInd w:val="0"/>
                    <w:snapToGrid w:val="0"/>
                    <w:jc w:val="center"/>
                    <w:rPr>
                      <w:color w:val="auto"/>
                      <w:sz w:val="18"/>
                      <w:szCs w:val="18"/>
                    </w:rPr>
                  </w:pPr>
                  <w:r>
                    <w:rPr>
                      <w:color w:val="auto"/>
                      <w:sz w:val="18"/>
                      <w:szCs w:val="18"/>
                    </w:rPr>
                    <w:sym w:font="Wingdings 2" w:char="F052"/>
                  </w:r>
                  <w:r>
                    <w:rPr>
                      <w:color w:val="auto"/>
                      <w:kern w:val="0"/>
                      <w:sz w:val="18"/>
                      <w:szCs w:val="18"/>
                    </w:rPr>
                    <w:t>手动</w:t>
                  </w:r>
                </w:p>
              </w:tc>
              <w:tc>
                <w:tcPr>
                  <w:tcW w:w="625" w:type="pct"/>
                  <w:vMerge w:val="continue"/>
                  <w:vAlign w:val="center"/>
                </w:tcPr>
                <w:p w14:paraId="32FE333D">
                  <w:pPr>
                    <w:adjustRightInd w:val="0"/>
                    <w:snapToGrid w:val="0"/>
                    <w:jc w:val="center"/>
                    <w:rPr>
                      <w:color w:val="auto"/>
                      <w:sz w:val="18"/>
                      <w:szCs w:val="18"/>
                    </w:rPr>
                  </w:pPr>
                </w:p>
              </w:tc>
              <w:tc>
                <w:tcPr>
                  <w:tcW w:w="852" w:type="pct"/>
                  <w:vMerge w:val="continue"/>
                  <w:vAlign w:val="center"/>
                </w:tcPr>
                <w:p w14:paraId="18DE379F">
                  <w:pPr>
                    <w:adjustRightInd w:val="0"/>
                    <w:snapToGrid w:val="0"/>
                    <w:jc w:val="center"/>
                    <w:rPr>
                      <w:color w:val="auto"/>
                      <w:sz w:val="18"/>
                      <w:szCs w:val="18"/>
                    </w:rPr>
                  </w:pPr>
                </w:p>
              </w:tc>
              <w:tc>
                <w:tcPr>
                  <w:tcW w:w="396" w:type="pct"/>
                  <w:vMerge w:val="continue"/>
                  <w:vAlign w:val="center"/>
                </w:tcPr>
                <w:p w14:paraId="6C2A3539">
                  <w:pPr>
                    <w:adjustRightInd w:val="0"/>
                    <w:snapToGrid w:val="0"/>
                    <w:jc w:val="center"/>
                    <w:rPr>
                      <w:color w:val="auto"/>
                      <w:sz w:val="18"/>
                      <w:szCs w:val="18"/>
                    </w:rPr>
                  </w:pPr>
                </w:p>
              </w:tc>
              <w:tc>
                <w:tcPr>
                  <w:tcW w:w="456" w:type="pct"/>
                  <w:vMerge w:val="continue"/>
                  <w:shd w:val="clear" w:color="auto" w:fill="auto"/>
                  <w:vAlign w:val="center"/>
                </w:tcPr>
                <w:p w14:paraId="21083B37">
                  <w:pPr>
                    <w:adjustRightInd w:val="0"/>
                    <w:snapToGrid w:val="0"/>
                    <w:jc w:val="center"/>
                    <w:rPr>
                      <w:color w:val="auto"/>
                      <w:sz w:val="18"/>
                      <w:szCs w:val="18"/>
                    </w:rPr>
                  </w:pPr>
                </w:p>
              </w:tc>
              <w:tc>
                <w:tcPr>
                  <w:tcW w:w="510" w:type="pct"/>
                  <w:vMerge w:val="continue"/>
                  <w:shd w:val="clear" w:color="auto" w:fill="auto"/>
                  <w:vAlign w:val="center"/>
                </w:tcPr>
                <w:p w14:paraId="4A5ADC6E">
                  <w:pPr>
                    <w:adjustRightInd w:val="0"/>
                    <w:snapToGrid w:val="0"/>
                    <w:jc w:val="center"/>
                    <w:rPr>
                      <w:b/>
                      <w:color w:val="auto"/>
                      <w:kern w:val="0"/>
                      <w:sz w:val="18"/>
                      <w:szCs w:val="18"/>
                    </w:rPr>
                  </w:pPr>
                </w:p>
              </w:tc>
              <w:tc>
                <w:tcPr>
                  <w:tcW w:w="465" w:type="pct"/>
                  <w:vMerge w:val="continue"/>
                  <w:shd w:val="clear" w:color="auto" w:fill="auto"/>
                  <w:vAlign w:val="center"/>
                </w:tcPr>
                <w:p w14:paraId="795F9C86">
                  <w:pPr>
                    <w:adjustRightInd w:val="0"/>
                    <w:snapToGrid w:val="0"/>
                    <w:spacing w:line="360" w:lineRule="auto"/>
                    <w:jc w:val="center"/>
                    <w:rPr>
                      <w:b/>
                      <w:color w:val="auto"/>
                      <w:kern w:val="0"/>
                      <w:sz w:val="18"/>
                      <w:szCs w:val="18"/>
                    </w:rPr>
                  </w:pPr>
                </w:p>
              </w:tc>
            </w:tr>
            <w:tr w14:paraId="0516DD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6" w:type="pct"/>
                  <w:shd w:val="clear" w:color="auto" w:fill="auto"/>
                  <w:vAlign w:val="center"/>
                </w:tcPr>
                <w:p w14:paraId="04846BC6">
                  <w:pPr>
                    <w:adjustRightInd w:val="0"/>
                    <w:snapToGrid w:val="0"/>
                    <w:jc w:val="center"/>
                    <w:rPr>
                      <w:color w:val="auto"/>
                      <w:kern w:val="0"/>
                      <w:sz w:val="18"/>
                      <w:szCs w:val="18"/>
                    </w:rPr>
                  </w:pPr>
                  <w:r>
                    <w:rPr>
                      <w:color w:val="auto"/>
                      <w:kern w:val="0"/>
                      <w:sz w:val="18"/>
                      <w:szCs w:val="18"/>
                    </w:rPr>
                    <w:t>4</w:t>
                  </w:r>
                </w:p>
              </w:tc>
              <w:tc>
                <w:tcPr>
                  <w:tcW w:w="395" w:type="pct"/>
                  <w:vMerge w:val="continue"/>
                  <w:shd w:val="clear" w:color="auto" w:fill="auto"/>
                  <w:vAlign w:val="center"/>
                </w:tcPr>
                <w:p w14:paraId="0F41C0B8">
                  <w:pPr>
                    <w:adjustRightInd w:val="0"/>
                    <w:snapToGrid w:val="0"/>
                    <w:jc w:val="center"/>
                    <w:rPr>
                      <w:b/>
                      <w:color w:val="auto"/>
                      <w:kern w:val="0"/>
                      <w:sz w:val="18"/>
                      <w:szCs w:val="18"/>
                    </w:rPr>
                  </w:pPr>
                </w:p>
              </w:tc>
              <w:tc>
                <w:tcPr>
                  <w:tcW w:w="571" w:type="pct"/>
                  <w:vAlign w:val="center"/>
                </w:tcPr>
                <w:p w14:paraId="1B227188">
                  <w:pPr>
                    <w:adjustRightInd w:val="0"/>
                    <w:snapToGrid w:val="0"/>
                    <w:jc w:val="center"/>
                    <w:rPr>
                      <w:color w:val="auto"/>
                      <w:sz w:val="18"/>
                      <w:szCs w:val="18"/>
                    </w:rPr>
                  </w:pPr>
                  <w:r>
                    <w:rPr>
                      <w:color w:val="auto"/>
                      <w:sz w:val="18"/>
                      <w:szCs w:val="18"/>
                    </w:rPr>
                    <w:t>氨氮</w:t>
                  </w:r>
                </w:p>
              </w:tc>
              <w:tc>
                <w:tcPr>
                  <w:tcW w:w="519" w:type="pct"/>
                  <w:vAlign w:val="center"/>
                </w:tcPr>
                <w:p w14:paraId="76C141D4">
                  <w:pPr>
                    <w:adjustRightInd w:val="0"/>
                    <w:snapToGrid w:val="0"/>
                    <w:jc w:val="center"/>
                    <w:rPr>
                      <w:color w:val="auto"/>
                      <w:kern w:val="0"/>
                      <w:sz w:val="18"/>
                      <w:szCs w:val="18"/>
                    </w:rPr>
                  </w:pPr>
                  <w:r>
                    <w:rPr>
                      <w:color w:val="auto"/>
                      <w:sz w:val="18"/>
                      <w:szCs w:val="18"/>
                    </w:rPr>
                    <w:t>□</w:t>
                  </w:r>
                  <w:r>
                    <w:rPr>
                      <w:color w:val="auto"/>
                      <w:kern w:val="0"/>
                      <w:sz w:val="18"/>
                      <w:szCs w:val="18"/>
                    </w:rPr>
                    <w:t>自动</w:t>
                  </w:r>
                </w:p>
                <w:p w14:paraId="2D459F1A">
                  <w:pPr>
                    <w:adjustRightInd w:val="0"/>
                    <w:snapToGrid w:val="0"/>
                    <w:jc w:val="center"/>
                    <w:rPr>
                      <w:color w:val="auto"/>
                      <w:sz w:val="18"/>
                      <w:szCs w:val="18"/>
                    </w:rPr>
                  </w:pPr>
                  <w:r>
                    <w:rPr>
                      <w:color w:val="auto"/>
                      <w:sz w:val="18"/>
                      <w:szCs w:val="18"/>
                    </w:rPr>
                    <w:sym w:font="Wingdings 2" w:char="F052"/>
                  </w:r>
                  <w:r>
                    <w:rPr>
                      <w:color w:val="auto"/>
                      <w:kern w:val="0"/>
                      <w:sz w:val="18"/>
                      <w:szCs w:val="18"/>
                    </w:rPr>
                    <w:t>手动</w:t>
                  </w:r>
                </w:p>
              </w:tc>
              <w:tc>
                <w:tcPr>
                  <w:tcW w:w="625" w:type="pct"/>
                  <w:vMerge w:val="continue"/>
                  <w:vAlign w:val="center"/>
                </w:tcPr>
                <w:p w14:paraId="6DFC082D">
                  <w:pPr>
                    <w:adjustRightInd w:val="0"/>
                    <w:snapToGrid w:val="0"/>
                    <w:jc w:val="center"/>
                    <w:rPr>
                      <w:color w:val="auto"/>
                      <w:sz w:val="18"/>
                      <w:szCs w:val="18"/>
                    </w:rPr>
                  </w:pPr>
                </w:p>
              </w:tc>
              <w:tc>
                <w:tcPr>
                  <w:tcW w:w="852" w:type="pct"/>
                  <w:vMerge w:val="continue"/>
                  <w:vAlign w:val="center"/>
                </w:tcPr>
                <w:p w14:paraId="687F9812">
                  <w:pPr>
                    <w:adjustRightInd w:val="0"/>
                    <w:snapToGrid w:val="0"/>
                    <w:jc w:val="center"/>
                    <w:rPr>
                      <w:color w:val="auto"/>
                      <w:sz w:val="18"/>
                      <w:szCs w:val="18"/>
                    </w:rPr>
                  </w:pPr>
                </w:p>
              </w:tc>
              <w:tc>
                <w:tcPr>
                  <w:tcW w:w="396" w:type="pct"/>
                  <w:vMerge w:val="continue"/>
                  <w:vAlign w:val="center"/>
                </w:tcPr>
                <w:p w14:paraId="2C2B4121">
                  <w:pPr>
                    <w:adjustRightInd w:val="0"/>
                    <w:snapToGrid w:val="0"/>
                    <w:jc w:val="center"/>
                    <w:rPr>
                      <w:color w:val="auto"/>
                      <w:sz w:val="18"/>
                      <w:szCs w:val="18"/>
                    </w:rPr>
                  </w:pPr>
                </w:p>
              </w:tc>
              <w:tc>
                <w:tcPr>
                  <w:tcW w:w="456" w:type="pct"/>
                  <w:vMerge w:val="continue"/>
                  <w:shd w:val="clear" w:color="auto" w:fill="auto"/>
                  <w:vAlign w:val="center"/>
                </w:tcPr>
                <w:p w14:paraId="3E545A94">
                  <w:pPr>
                    <w:adjustRightInd w:val="0"/>
                    <w:snapToGrid w:val="0"/>
                    <w:jc w:val="center"/>
                    <w:rPr>
                      <w:color w:val="auto"/>
                      <w:sz w:val="18"/>
                      <w:szCs w:val="18"/>
                    </w:rPr>
                  </w:pPr>
                </w:p>
              </w:tc>
              <w:tc>
                <w:tcPr>
                  <w:tcW w:w="510" w:type="pct"/>
                  <w:vMerge w:val="continue"/>
                  <w:shd w:val="clear" w:color="auto" w:fill="auto"/>
                  <w:vAlign w:val="center"/>
                </w:tcPr>
                <w:p w14:paraId="066100B3">
                  <w:pPr>
                    <w:adjustRightInd w:val="0"/>
                    <w:snapToGrid w:val="0"/>
                    <w:jc w:val="center"/>
                    <w:rPr>
                      <w:b/>
                      <w:color w:val="auto"/>
                      <w:kern w:val="0"/>
                      <w:sz w:val="18"/>
                      <w:szCs w:val="18"/>
                    </w:rPr>
                  </w:pPr>
                </w:p>
              </w:tc>
              <w:tc>
                <w:tcPr>
                  <w:tcW w:w="465" w:type="pct"/>
                  <w:vMerge w:val="continue"/>
                  <w:shd w:val="clear" w:color="auto" w:fill="auto"/>
                  <w:vAlign w:val="center"/>
                </w:tcPr>
                <w:p w14:paraId="6564C431">
                  <w:pPr>
                    <w:adjustRightInd w:val="0"/>
                    <w:snapToGrid w:val="0"/>
                    <w:spacing w:line="360" w:lineRule="auto"/>
                    <w:jc w:val="center"/>
                    <w:rPr>
                      <w:b/>
                      <w:color w:val="auto"/>
                      <w:kern w:val="0"/>
                      <w:sz w:val="18"/>
                      <w:szCs w:val="18"/>
                    </w:rPr>
                  </w:pPr>
                </w:p>
              </w:tc>
            </w:tr>
            <w:tr w14:paraId="383746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6" w:type="pct"/>
                  <w:shd w:val="clear" w:color="auto" w:fill="auto"/>
                  <w:vAlign w:val="center"/>
                </w:tcPr>
                <w:p w14:paraId="6616AC62">
                  <w:pPr>
                    <w:adjustRightInd w:val="0"/>
                    <w:snapToGrid w:val="0"/>
                    <w:jc w:val="center"/>
                    <w:rPr>
                      <w:color w:val="auto"/>
                      <w:kern w:val="0"/>
                      <w:sz w:val="18"/>
                      <w:szCs w:val="18"/>
                    </w:rPr>
                  </w:pPr>
                  <w:r>
                    <w:rPr>
                      <w:color w:val="auto"/>
                      <w:kern w:val="0"/>
                      <w:sz w:val="18"/>
                      <w:szCs w:val="18"/>
                    </w:rPr>
                    <w:t>5</w:t>
                  </w:r>
                </w:p>
              </w:tc>
              <w:tc>
                <w:tcPr>
                  <w:tcW w:w="395" w:type="pct"/>
                  <w:vMerge w:val="continue"/>
                  <w:shd w:val="clear" w:color="auto" w:fill="auto"/>
                  <w:vAlign w:val="center"/>
                </w:tcPr>
                <w:p w14:paraId="430DA1C3">
                  <w:pPr>
                    <w:adjustRightInd w:val="0"/>
                    <w:snapToGrid w:val="0"/>
                    <w:jc w:val="center"/>
                    <w:rPr>
                      <w:b/>
                      <w:color w:val="auto"/>
                      <w:kern w:val="0"/>
                      <w:sz w:val="18"/>
                      <w:szCs w:val="18"/>
                    </w:rPr>
                  </w:pPr>
                </w:p>
              </w:tc>
              <w:tc>
                <w:tcPr>
                  <w:tcW w:w="571" w:type="pct"/>
                  <w:vAlign w:val="center"/>
                </w:tcPr>
                <w:p w14:paraId="7F32A405">
                  <w:pPr>
                    <w:adjustRightInd w:val="0"/>
                    <w:snapToGrid w:val="0"/>
                    <w:jc w:val="center"/>
                    <w:rPr>
                      <w:color w:val="auto"/>
                      <w:sz w:val="18"/>
                      <w:szCs w:val="18"/>
                    </w:rPr>
                  </w:pPr>
                  <w:r>
                    <w:rPr>
                      <w:color w:val="auto"/>
                      <w:sz w:val="18"/>
                      <w:szCs w:val="18"/>
                    </w:rPr>
                    <w:t>总氮</w:t>
                  </w:r>
                </w:p>
              </w:tc>
              <w:tc>
                <w:tcPr>
                  <w:tcW w:w="519" w:type="pct"/>
                  <w:vAlign w:val="center"/>
                </w:tcPr>
                <w:p w14:paraId="1912EEB1">
                  <w:pPr>
                    <w:adjustRightInd w:val="0"/>
                    <w:snapToGrid w:val="0"/>
                    <w:jc w:val="center"/>
                    <w:rPr>
                      <w:color w:val="auto"/>
                      <w:kern w:val="0"/>
                      <w:sz w:val="18"/>
                      <w:szCs w:val="18"/>
                    </w:rPr>
                  </w:pPr>
                  <w:r>
                    <w:rPr>
                      <w:color w:val="auto"/>
                      <w:sz w:val="18"/>
                      <w:szCs w:val="18"/>
                    </w:rPr>
                    <w:t>□</w:t>
                  </w:r>
                  <w:r>
                    <w:rPr>
                      <w:color w:val="auto"/>
                      <w:kern w:val="0"/>
                      <w:sz w:val="18"/>
                      <w:szCs w:val="18"/>
                    </w:rPr>
                    <w:t>自动</w:t>
                  </w:r>
                </w:p>
                <w:p w14:paraId="6099422F">
                  <w:pPr>
                    <w:adjustRightInd w:val="0"/>
                    <w:snapToGrid w:val="0"/>
                    <w:jc w:val="center"/>
                    <w:rPr>
                      <w:color w:val="auto"/>
                      <w:sz w:val="18"/>
                      <w:szCs w:val="18"/>
                    </w:rPr>
                  </w:pPr>
                  <w:r>
                    <w:rPr>
                      <w:color w:val="auto"/>
                      <w:sz w:val="18"/>
                      <w:szCs w:val="18"/>
                    </w:rPr>
                    <w:sym w:font="Wingdings 2" w:char="F052"/>
                  </w:r>
                  <w:r>
                    <w:rPr>
                      <w:color w:val="auto"/>
                      <w:kern w:val="0"/>
                      <w:sz w:val="18"/>
                      <w:szCs w:val="18"/>
                    </w:rPr>
                    <w:t>手动</w:t>
                  </w:r>
                </w:p>
              </w:tc>
              <w:tc>
                <w:tcPr>
                  <w:tcW w:w="625" w:type="pct"/>
                  <w:vMerge w:val="continue"/>
                  <w:vAlign w:val="center"/>
                </w:tcPr>
                <w:p w14:paraId="2953B21C">
                  <w:pPr>
                    <w:adjustRightInd w:val="0"/>
                    <w:snapToGrid w:val="0"/>
                    <w:jc w:val="center"/>
                    <w:rPr>
                      <w:color w:val="auto"/>
                      <w:sz w:val="18"/>
                      <w:szCs w:val="18"/>
                    </w:rPr>
                  </w:pPr>
                </w:p>
              </w:tc>
              <w:tc>
                <w:tcPr>
                  <w:tcW w:w="852" w:type="pct"/>
                  <w:vMerge w:val="continue"/>
                  <w:vAlign w:val="center"/>
                </w:tcPr>
                <w:p w14:paraId="350B90DF">
                  <w:pPr>
                    <w:adjustRightInd w:val="0"/>
                    <w:snapToGrid w:val="0"/>
                    <w:jc w:val="center"/>
                    <w:rPr>
                      <w:color w:val="auto"/>
                      <w:sz w:val="18"/>
                      <w:szCs w:val="18"/>
                    </w:rPr>
                  </w:pPr>
                </w:p>
              </w:tc>
              <w:tc>
                <w:tcPr>
                  <w:tcW w:w="396" w:type="pct"/>
                  <w:vMerge w:val="continue"/>
                  <w:vAlign w:val="center"/>
                </w:tcPr>
                <w:p w14:paraId="006E13F9">
                  <w:pPr>
                    <w:adjustRightInd w:val="0"/>
                    <w:snapToGrid w:val="0"/>
                    <w:jc w:val="center"/>
                    <w:rPr>
                      <w:color w:val="auto"/>
                      <w:sz w:val="18"/>
                      <w:szCs w:val="18"/>
                    </w:rPr>
                  </w:pPr>
                </w:p>
              </w:tc>
              <w:tc>
                <w:tcPr>
                  <w:tcW w:w="456" w:type="pct"/>
                  <w:vMerge w:val="continue"/>
                  <w:shd w:val="clear" w:color="auto" w:fill="auto"/>
                  <w:vAlign w:val="center"/>
                </w:tcPr>
                <w:p w14:paraId="55A14115">
                  <w:pPr>
                    <w:adjustRightInd w:val="0"/>
                    <w:snapToGrid w:val="0"/>
                    <w:jc w:val="center"/>
                    <w:rPr>
                      <w:color w:val="auto"/>
                      <w:sz w:val="18"/>
                      <w:szCs w:val="18"/>
                    </w:rPr>
                  </w:pPr>
                </w:p>
              </w:tc>
              <w:tc>
                <w:tcPr>
                  <w:tcW w:w="510" w:type="pct"/>
                  <w:vMerge w:val="continue"/>
                  <w:shd w:val="clear" w:color="auto" w:fill="auto"/>
                  <w:vAlign w:val="center"/>
                </w:tcPr>
                <w:p w14:paraId="653D804E">
                  <w:pPr>
                    <w:adjustRightInd w:val="0"/>
                    <w:snapToGrid w:val="0"/>
                    <w:jc w:val="center"/>
                    <w:rPr>
                      <w:b/>
                      <w:color w:val="auto"/>
                      <w:kern w:val="0"/>
                      <w:sz w:val="18"/>
                      <w:szCs w:val="18"/>
                    </w:rPr>
                  </w:pPr>
                </w:p>
              </w:tc>
              <w:tc>
                <w:tcPr>
                  <w:tcW w:w="465" w:type="pct"/>
                  <w:vMerge w:val="continue"/>
                  <w:shd w:val="clear" w:color="auto" w:fill="auto"/>
                  <w:vAlign w:val="center"/>
                </w:tcPr>
                <w:p w14:paraId="6C41CF12">
                  <w:pPr>
                    <w:adjustRightInd w:val="0"/>
                    <w:snapToGrid w:val="0"/>
                    <w:spacing w:line="360" w:lineRule="auto"/>
                    <w:jc w:val="center"/>
                    <w:rPr>
                      <w:b/>
                      <w:color w:val="auto"/>
                      <w:kern w:val="0"/>
                      <w:sz w:val="18"/>
                      <w:szCs w:val="18"/>
                    </w:rPr>
                  </w:pPr>
                </w:p>
              </w:tc>
            </w:tr>
            <w:tr w14:paraId="0E847F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6" w:type="pct"/>
                  <w:shd w:val="clear" w:color="auto" w:fill="auto"/>
                  <w:vAlign w:val="center"/>
                </w:tcPr>
                <w:p w14:paraId="56DB942F">
                  <w:pPr>
                    <w:adjustRightInd w:val="0"/>
                    <w:snapToGrid w:val="0"/>
                    <w:jc w:val="center"/>
                    <w:rPr>
                      <w:color w:val="auto"/>
                      <w:kern w:val="0"/>
                      <w:sz w:val="18"/>
                      <w:szCs w:val="18"/>
                    </w:rPr>
                  </w:pPr>
                  <w:r>
                    <w:rPr>
                      <w:color w:val="auto"/>
                      <w:kern w:val="0"/>
                      <w:sz w:val="18"/>
                      <w:szCs w:val="18"/>
                    </w:rPr>
                    <w:t>6</w:t>
                  </w:r>
                </w:p>
              </w:tc>
              <w:tc>
                <w:tcPr>
                  <w:tcW w:w="395" w:type="pct"/>
                  <w:vMerge w:val="continue"/>
                  <w:shd w:val="clear" w:color="auto" w:fill="auto"/>
                  <w:vAlign w:val="center"/>
                </w:tcPr>
                <w:p w14:paraId="32DF74D0">
                  <w:pPr>
                    <w:adjustRightInd w:val="0"/>
                    <w:snapToGrid w:val="0"/>
                    <w:jc w:val="center"/>
                    <w:rPr>
                      <w:b/>
                      <w:color w:val="auto"/>
                      <w:kern w:val="0"/>
                      <w:sz w:val="18"/>
                      <w:szCs w:val="18"/>
                    </w:rPr>
                  </w:pPr>
                </w:p>
              </w:tc>
              <w:tc>
                <w:tcPr>
                  <w:tcW w:w="571" w:type="pct"/>
                  <w:vAlign w:val="center"/>
                </w:tcPr>
                <w:p w14:paraId="404D645D">
                  <w:pPr>
                    <w:adjustRightInd w:val="0"/>
                    <w:snapToGrid w:val="0"/>
                    <w:jc w:val="center"/>
                    <w:rPr>
                      <w:color w:val="auto"/>
                      <w:sz w:val="18"/>
                      <w:szCs w:val="18"/>
                    </w:rPr>
                  </w:pPr>
                  <w:r>
                    <w:rPr>
                      <w:color w:val="auto"/>
                      <w:sz w:val="18"/>
                      <w:szCs w:val="18"/>
                    </w:rPr>
                    <w:t>总磷</w:t>
                  </w:r>
                </w:p>
              </w:tc>
              <w:tc>
                <w:tcPr>
                  <w:tcW w:w="519" w:type="pct"/>
                  <w:vAlign w:val="center"/>
                </w:tcPr>
                <w:p w14:paraId="5BB8F179">
                  <w:pPr>
                    <w:adjustRightInd w:val="0"/>
                    <w:snapToGrid w:val="0"/>
                    <w:jc w:val="center"/>
                    <w:rPr>
                      <w:color w:val="auto"/>
                      <w:kern w:val="0"/>
                      <w:sz w:val="18"/>
                      <w:szCs w:val="18"/>
                    </w:rPr>
                  </w:pPr>
                  <w:r>
                    <w:rPr>
                      <w:color w:val="auto"/>
                      <w:sz w:val="18"/>
                      <w:szCs w:val="18"/>
                    </w:rPr>
                    <w:t>□</w:t>
                  </w:r>
                  <w:r>
                    <w:rPr>
                      <w:color w:val="auto"/>
                      <w:kern w:val="0"/>
                      <w:sz w:val="18"/>
                      <w:szCs w:val="18"/>
                    </w:rPr>
                    <w:t>自动</w:t>
                  </w:r>
                </w:p>
                <w:p w14:paraId="408024F2">
                  <w:pPr>
                    <w:adjustRightInd w:val="0"/>
                    <w:snapToGrid w:val="0"/>
                    <w:jc w:val="center"/>
                    <w:rPr>
                      <w:color w:val="auto"/>
                      <w:sz w:val="18"/>
                      <w:szCs w:val="18"/>
                    </w:rPr>
                  </w:pPr>
                  <w:r>
                    <w:rPr>
                      <w:color w:val="auto"/>
                      <w:sz w:val="18"/>
                      <w:szCs w:val="18"/>
                    </w:rPr>
                    <w:sym w:font="Wingdings 2" w:char="F052"/>
                  </w:r>
                  <w:r>
                    <w:rPr>
                      <w:color w:val="auto"/>
                      <w:kern w:val="0"/>
                      <w:sz w:val="18"/>
                      <w:szCs w:val="18"/>
                    </w:rPr>
                    <w:t>手动</w:t>
                  </w:r>
                </w:p>
              </w:tc>
              <w:tc>
                <w:tcPr>
                  <w:tcW w:w="625" w:type="pct"/>
                  <w:vMerge w:val="continue"/>
                  <w:vAlign w:val="center"/>
                </w:tcPr>
                <w:p w14:paraId="444E0CB6">
                  <w:pPr>
                    <w:adjustRightInd w:val="0"/>
                    <w:snapToGrid w:val="0"/>
                    <w:jc w:val="center"/>
                    <w:rPr>
                      <w:color w:val="auto"/>
                      <w:sz w:val="18"/>
                      <w:szCs w:val="18"/>
                    </w:rPr>
                  </w:pPr>
                </w:p>
              </w:tc>
              <w:tc>
                <w:tcPr>
                  <w:tcW w:w="852" w:type="pct"/>
                  <w:vMerge w:val="continue"/>
                  <w:vAlign w:val="center"/>
                </w:tcPr>
                <w:p w14:paraId="458BFF0E">
                  <w:pPr>
                    <w:adjustRightInd w:val="0"/>
                    <w:snapToGrid w:val="0"/>
                    <w:jc w:val="center"/>
                    <w:rPr>
                      <w:color w:val="auto"/>
                      <w:sz w:val="18"/>
                      <w:szCs w:val="18"/>
                    </w:rPr>
                  </w:pPr>
                </w:p>
              </w:tc>
              <w:tc>
                <w:tcPr>
                  <w:tcW w:w="396" w:type="pct"/>
                  <w:vMerge w:val="continue"/>
                  <w:vAlign w:val="center"/>
                </w:tcPr>
                <w:p w14:paraId="7EC52A85">
                  <w:pPr>
                    <w:adjustRightInd w:val="0"/>
                    <w:snapToGrid w:val="0"/>
                    <w:jc w:val="center"/>
                    <w:rPr>
                      <w:color w:val="auto"/>
                      <w:sz w:val="18"/>
                      <w:szCs w:val="18"/>
                    </w:rPr>
                  </w:pPr>
                </w:p>
              </w:tc>
              <w:tc>
                <w:tcPr>
                  <w:tcW w:w="456" w:type="pct"/>
                  <w:vMerge w:val="continue"/>
                  <w:shd w:val="clear" w:color="auto" w:fill="auto"/>
                  <w:vAlign w:val="center"/>
                </w:tcPr>
                <w:p w14:paraId="78ABC66E">
                  <w:pPr>
                    <w:adjustRightInd w:val="0"/>
                    <w:snapToGrid w:val="0"/>
                    <w:jc w:val="center"/>
                    <w:rPr>
                      <w:color w:val="auto"/>
                      <w:sz w:val="18"/>
                      <w:szCs w:val="18"/>
                    </w:rPr>
                  </w:pPr>
                </w:p>
              </w:tc>
              <w:tc>
                <w:tcPr>
                  <w:tcW w:w="510" w:type="pct"/>
                  <w:vMerge w:val="continue"/>
                  <w:shd w:val="clear" w:color="auto" w:fill="auto"/>
                  <w:vAlign w:val="center"/>
                </w:tcPr>
                <w:p w14:paraId="6ED24833">
                  <w:pPr>
                    <w:adjustRightInd w:val="0"/>
                    <w:snapToGrid w:val="0"/>
                    <w:jc w:val="center"/>
                    <w:rPr>
                      <w:b/>
                      <w:color w:val="auto"/>
                      <w:kern w:val="0"/>
                      <w:sz w:val="18"/>
                      <w:szCs w:val="18"/>
                    </w:rPr>
                  </w:pPr>
                </w:p>
              </w:tc>
              <w:tc>
                <w:tcPr>
                  <w:tcW w:w="465" w:type="pct"/>
                  <w:vMerge w:val="continue"/>
                  <w:shd w:val="clear" w:color="auto" w:fill="auto"/>
                  <w:vAlign w:val="center"/>
                </w:tcPr>
                <w:p w14:paraId="0DD890A9">
                  <w:pPr>
                    <w:adjustRightInd w:val="0"/>
                    <w:snapToGrid w:val="0"/>
                    <w:spacing w:line="360" w:lineRule="auto"/>
                    <w:jc w:val="center"/>
                    <w:rPr>
                      <w:b/>
                      <w:color w:val="auto"/>
                      <w:kern w:val="0"/>
                      <w:sz w:val="18"/>
                      <w:szCs w:val="18"/>
                    </w:rPr>
                  </w:pPr>
                </w:p>
              </w:tc>
            </w:tr>
            <w:tr w14:paraId="1C5608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6" w:type="pct"/>
                  <w:shd w:val="clear" w:color="auto" w:fill="auto"/>
                  <w:vAlign w:val="center"/>
                </w:tcPr>
                <w:p w14:paraId="4D9E8359">
                  <w:pPr>
                    <w:adjustRightInd w:val="0"/>
                    <w:snapToGrid w:val="0"/>
                    <w:jc w:val="center"/>
                    <w:rPr>
                      <w:color w:val="auto"/>
                      <w:kern w:val="0"/>
                      <w:sz w:val="18"/>
                      <w:szCs w:val="18"/>
                    </w:rPr>
                  </w:pPr>
                  <w:r>
                    <w:rPr>
                      <w:color w:val="auto"/>
                      <w:kern w:val="0"/>
                      <w:sz w:val="18"/>
                      <w:szCs w:val="18"/>
                    </w:rPr>
                    <w:t>7</w:t>
                  </w:r>
                </w:p>
              </w:tc>
              <w:tc>
                <w:tcPr>
                  <w:tcW w:w="395" w:type="pct"/>
                  <w:vMerge w:val="continue"/>
                  <w:shd w:val="clear" w:color="auto" w:fill="auto"/>
                  <w:vAlign w:val="center"/>
                </w:tcPr>
                <w:p w14:paraId="7281D2EC">
                  <w:pPr>
                    <w:adjustRightInd w:val="0"/>
                    <w:snapToGrid w:val="0"/>
                    <w:jc w:val="center"/>
                    <w:rPr>
                      <w:b/>
                      <w:color w:val="auto"/>
                      <w:kern w:val="0"/>
                      <w:sz w:val="18"/>
                      <w:szCs w:val="18"/>
                    </w:rPr>
                  </w:pPr>
                </w:p>
              </w:tc>
              <w:tc>
                <w:tcPr>
                  <w:tcW w:w="571" w:type="pct"/>
                  <w:vAlign w:val="center"/>
                </w:tcPr>
                <w:p w14:paraId="200DC0A2">
                  <w:pPr>
                    <w:adjustRightInd w:val="0"/>
                    <w:snapToGrid w:val="0"/>
                    <w:jc w:val="center"/>
                    <w:rPr>
                      <w:color w:val="auto"/>
                      <w:sz w:val="18"/>
                      <w:szCs w:val="18"/>
                    </w:rPr>
                  </w:pPr>
                  <w:r>
                    <w:rPr>
                      <w:color w:val="auto"/>
                      <w:sz w:val="18"/>
                      <w:szCs w:val="18"/>
                    </w:rPr>
                    <w:t>动植物油</w:t>
                  </w:r>
                </w:p>
              </w:tc>
              <w:tc>
                <w:tcPr>
                  <w:tcW w:w="519" w:type="pct"/>
                  <w:vAlign w:val="center"/>
                </w:tcPr>
                <w:p w14:paraId="29A0B8A1">
                  <w:pPr>
                    <w:adjustRightInd w:val="0"/>
                    <w:snapToGrid w:val="0"/>
                    <w:jc w:val="center"/>
                    <w:rPr>
                      <w:color w:val="auto"/>
                      <w:kern w:val="0"/>
                      <w:sz w:val="18"/>
                      <w:szCs w:val="18"/>
                    </w:rPr>
                  </w:pPr>
                  <w:r>
                    <w:rPr>
                      <w:color w:val="auto"/>
                      <w:sz w:val="18"/>
                      <w:szCs w:val="18"/>
                    </w:rPr>
                    <w:t>□</w:t>
                  </w:r>
                  <w:r>
                    <w:rPr>
                      <w:color w:val="auto"/>
                      <w:kern w:val="0"/>
                      <w:sz w:val="18"/>
                      <w:szCs w:val="18"/>
                    </w:rPr>
                    <w:t>自动</w:t>
                  </w:r>
                </w:p>
                <w:p w14:paraId="12940A8A">
                  <w:pPr>
                    <w:adjustRightInd w:val="0"/>
                    <w:snapToGrid w:val="0"/>
                    <w:jc w:val="center"/>
                    <w:rPr>
                      <w:color w:val="auto"/>
                      <w:sz w:val="18"/>
                      <w:szCs w:val="18"/>
                    </w:rPr>
                  </w:pPr>
                  <w:r>
                    <w:rPr>
                      <w:color w:val="auto"/>
                      <w:sz w:val="18"/>
                      <w:szCs w:val="18"/>
                    </w:rPr>
                    <w:sym w:font="Wingdings 2" w:char="F052"/>
                  </w:r>
                  <w:r>
                    <w:rPr>
                      <w:color w:val="auto"/>
                      <w:kern w:val="0"/>
                      <w:sz w:val="18"/>
                      <w:szCs w:val="18"/>
                    </w:rPr>
                    <w:t>手动</w:t>
                  </w:r>
                </w:p>
              </w:tc>
              <w:tc>
                <w:tcPr>
                  <w:tcW w:w="625" w:type="pct"/>
                  <w:vMerge w:val="continue"/>
                  <w:vAlign w:val="center"/>
                </w:tcPr>
                <w:p w14:paraId="05FBA6FF">
                  <w:pPr>
                    <w:adjustRightInd w:val="0"/>
                    <w:snapToGrid w:val="0"/>
                    <w:jc w:val="center"/>
                    <w:rPr>
                      <w:color w:val="auto"/>
                      <w:sz w:val="18"/>
                      <w:szCs w:val="18"/>
                    </w:rPr>
                  </w:pPr>
                </w:p>
              </w:tc>
              <w:tc>
                <w:tcPr>
                  <w:tcW w:w="852" w:type="pct"/>
                  <w:vMerge w:val="continue"/>
                  <w:vAlign w:val="center"/>
                </w:tcPr>
                <w:p w14:paraId="2BE1DCA7">
                  <w:pPr>
                    <w:adjustRightInd w:val="0"/>
                    <w:snapToGrid w:val="0"/>
                    <w:jc w:val="center"/>
                    <w:rPr>
                      <w:color w:val="auto"/>
                      <w:sz w:val="18"/>
                      <w:szCs w:val="18"/>
                    </w:rPr>
                  </w:pPr>
                </w:p>
              </w:tc>
              <w:tc>
                <w:tcPr>
                  <w:tcW w:w="396" w:type="pct"/>
                  <w:vMerge w:val="continue"/>
                  <w:vAlign w:val="center"/>
                </w:tcPr>
                <w:p w14:paraId="1D2893AE">
                  <w:pPr>
                    <w:adjustRightInd w:val="0"/>
                    <w:snapToGrid w:val="0"/>
                    <w:jc w:val="center"/>
                    <w:rPr>
                      <w:color w:val="auto"/>
                      <w:sz w:val="18"/>
                      <w:szCs w:val="18"/>
                    </w:rPr>
                  </w:pPr>
                </w:p>
              </w:tc>
              <w:tc>
                <w:tcPr>
                  <w:tcW w:w="456" w:type="pct"/>
                  <w:vMerge w:val="continue"/>
                  <w:shd w:val="clear" w:color="auto" w:fill="auto"/>
                  <w:vAlign w:val="center"/>
                </w:tcPr>
                <w:p w14:paraId="573CFF14">
                  <w:pPr>
                    <w:adjustRightInd w:val="0"/>
                    <w:snapToGrid w:val="0"/>
                    <w:jc w:val="center"/>
                    <w:rPr>
                      <w:color w:val="auto"/>
                      <w:sz w:val="18"/>
                      <w:szCs w:val="18"/>
                    </w:rPr>
                  </w:pPr>
                </w:p>
              </w:tc>
              <w:tc>
                <w:tcPr>
                  <w:tcW w:w="510" w:type="pct"/>
                  <w:vMerge w:val="continue"/>
                  <w:shd w:val="clear" w:color="auto" w:fill="auto"/>
                  <w:vAlign w:val="center"/>
                </w:tcPr>
                <w:p w14:paraId="3451A953">
                  <w:pPr>
                    <w:adjustRightInd w:val="0"/>
                    <w:snapToGrid w:val="0"/>
                    <w:jc w:val="center"/>
                    <w:rPr>
                      <w:b/>
                      <w:color w:val="auto"/>
                      <w:kern w:val="0"/>
                      <w:sz w:val="18"/>
                      <w:szCs w:val="18"/>
                    </w:rPr>
                  </w:pPr>
                </w:p>
              </w:tc>
              <w:tc>
                <w:tcPr>
                  <w:tcW w:w="465" w:type="pct"/>
                  <w:vMerge w:val="continue"/>
                  <w:shd w:val="clear" w:color="auto" w:fill="auto"/>
                  <w:vAlign w:val="center"/>
                </w:tcPr>
                <w:p w14:paraId="54C19060">
                  <w:pPr>
                    <w:adjustRightInd w:val="0"/>
                    <w:snapToGrid w:val="0"/>
                    <w:spacing w:line="360" w:lineRule="auto"/>
                    <w:jc w:val="center"/>
                    <w:rPr>
                      <w:b/>
                      <w:color w:val="auto"/>
                      <w:kern w:val="0"/>
                      <w:sz w:val="18"/>
                      <w:szCs w:val="18"/>
                    </w:rPr>
                  </w:pPr>
                </w:p>
              </w:tc>
            </w:tr>
            <w:tr w14:paraId="5E7D0E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06" w:type="pct"/>
                  <w:shd w:val="clear" w:color="auto" w:fill="auto"/>
                  <w:vAlign w:val="center"/>
                </w:tcPr>
                <w:p w14:paraId="5AACC37D">
                  <w:pPr>
                    <w:adjustRightInd w:val="0"/>
                    <w:snapToGrid w:val="0"/>
                    <w:jc w:val="center"/>
                    <w:rPr>
                      <w:color w:val="auto"/>
                      <w:kern w:val="0"/>
                      <w:sz w:val="18"/>
                      <w:szCs w:val="18"/>
                    </w:rPr>
                  </w:pPr>
                  <w:r>
                    <w:rPr>
                      <w:color w:val="auto"/>
                      <w:kern w:val="0"/>
                      <w:sz w:val="18"/>
                      <w:szCs w:val="18"/>
                    </w:rPr>
                    <w:t>8</w:t>
                  </w:r>
                </w:p>
              </w:tc>
              <w:tc>
                <w:tcPr>
                  <w:tcW w:w="395" w:type="pct"/>
                  <w:vMerge w:val="continue"/>
                  <w:shd w:val="clear" w:color="auto" w:fill="auto"/>
                  <w:vAlign w:val="center"/>
                </w:tcPr>
                <w:p w14:paraId="6FC6982B">
                  <w:pPr>
                    <w:adjustRightInd w:val="0"/>
                    <w:snapToGrid w:val="0"/>
                    <w:jc w:val="center"/>
                    <w:rPr>
                      <w:b/>
                      <w:color w:val="auto"/>
                      <w:kern w:val="0"/>
                      <w:sz w:val="18"/>
                      <w:szCs w:val="18"/>
                    </w:rPr>
                  </w:pPr>
                </w:p>
              </w:tc>
              <w:tc>
                <w:tcPr>
                  <w:tcW w:w="571" w:type="pct"/>
                  <w:vAlign w:val="center"/>
                </w:tcPr>
                <w:p w14:paraId="0DF68618">
                  <w:pPr>
                    <w:adjustRightInd w:val="0"/>
                    <w:snapToGrid w:val="0"/>
                    <w:jc w:val="center"/>
                    <w:rPr>
                      <w:color w:val="auto"/>
                      <w:sz w:val="18"/>
                      <w:szCs w:val="18"/>
                    </w:rPr>
                  </w:pPr>
                  <w:r>
                    <w:rPr>
                      <w:rFonts w:hint="eastAsia"/>
                      <w:color w:val="auto"/>
                      <w:sz w:val="18"/>
                      <w:szCs w:val="18"/>
                    </w:rPr>
                    <w:t>LA</w:t>
                  </w:r>
                  <w:r>
                    <w:rPr>
                      <w:color w:val="auto"/>
                      <w:sz w:val="18"/>
                      <w:szCs w:val="18"/>
                    </w:rPr>
                    <w:t>S</w:t>
                  </w:r>
                </w:p>
              </w:tc>
              <w:tc>
                <w:tcPr>
                  <w:tcW w:w="519" w:type="pct"/>
                  <w:vAlign w:val="center"/>
                </w:tcPr>
                <w:p w14:paraId="4FDDCCF5">
                  <w:pPr>
                    <w:adjustRightInd w:val="0"/>
                    <w:snapToGrid w:val="0"/>
                    <w:jc w:val="center"/>
                    <w:rPr>
                      <w:color w:val="auto"/>
                      <w:kern w:val="0"/>
                      <w:sz w:val="18"/>
                      <w:szCs w:val="18"/>
                    </w:rPr>
                  </w:pPr>
                  <w:r>
                    <w:rPr>
                      <w:color w:val="auto"/>
                      <w:sz w:val="18"/>
                      <w:szCs w:val="18"/>
                    </w:rPr>
                    <w:t>□</w:t>
                  </w:r>
                  <w:r>
                    <w:rPr>
                      <w:color w:val="auto"/>
                      <w:kern w:val="0"/>
                      <w:sz w:val="18"/>
                      <w:szCs w:val="18"/>
                    </w:rPr>
                    <w:t>自动</w:t>
                  </w:r>
                </w:p>
                <w:p w14:paraId="5445A24A">
                  <w:pPr>
                    <w:adjustRightInd w:val="0"/>
                    <w:snapToGrid w:val="0"/>
                    <w:jc w:val="center"/>
                    <w:rPr>
                      <w:color w:val="auto"/>
                      <w:sz w:val="18"/>
                      <w:szCs w:val="18"/>
                    </w:rPr>
                  </w:pPr>
                  <w:r>
                    <w:rPr>
                      <w:color w:val="auto"/>
                      <w:sz w:val="18"/>
                      <w:szCs w:val="18"/>
                    </w:rPr>
                    <w:sym w:font="Wingdings 2" w:char="F052"/>
                  </w:r>
                  <w:r>
                    <w:rPr>
                      <w:color w:val="auto"/>
                      <w:kern w:val="0"/>
                      <w:sz w:val="18"/>
                      <w:szCs w:val="18"/>
                    </w:rPr>
                    <w:t>手动</w:t>
                  </w:r>
                </w:p>
              </w:tc>
              <w:tc>
                <w:tcPr>
                  <w:tcW w:w="625" w:type="pct"/>
                  <w:vMerge w:val="continue"/>
                  <w:vAlign w:val="center"/>
                </w:tcPr>
                <w:p w14:paraId="6E06A6A2">
                  <w:pPr>
                    <w:adjustRightInd w:val="0"/>
                    <w:snapToGrid w:val="0"/>
                    <w:jc w:val="center"/>
                    <w:rPr>
                      <w:color w:val="auto"/>
                      <w:sz w:val="18"/>
                      <w:szCs w:val="18"/>
                    </w:rPr>
                  </w:pPr>
                </w:p>
              </w:tc>
              <w:tc>
                <w:tcPr>
                  <w:tcW w:w="852" w:type="pct"/>
                  <w:vMerge w:val="continue"/>
                  <w:vAlign w:val="center"/>
                </w:tcPr>
                <w:p w14:paraId="3E31F687">
                  <w:pPr>
                    <w:adjustRightInd w:val="0"/>
                    <w:snapToGrid w:val="0"/>
                    <w:jc w:val="center"/>
                    <w:rPr>
                      <w:color w:val="auto"/>
                      <w:sz w:val="18"/>
                      <w:szCs w:val="18"/>
                    </w:rPr>
                  </w:pPr>
                </w:p>
              </w:tc>
              <w:tc>
                <w:tcPr>
                  <w:tcW w:w="396" w:type="pct"/>
                  <w:vMerge w:val="continue"/>
                  <w:vAlign w:val="center"/>
                </w:tcPr>
                <w:p w14:paraId="395A83C6">
                  <w:pPr>
                    <w:adjustRightInd w:val="0"/>
                    <w:snapToGrid w:val="0"/>
                    <w:jc w:val="center"/>
                    <w:rPr>
                      <w:color w:val="auto"/>
                      <w:sz w:val="18"/>
                      <w:szCs w:val="18"/>
                    </w:rPr>
                  </w:pPr>
                </w:p>
              </w:tc>
              <w:tc>
                <w:tcPr>
                  <w:tcW w:w="456" w:type="pct"/>
                  <w:vMerge w:val="continue"/>
                  <w:shd w:val="clear" w:color="auto" w:fill="auto"/>
                  <w:vAlign w:val="center"/>
                </w:tcPr>
                <w:p w14:paraId="7FE6B185">
                  <w:pPr>
                    <w:adjustRightInd w:val="0"/>
                    <w:snapToGrid w:val="0"/>
                    <w:jc w:val="center"/>
                    <w:rPr>
                      <w:color w:val="auto"/>
                      <w:sz w:val="18"/>
                      <w:szCs w:val="18"/>
                    </w:rPr>
                  </w:pPr>
                </w:p>
              </w:tc>
              <w:tc>
                <w:tcPr>
                  <w:tcW w:w="510" w:type="pct"/>
                  <w:vMerge w:val="continue"/>
                  <w:shd w:val="clear" w:color="auto" w:fill="auto"/>
                  <w:vAlign w:val="center"/>
                </w:tcPr>
                <w:p w14:paraId="14F973CD">
                  <w:pPr>
                    <w:adjustRightInd w:val="0"/>
                    <w:snapToGrid w:val="0"/>
                    <w:jc w:val="center"/>
                    <w:rPr>
                      <w:b/>
                      <w:color w:val="auto"/>
                      <w:kern w:val="0"/>
                      <w:sz w:val="18"/>
                      <w:szCs w:val="18"/>
                    </w:rPr>
                  </w:pPr>
                </w:p>
              </w:tc>
              <w:tc>
                <w:tcPr>
                  <w:tcW w:w="465" w:type="pct"/>
                  <w:vMerge w:val="continue"/>
                  <w:shd w:val="clear" w:color="auto" w:fill="auto"/>
                  <w:vAlign w:val="center"/>
                </w:tcPr>
                <w:p w14:paraId="6FF6289E">
                  <w:pPr>
                    <w:adjustRightInd w:val="0"/>
                    <w:snapToGrid w:val="0"/>
                    <w:spacing w:line="360" w:lineRule="auto"/>
                    <w:jc w:val="center"/>
                    <w:rPr>
                      <w:b/>
                      <w:color w:val="auto"/>
                      <w:kern w:val="0"/>
                      <w:sz w:val="18"/>
                      <w:szCs w:val="18"/>
                    </w:rPr>
                  </w:pPr>
                </w:p>
              </w:tc>
            </w:tr>
            <w:tr w14:paraId="212B7D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06" w:type="pct"/>
                  <w:shd w:val="clear" w:color="auto" w:fill="auto"/>
                  <w:vAlign w:val="center"/>
                </w:tcPr>
                <w:p w14:paraId="3C8B4089">
                  <w:pPr>
                    <w:adjustRightInd w:val="0"/>
                    <w:snapToGrid w:val="0"/>
                    <w:jc w:val="center"/>
                    <w:rPr>
                      <w:rFonts w:hint="eastAsia" w:eastAsia="宋体"/>
                      <w:color w:val="auto"/>
                      <w:kern w:val="0"/>
                      <w:sz w:val="18"/>
                      <w:szCs w:val="18"/>
                      <w:lang w:val="en-US" w:eastAsia="zh-CN"/>
                    </w:rPr>
                  </w:pPr>
                  <w:r>
                    <w:rPr>
                      <w:rFonts w:hint="eastAsia"/>
                      <w:color w:val="auto"/>
                      <w:kern w:val="0"/>
                      <w:sz w:val="18"/>
                      <w:szCs w:val="18"/>
                      <w:lang w:val="en-US" w:eastAsia="zh-CN"/>
                    </w:rPr>
                    <w:t>9</w:t>
                  </w:r>
                </w:p>
              </w:tc>
              <w:tc>
                <w:tcPr>
                  <w:tcW w:w="395" w:type="pct"/>
                  <w:vMerge w:val="continue"/>
                  <w:shd w:val="clear" w:color="auto" w:fill="auto"/>
                  <w:vAlign w:val="center"/>
                </w:tcPr>
                <w:p w14:paraId="31DE16ED">
                  <w:pPr>
                    <w:adjustRightInd w:val="0"/>
                    <w:snapToGrid w:val="0"/>
                    <w:jc w:val="center"/>
                    <w:rPr>
                      <w:b/>
                      <w:color w:val="auto"/>
                      <w:kern w:val="0"/>
                      <w:sz w:val="18"/>
                      <w:szCs w:val="18"/>
                    </w:rPr>
                  </w:pPr>
                </w:p>
              </w:tc>
              <w:tc>
                <w:tcPr>
                  <w:tcW w:w="571" w:type="pct"/>
                  <w:vAlign w:val="center"/>
                </w:tcPr>
                <w:p w14:paraId="57159E62">
                  <w:pPr>
                    <w:adjustRightInd w:val="0"/>
                    <w:snapToGrid w:val="0"/>
                    <w:jc w:val="center"/>
                    <w:rPr>
                      <w:rFonts w:hint="eastAsia" w:eastAsia="宋体"/>
                      <w:color w:val="auto"/>
                      <w:sz w:val="18"/>
                      <w:szCs w:val="18"/>
                      <w:lang w:eastAsia="zh-CN"/>
                    </w:rPr>
                  </w:pPr>
                  <w:r>
                    <w:rPr>
                      <w:rFonts w:hint="eastAsia"/>
                      <w:color w:val="auto"/>
                      <w:sz w:val="18"/>
                      <w:szCs w:val="18"/>
                      <w:lang w:eastAsia="zh-CN"/>
                    </w:rPr>
                    <w:t>盐分</w:t>
                  </w:r>
                </w:p>
              </w:tc>
              <w:tc>
                <w:tcPr>
                  <w:tcW w:w="519" w:type="pct"/>
                  <w:shd w:val="clear" w:color="auto" w:fill="auto"/>
                  <w:vAlign w:val="center"/>
                </w:tcPr>
                <w:p w14:paraId="074657E7">
                  <w:pPr>
                    <w:adjustRightInd w:val="0"/>
                    <w:snapToGrid w:val="0"/>
                    <w:jc w:val="center"/>
                    <w:rPr>
                      <w:color w:val="auto"/>
                      <w:kern w:val="0"/>
                      <w:sz w:val="18"/>
                      <w:szCs w:val="18"/>
                    </w:rPr>
                  </w:pPr>
                  <w:r>
                    <w:rPr>
                      <w:color w:val="auto"/>
                      <w:sz w:val="18"/>
                      <w:szCs w:val="18"/>
                    </w:rPr>
                    <w:t>□</w:t>
                  </w:r>
                  <w:r>
                    <w:rPr>
                      <w:color w:val="auto"/>
                      <w:kern w:val="0"/>
                      <w:sz w:val="18"/>
                      <w:szCs w:val="18"/>
                    </w:rPr>
                    <w:t>自动</w:t>
                  </w:r>
                </w:p>
                <w:p w14:paraId="6B19FB99">
                  <w:pPr>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sym w:font="Wingdings 2" w:char="F052"/>
                  </w:r>
                  <w:r>
                    <w:rPr>
                      <w:color w:val="auto"/>
                      <w:kern w:val="0"/>
                      <w:sz w:val="18"/>
                      <w:szCs w:val="18"/>
                    </w:rPr>
                    <w:t>手动</w:t>
                  </w:r>
                </w:p>
              </w:tc>
              <w:tc>
                <w:tcPr>
                  <w:tcW w:w="625" w:type="pct"/>
                  <w:vMerge w:val="continue"/>
                  <w:vAlign w:val="center"/>
                </w:tcPr>
                <w:p w14:paraId="2B274719">
                  <w:pPr>
                    <w:adjustRightInd w:val="0"/>
                    <w:snapToGrid w:val="0"/>
                    <w:jc w:val="center"/>
                    <w:rPr>
                      <w:color w:val="auto"/>
                      <w:sz w:val="18"/>
                      <w:szCs w:val="18"/>
                    </w:rPr>
                  </w:pPr>
                </w:p>
              </w:tc>
              <w:tc>
                <w:tcPr>
                  <w:tcW w:w="852" w:type="pct"/>
                  <w:vMerge w:val="continue"/>
                  <w:vAlign w:val="center"/>
                </w:tcPr>
                <w:p w14:paraId="0213201A">
                  <w:pPr>
                    <w:adjustRightInd w:val="0"/>
                    <w:snapToGrid w:val="0"/>
                    <w:jc w:val="center"/>
                    <w:rPr>
                      <w:color w:val="auto"/>
                      <w:sz w:val="18"/>
                      <w:szCs w:val="18"/>
                    </w:rPr>
                  </w:pPr>
                </w:p>
              </w:tc>
              <w:tc>
                <w:tcPr>
                  <w:tcW w:w="396" w:type="pct"/>
                  <w:vMerge w:val="continue"/>
                  <w:vAlign w:val="center"/>
                </w:tcPr>
                <w:p w14:paraId="377823E6">
                  <w:pPr>
                    <w:adjustRightInd w:val="0"/>
                    <w:snapToGrid w:val="0"/>
                    <w:jc w:val="center"/>
                    <w:rPr>
                      <w:color w:val="auto"/>
                      <w:sz w:val="18"/>
                      <w:szCs w:val="18"/>
                    </w:rPr>
                  </w:pPr>
                </w:p>
              </w:tc>
              <w:tc>
                <w:tcPr>
                  <w:tcW w:w="456" w:type="pct"/>
                  <w:vMerge w:val="continue"/>
                  <w:shd w:val="clear" w:color="auto" w:fill="auto"/>
                  <w:vAlign w:val="center"/>
                </w:tcPr>
                <w:p w14:paraId="4513F0FF">
                  <w:pPr>
                    <w:adjustRightInd w:val="0"/>
                    <w:snapToGrid w:val="0"/>
                    <w:jc w:val="center"/>
                    <w:rPr>
                      <w:color w:val="auto"/>
                      <w:sz w:val="18"/>
                      <w:szCs w:val="18"/>
                    </w:rPr>
                  </w:pPr>
                </w:p>
              </w:tc>
              <w:tc>
                <w:tcPr>
                  <w:tcW w:w="510" w:type="pct"/>
                  <w:vMerge w:val="continue"/>
                  <w:shd w:val="clear" w:color="auto" w:fill="auto"/>
                  <w:vAlign w:val="center"/>
                </w:tcPr>
                <w:p w14:paraId="071E3FCC">
                  <w:pPr>
                    <w:adjustRightInd w:val="0"/>
                    <w:snapToGrid w:val="0"/>
                    <w:jc w:val="center"/>
                    <w:rPr>
                      <w:b/>
                      <w:color w:val="auto"/>
                      <w:kern w:val="0"/>
                      <w:sz w:val="18"/>
                      <w:szCs w:val="18"/>
                    </w:rPr>
                  </w:pPr>
                </w:p>
              </w:tc>
              <w:tc>
                <w:tcPr>
                  <w:tcW w:w="465" w:type="pct"/>
                  <w:vMerge w:val="continue"/>
                  <w:shd w:val="clear" w:color="auto" w:fill="auto"/>
                  <w:vAlign w:val="center"/>
                </w:tcPr>
                <w:p w14:paraId="5924174A">
                  <w:pPr>
                    <w:adjustRightInd w:val="0"/>
                    <w:snapToGrid w:val="0"/>
                    <w:spacing w:line="360" w:lineRule="auto"/>
                    <w:jc w:val="center"/>
                    <w:rPr>
                      <w:b/>
                      <w:color w:val="auto"/>
                      <w:kern w:val="0"/>
                      <w:sz w:val="18"/>
                      <w:szCs w:val="18"/>
                    </w:rPr>
                  </w:pPr>
                </w:p>
              </w:tc>
            </w:tr>
          </w:tbl>
          <w:p w14:paraId="69EE58EC">
            <w:pPr>
              <w:widowControl/>
              <w:autoSpaceDE w:val="0"/>
              <w:autoSpaceDN w:val="0"/>
              <w:adjustRightInd w:val="0"/>
              <w:snapToGrid w:val="0"/>
              <w:spacing w:line="360" w:lineRule="auto"/>
              <w:ind w:firstLine="482" w:firstLineChars="200"/>
              <w:jc w:val="left"/>
              <w:rPr>
                <w:rFonts w:hint="default" w:ascii="Times New Roman" w:hAnsi="Times New Roman" w:cs="Times New Roman" w:eastAsiaTheme="minorEastAsia"/>
                <w:b/>
                <w:color w:val="auto"/>
                <w:kern w:val="0"/>
                <w:sz w:val="24"/>
              </w:rPr>
            </w:pPr>
          </w:p>
          <w:p w14:paraId="7E08466A">
            <w:pPr>
              <w:widowControl/>
              <w:autoSpaceDE w:val="0"/>
              <w:autoSpaceDN w:val="0"/>
              <w:adjustRightInd w:val="0"/>
              <w:snapToGrid w:val="0"/>
              <w:spacing w:line="360" w:lineRule="auto"/>
              <w:ind w:firstLine="482" w:firstLineChars="200"/>
              <w:jc w:val="left"/>
              <w:rPr>
                <w:rFonts w:hint="default" w:ascii="Times New Roman" w:hAnsi="Times New Roman" w:cs="Times New Roman" w:eastAsiaTheme="minorEastAsia"/>
                <w:b/>
                <w:color w:val="auto"/>
                <w:kern w:val="0"/>
                <w:sz w:val="24"/>
              </w:rPr>
            </w:pPr>
          </w:p>
          <w:p w14:paraId="1131BC0D">
            <w:pPr>
              <w:widowControl/>
              <w:autoSpaceDE w:val="0"/>
              <w:autoSpaceDN w:val="0"/>
              <w:adjustRightInd w:val="0"/>
              <w:snapToGrid w:val="0"/>
              <w:spacing w:line="360" w:lineRule="auto"/>
              <w:ind w:firstLine="482" w:firstLineChars="200"/>
              <w:jc w:val="left"/>
              <w:rPr>
                <w:rFonts w:hint="default" w:ascii="Times New Roman" w:hAnsi="Times New Roman" w:cs="Times New Roman" w:eastAsiaTheme="minorEastAsia"/>
                <w:b/>
                <w:color w:val="auto"/>
                <w:kern w:val="0"/>
                <w:sz w:val="24"/>
              </w:rPr>
            </w:pPr>
          </w:p>
          <w:p w14:paraId="32039BC8">
            <w:pPr>
              <w:widowControl/>
              <w:autoSpaceDE w:val="0"/>
              <w:autoSpaceDN w:val="0"/>
              <w:adjustRightInd w:val="0"/>
              <w:snapToGrid w:val="0"/>
              <w:spacing w:line="360" w:lineRule="auto"/>
              <w:ind w:firstLine="482" w:firstLineChars="200"/>
              <w:jc w:val="left"/>
              <w:rPr>
                <w:rFonts w:hint="default" w:ascii="Times New Roman" w:hAnsi="Times New Roman" w:cs="Times New Roman" w:eastAsiaTheme="minorEastAsia"/>
                <w:b/>
                <w:color w:val="auto"/>
                <w:kern w:val="0"/>
                <w:sz w:val="24"/>
              </w:rPr>
            </w:pPr>
            <w:r>
              <w:rPr>
                <w:rFonts w:hint="default" w:ascii="Times New Roman" w:hAnsi="Times New Roman" w:cs="Times New Roman" w:eastAsiaTheme="minorEastAsia"/>
                <w:b/>
                <w:color w:val="auto"/>
                <w:kern w:val="0"/>
                <w:sz w:val="24"/>
              </w:rPr>
              <w:t>2.3废水防治措施可行性分析</w:t>
            </w:r>
          </w:p>
          <w:p w14:paraId="551C265F">
            <w:pPr>
              <w:spacing w:line="360" w:lineRule="auto"/>
              <w:ind w:firstLine="480" w:firstLineChars="200"/>
              <w:rPr>
                <w:color w:val="auto"/>
                <w:sz w:val="24"/>
              </w:rPr>
            </w:pPr>
            <w:r>
              <w:rPr>
                <w:color w:val="auto"/>
                <w:sz w:val="24"/>
              </w:rPr>
              <w:t>本项目</w:t>
            </w:r>
            <w:r>
              <w:rPr>
                <w:rFonts w:hint="eastAsia"/>
                <w:color w:val="auto"/>
                <w:sz w:val="24"/>
              </w:rPr>
              <w:t>产生的废水为生活废水、生产废水、冲洗废水。生活污水主要有食堂废水和职工生活废水；</w:t>
            </w:r>
            <w:r>
              <w:rPr>
                <w:color w:val="auto"/>
                <w:sz w:val="24"/>
              </w:rPr>
              <w:t>生产废水</w:t>
            </w:r>
            <w:r>
              <w:rPr>
                <w:rFonts w:hint="eastAsia"/>
                <w:color w:val="auto"/>
                <w:sz w:val="24"/>
                <w:lang w:eastAsia="zh-CN"/>
              </w:rPr>
              <w:t>：</w:t>
            </w:r>
            <w:r>
              <w:rPr>
                <w:color w:val="auto"/>
                <w:sz w:val="24"/>
              </w:rPr>
              <w:t>主要</w:t>
            </w:r>
            <w:r>
              <w:rPr>
                <w:rFonts w:hint="eastAsia"/>
                <w:color w:val="auto"/>
                <w:sz w:val="24"/>
              </w:rPr>
              <w:t>有</w:t>
            </w:r>
            <w:r>
              <w:rPr>
                <w:rFonts w:hint="eastAsia"/>
                <w:color w:val="auto"/>
                <w:sz w:val="24"/>
                <w:lang w:eastAsia="zh-CN"/>
              </w:rPr>
              <w:t>解冻、浸泡、</w:t>
            </w:r>
            <w:r>
              <w:rPr>
                <w:rFonts w:hint="eastAsia"/>
                <w:color w:val="auto"/>
                <w:sz w:val="24"/>
              </w:rPr>
              <w:t>清洗、</w:t>
            </w:r>
            <w:r>
              <w:rPr>
                <w:rFonts w:hint="eastAsia"/>
                <w:color w:val="auto"/>
                <w:sz w:val="24"/>
                <w:lang w:eastAsia="zh-CN"/>
              </w:rPr>
              <w:t>漂烫、冷却</w:t>
            </w:r>
            <w:r>
              <w:rPr>
                <w:rFonts w:hint="eastAsia"/>
                <w:color w:val="auto"/>
                <w:sz w:val="24"/>
              </w:rPr>
              <w:t>、脱水</w:t>
            </w:r>
            <w:r>
              <w:rPr>
                <w:rFonts w:hint="eastAsia"/>
                <w:color w:val="auto"/>
                <w:sz w:val="24"/>
                <w:lang w:eastAsia="zh-CN"/>
              </w:rPr>
              <w:t>等清洗</w:t>
            </w:r>
            <w:r>
              <w:rPr>
                <w:rFonts w:hint="eastAsia"/>
                <w:color w:val="auto"/>
                <w:sz w:val="24"/>
              </w:rPr>
              <w:t>废水；冲洗废水主要有设备清洗废水、地面清洁废水和化验废水</w:t>
            </w:r>
            <w:r>
              <w:rPr>
                <w:color w:val="auto"/>
                <w:sz w:val="24"/>
              </w:rPr>
              <w:t>。</w:t>
            </w:r>
            <w:r>
              <w:rPr>
                <w:rFonts w:hint="eastAsia"/>
                <w:color w:val="auto"/>
                <w:sz w:val="24"/>
              </w:rPr>
              <w:t>生活废水经化粪池处理后排入厂区污水处理站；食堂废水和设备冲洗废水经隔油池处理后排入厂区污水处理站，其余废水排入厂区污水处理站，综合废水</w:t>
            </w:r>
            <w:r>
              <w:rPr>
                <w:color w:val="auto"/>
                <w:sz w:val="24"/>
              </w:rPr>
              <w:t>经污水处理站处置达标后接管至涟水经济开发区西区污水处理厂集中处置，</w:t>
            </w:r>
            <w:r>
              <w:rPr>
                <w:rFonts w:hint="eastAsia"/>
                <w:color w:val="auto"/>
                <w:sz w:val="24"/>
              </w:rPr>
              <w:t>处理达标后</w:t>
            </w:r>
            <w:r>
              <w:rPr>
                <w:color w:val="auto"/>
                <w:sz w:val="24"/>
              </w:rPr>
              <w:t>尾水排放至公兴河。</w:t>
            </w:r>
          </w:p>
          <w:p w14:paraId="6111BFF5">
            <w:pPr>
              <w:spacing w:line="360" w:lineRule="auto"/>
              <w:ind w:firstLine="482" w:firstLineChars="200"/>
              <w:jc w:val="left"/>
              <w:rPr>
                <w:b/>
                <w:color w:val="auto"/>
                <w:sz w:val="24"/>
              </w:rPr>
            </w:pPr>
            <w:r>
              <w:rPr>
                <w:rFonts w:hint="eastAsia"/>
                <w:b/>
                <w:color w:val="auto"/>
                <w:sz w:val="24"/>
              </w:rPr>
              <w:t>（1）隔油池和化粪池可行性分析</w:t>
            </w:r>
          </w:p>
          <w:p w14:paraId="180F6696">
            <w:pPr>
              <w:spacing w:line="360" w:lineRule="auto"/>
              <w:ind w:firstLine="480" w:firstLineChars="200"/>
              <w:rPr>
                <w:b/>
                <w:color w:val="auto"/>
                <w:sz w:val="24"/>
              </w:rPr>
            </w:pPr>
            <w:r>
              <w:rPr>
                <w:color w:val="auto"/>
                <w:sz w:val="24"/>
              </w:rPr>
              <w:t>隔油池是利用油滴与水的密度差产生上浮作用来去除含油废水中可浮性油类物质的一种废水预处理构筑物。隔油池的构造多采用平流式，含油废水通过配水槽进入平面为矩形的隔油池，沿水平方向缓慢流动，在流动中油品上浮水面，由集油管或设置在池面的刮油机推送到集油管中流入脱水罐。</w:t>
            </w:r>
          </w:p>
          <w:p w14:paraId="035ED80C">
            <w:pPr>
              <w:spacing w:line="360" w:lineRule="auto"/>
              <w:ind w:firstLine="480" w:firstLineChars="200"/>
              <w:rPr>
                <w:color w:val="auto"/>
                <w:sz w:val="24"/>
              </w:rPr>
            </w:pPr>
            <w:r>
              <w:rPr>
                <w:color w:val="auto"/>
                <w:sz w:val="24"/>
              </w:rPr>
              <w:t>化粪池是利用沉淀和厌氧发酵的原理，去除生活污水中悬浮性有机物的处理设施。其原理是固化物在池底分解，上层的水化物体，进入管道流走，防止了管道堵塞，给固化物体（粪便等垃圾）有充足的时间水解。</w:t>
            </w:r>
          </w:p>
          <w:p w14:paraId="57943524">
            <w:pPr>
              <w:spacing w:line="360" w:lineRule="auto"/>
              <w:ind w:firstLine="480" w:firstLineChars="200"/>
              <w:rPr>
                <w:color w:val="auto"/>
                <w:sz w:val="24"/>
              </w:rPr>
            </w:pPr>
            <w:r>
              <w:rPr>
                <w:rFonts w:hint="eastAsia"/>
                <w:color w:val="auto"/>
                <w:sz w:val="24"/>
              </w:rPr>
              <w:t>生活废水经化粪池处理、食堂废水和设备冲洗废水经隔油池处理后可接入厂区污水处理站进行下一步处理。</w:t>
            </w:r>
          </w:p>
          <w:p w14:paraId="7207AEF8">
            <w:pPr>
              <w:spacing w:line="360" w:lineRule="auto"/>
              <w:ind w:firstLine="482" w:firstLineChars="200"/>
              <w:jc w:val="left"/>
              <w:rPr>
                <w:b/>
                <w:color w:val="auto"/>
                <w:sz w:val="24"/>
              </w:rPr>
            </w:pPr>
            <w:r>
              <w:rPr>
                <w:rFonts w:hint="eastAsia"/>
                <w:b/>
                <w:color w:val="auto"/>
                <w:sz w:val="24"/>
              </w:rPr>
              <w:t>（</w:t>
            </w:r>
            <w:r>
              <w:rPr>
                <w:b/>
                <w:color w:val="auto"/>
                <w:sz w:val="24"/>
              </w:rPr>
              <w:t>2</w:t>
            </w:r>
            <w:r>
              <w:rPr>
                <w:rFonts w:hint="eastAsia"/>
                <w:b/>
                <w:color w:val="auto"/>
                <w:sz w:val="24"/>
              </w:rPr>
              <w:t>）污水处理站可行性分析</w:t>
            </w:r>
          </w:p>
          <w:p w14:paraId="2123F4A1">
            <w:pPr>
              <w:spacing w:line="360" w:lineRule="auto"/>
              <w:ind w:firstLine="480" w:firstLineChars="200"/>
              <w:jc w:val="left"/>
              <w:rPr>
                <w:b/>
                <w:color w:val="auto"/>
                <w:sz w:val="24"/>
              </w:rPr>
            </w:pPr>
            <w:r>
              <w:rPr>
                <w:color w:val="auto"/>
                <w:sz w:val="24"/>
              </w:rPr>
              <w:t>本项目厂内污水处理站设计日处理量达1600t/d</w:t>
            </w:r>
            <w:r>
              <w:rPr>
                <w:rFonts w:hint="eastAsia"/>
                <w:color w:val="auto"/>
                <w:sz w:val="24"/>
              </w:rPr>
              <w:t>。</w:t>
            </w:r>
          </w:p>
          <w:p w14:paraId="2911AF58">
            <w:pPr>
              <w:pStyle w:val="146"/>
              <w:ind w:left="480" w:firstLine="0" w:firstLineChars="0"/>
              <w:rPr>
                <w:rFonts w:eastAsia="宋体"/>
                <w:b/>
                <w:color w:val="auto"/>
                <w:kern w:val="0"/>
                <w:szCs w:val="24"/>
              </w:rPr>
            </w:pPr>
            <w:r>
              <w:rPr>
                <w:color w:val="auto"/>
              </w:rPr>
              <mc:AlternateContent>
                <mc:Choice Requires="wpc">
                  <w:drawing>
                    <wp:anchor distT="0" distB="0" distL="114300" distR="114300" simplePos="0" relativeHeight="251659264" behindDoc="0" locked="0" layoutInCell="1" allowOverlap="1">
                      <wp:simplePos x="0" y="0"/>
                      <wp:positionH relativeFrom="column">
                        <wp:posOffset>-65405</wp:posOffset>
                      </wp:positionH>
                      <wp:positionV relativeFrom="paragraph">
                        <wp:posOffset>297815</wp:posOffset>
                      </wp:positionV>
                      <wp:extent cx="5413375" cy="3761105"/>
                      <wp:effectExtent l="0" t="0" r="15875" b="10795"/>
                      <wp:wrapSquare wrapText="bothSides"/>
                      <wp:docPr id="42" name="画布 42"/>
                      <wp:cNvGraphicFramePr/>
                      <a:graphic xmlns:a="http://schemas.openxmlformats.org/drawingml/2006/main">
                        <a:graphicData uri="http://schemas.microsoft.com/office/word/2010/wordprocessingCanvas">
                          <wpc:wpc>
                            <wpc:bg>
                              <a:noFill/>
                            </wpc:bg>
                            <wpc:whole>
                              <a:ln>
                                <a:noFill/>
                              </a:ln>
                            </wpc:whole>
                            <wps:wsp>
                              <wps:cNvPr id="1" name="矩形 62"/>
                              <wps:cNvSpPr>
                                <a:spLocks noChangeArrowheads="1"/>
                              </wps:cNvSpPr>
                              <wps:spPr bwMode="auto">
                                <a:xfrm>
                                  <a:off x="3871399" y="136964"/>
                                  <a:ext cx="842645" cy="269240"/>
                                </a:xfrm>
                                <a:prstGeom prst="rect">
                                  <a:avLst/>
                                </a:prstGeom>
                                <a:solidFill>
                                  <a:srgbClr val="FFFFFF"/>
                                </a:solidFill>
                                <a:ln>
                                  <a:noFill/>
                                </a:ln>
                                <a:effectLst/>
                              </wps:spPr>
                              <wps:txbx>
                                <w:txbxContent>
                                  <w:p w14:paraId="1C8AD1D6">
                                    <w:pPr>
                                      <w:jc w:val="center"/>
                                    </w:pPr>
                                    <w:r>
                                      <w:rPr>
                                        <w:rFonts w:hint="eastAsia"/>
                                      </w:rPr>
                                      <w:t>污泥回流</w:t>
                                    </w:r>
                                  </w:p>
                                </w:txbxContent>
                              </wps:txbx>
                              <wps:bodyPr rot="0" vert="horz" wrap="square" lIns="91440" tIns="45720" rIns="91440" bIns="45720" anchor="ctr" anchorCtr="0" upright="1">
                                <a:noAutofit/>
                              </wps:bodyPr>
                            </wps:wsp>
                            <wps:wsp>
                              <wps:cNvPr id="3" name="矩形 2"/>
                              <wps:cNvSpPr>
                                <a:spLocks noChangeArrowheads="1"/>
                              </wps:cNvSpPr>
                              <wps:spPr bwMode="auto">
                                <a:xfrm>
                                  <a:off x="35999" y="841179"/>
                                  <a:ext cx="347980" cy="903605"/>
                                </a:xfrm>
                                <a:prstGeom prst="rect">
                                  <a:avLst/>
                                </a:prstGeom>
                                <a:solidFill>
                                  <a:srgbClr val="FFFFFF"/>
                                </a:solidFill>
                                <a:ln>
                                  <a:noFill/>
                                </a:ln>
                                <a:effectLst/>
                              </wps:spPr>
                              <wps:txbx>
                                <w:txbxContent>
                                  <w:p w14:paraId="012DB8D7">
                                    <w:pPr>
                                      <w:jc w:val="center"/>
                                    </w:pPr>
                                    <w:r>
                                      <w:rPr>
                                        <w:rFonts w:hint="eastAsia"/>
                                      </w:rPr>
                                      <w:t>综合废水</w:t>
                                    </w:r>
                                  </w:p>
                                </w:txbxContent>
                              </wps:txbx>
                              <wps:bodyPr rot="0" vert="horz" wrap="square" lIns="91440" tIns="45720" rIns="91440" bIns="45720" anchor="ctr" anchorCtr="0" upright="1">
                                <a:noAutofit/>
                              </wps:bodyPr>
                            </wps:wsp>
                            <wps:wsp>
                              <wps:cNvPr id="4" name="矩形 8"/>
                              <wps:cNvSpPr>
                                <a:spLocks noChangeArrowheads="1"/>
                              </wps:cNvSpPr>
                              <wps:spPr bwMode="auto">
                                <a:xfrm>
                                  <a:off x="693859" y="723704"/>
                                  <a:ext cx="321945" cy="1207770"/>
                                </a:xfrm>
                                <a:prstGeom prst="rect">
                                  <a:avLst/>
                                </a:prstGeom>
                                <a:noFill/>
                                <a:ln w="25400">
                                  <a:solidFill>
                                    <a:srgbClr val="000000"/>
                                  </a:solidFill>
                                  <a:round/>
                                </a:ln>
                                <a:effectLst/>
                              </wps:spPr>
                              <wps:txbx>
                                <w:txbxContent>
                                  <w:p w14:paraId="51AC5F2B">
                                    <w:pPr>
                                      <w:jc w:val="center"/>
                                      <w:rPr>
                                        <w:color w:val="000000"/>
                                      </w:rPr>
                                    </w:pPr>
                                    <w:r>
                                      <w:rPr>
                                        <w:rFonts w:hint="eastAsia"/>
                                        <w:color w:val="000000"/>
                                      </w:rPr>
                                      <w:t>机械格栅</w:t>
                                    </w:r>
                                  </w:p>
                                </w:txbxContent>
                              </wps:txbx>
                              <wps:bodyPr rot="0" vert="horz" wrap="square" lIns="91440" tIns="45720" rIns="91440" bIns="45720" anchor="ctr" anchorCtr="0" upright="1">
                                <a:noAutofit/>
                              </wps:bodyPr>
                            </wps:wsp>
                            <wps:wsp>
                              <wps:cNvPr id="5" name="矩形 13"/>
                              <wps:cNvSpPr>
                                <a:spLocks noChangeArrowheads="1"/>
                              </wps:cNvSpPr>
                              <wps:spPr bwMode="auto">
                                <a:xfrm>
                                  <a:off x="1294569" y="705289"/>
                                  <a:ext cx="325755" cy="1228090"/>
                                </a:xfrm>
                                <a:prstGeom prst="rect">
                                  <a:avLst/>
                                </a:prstGeom>
                                <a:noFill/>
                                <a:ln w="25400">
                                  <a:solidFill>
                                    <a:srgbClr val="000000"/>
                                  </a:solidFill>
                                  <a:round/>
                                </a:ln>
                                <a:effectLst/>
                              </wps:spPr>
                              <wps:txbx>
                                <w:txbxContent>
                                  <w:p w14:paraId="3B3B8F06">
                                    <w:pPr>
                                      <w:jc w:val="center"/>
                                      <w:rPr>
                                        <w:color w:val="000000"/>
                                      </w:rPr>
                                    </w:pPr>
                                    <w:r>
                                      <w:rPr>
                                        <w:rFonts w:hint="eastAsia"/>
                                        <w:color w:val="000000"/>
                                      </w:rPr>
                                      <w:t>折流沉淀池</w:t>
                                    </w:r>
                                  </w:p>
                                </w:txbxContent>
                              </wps:txbx>
                              <wps:bodyPr rot="0" vert="horz" wrap="square" lIns="91440" tIns="45720" rIns="91440" bIns="45720" anchor="ctr" anchorCtr="0" upright="1">
                                <a:noAutofit/>
                              </wps:bodyPr>
                            </wps:wsp>
                            <wps:wsp>
                              <wps:cNvPr id="6" name="矩形 17"/>
                              <wps:cNvSpPr>
                                <a:spLocks noChangeArrowheads="1"/>
                              </wps:cNvSpPr>
                              <wps:spPr bwMode="auto">
                                <a:xfrm>
                                  <a:off x="1894644" y="706559"/>
                                  <a:ext cx="324485" cy="1247775"/>
                                </a:xfrm>
                                <a:prstGeom prst="rect">
                                  <a:avLst/>
                                </a:prstGeom>
                                <a:noFill/>
                                <a:ln w="25400">
                                  <a:solidFill>
                                    <a:srgbClr val="000000"/>
                                  </a:solidFill>
                                  <a:round/>
                                </a:ln>
                                <a:effectLst/>
                              </wps:spPr>
                              <wps:txbx>
                                <w:txbxContent>
                                  <w:p w14:paraId="2B71F966">
                                    <w:pPr>
                                      <w:jc w:val="center"/>
                                      <w:rPr>
                                        <w:color w:val="000000"/>
                                      </w:rPr>
                                    </w:pPr>
                                  </w:p>
                                  <w:p w14:paraId="08DAF759">
                                    <w:pPr>
                                      <w:jc w:val="center"/>
                                      <w:rPr>
                                        <w:color w:val="000000"/>
                                      </w:rPr>
                                    </w:pPr>
                                    <w:r>
                                      <w:rPr>
                                        <w:rFonts w:hint="eastAsia"/>
                                        <w:color w:val="000000"/>
                                      </w:rPr>
                                      <w:t>调节池</w:t>
                                    </w:r>
                                  </w:p>
                                </w:txbxContent>
                              </wps:txbx>
                              <wps:bodyPr rot="0" vert="horz" wrap="square" lIns="91440" tIns="45720" rIns="91440" bIns="45720" anchor="ctr" anchorCtr="0" upright="1">
                                <a:noAutofit/>
                              </wps:bodyPr>
                            </wps:wsp>
                            <wps:wsp>
                              <wps:cNvPr id="7" name="矩形 19"/>
                              <wps:cNvSpPr>
                                <a:spLocks noChangeArrowheads="1"/>
                              </wps:cNvSpPr>
                              <wps:spPr bwMode="auto">
                                <a:xfrm>
                                  <a:off x="2440744" y="684334"/>
                                  <a:ext cx="346710" cy="1278255"/>
                                </a:xfrm>
                                <a:prstGeom prst="rect">
                                  <a:avLst/>
                                </a:prstGeom>
                                <a:noFill/>
                                <a:ln w="25400">
                                  <a:solidFill>
                                    <a:srgbClr val="000000"/>
                                  </a:solidFill>
                                  <a:round/>
                                </a:ln>
                                <a:effectLst/>
                              </wps:spPr>
                              <wps:txbx>
                                <w:txbxContent>
                                  <w:p w14:paraId="3E12DEA4">
                                    <w:pPr>
                                      <w:jc w:val="center"/>
                                      <w:rPr>
                                        <w:color w:val="000000"/>
                                      </w:rPr>
                                    </w:pPr>
                                    <w:r>
                                      <w:rPr>
                                        <w:rFonts w:hint="eastAsia"/>
                                        <w:color w:val="000000"/>
                                      </w:rPr>
                                      <w:t>混凝气浮池</w:t>
                                    </w:r>
                                  </w:p>
                                </w:txbxContent>
                              </wps:txbx>
                              <wps:bodyPr rot="0" vert="horz" wrap="square" lIns="91440" tIns="45720" rIns="91440" bIns="45720" anchor="ctr" anchorCtr="0" upright="1">
                                <a:noAutofit/>
                              </wps:bodyPr>
                            </wps:wsp>
                            <wps:wsp>
                              <wps:cNvPr id="8" name="矩形 22"/>
                              <wps:cNvSpPr>
                                <a:spLocks noChangeArrowheads="1"/>
                              </wps:cNvSpPr>
                              <wps:spPr bwMode="auto">
                                <a:xfrm>
                                  <a:off x="3068759" y="692589"/>
                                  <a:ext cx="346710" cy="1283970"/>
                                </a:xfrm>
                                <a:prstGeom prst="rect">
                                  <a:avLst/>
                                </a:prstGeom>
                                <a:noFill/>
                                <a:ln w="25400">
                                  <a:solidFill>
                                    <a:srgbClr val="000000"/>
                                  </a:solidFill>
                                  <a:round/>
                                </a:ln>
                                <a:effectLst/>
                              </wps:spPr>
                              <wps:txbx>
                                <w:txbxContent>
                                  <w:p w14:paraId="68DB0F01">
                                    <w:pPr>
                                      <w:jc w:val="center"/>
                                      <w:rPr>
                                        <w:color w:val="000000"/>
                                      </w:rPr>
                                    </w:pPr>
                                    <w:r>
                                      <w:rPr>
                                        <w:rFonts w:hint="eastAsia"/>
                                        <w:color w:val="000000"/>
                                      </w:rPr>
                                      <w:t>水解酸化池</w:t>
                                    </w:r>
                                  </w:p>
                                </w:txbxContent>
                              </wps:txbx>
                              <wps:bodyPr rot="0" vert="horz" wrap="square" lIns="91440" tIns="45720" rIns="91440" bIns="45720" anchor="ctr" anchorCtr="0" upright="1">
                                <a:noAutofit/>
                              </wps:bodyPr>
                            </wps:wsp>
                            <wps:wsp>
                              <wps:cNvPr id="9" name="矩形 28"/>
                              <wps:cNvSpPr>
                                <a:spLocks noChangeArrowheads="1"/>
                              </wps:cNvSpPr>
                              <wps:spPr bwMode="auto">
                                <a:xfrm>
                                  <a:off x="3700584" y="689414"/>
                                  <a:ext cx="346710" cy="1261110"/>
                                </a:xfrm>
                                <a:prstGeom prst="rect">
                                  <a:avLst/>
                                </a:prstGeom>
                                <a:noFill/>
                                <a:ln w="25400">
                                  <a:solidFill>
                                    <a:srgbClr val="000000"/>
                                  </a:solidFill>
                                  <a:round/>
                                </a:ln>
                                <a:effectLst/>
                              </wps:spPr>
                              <wps:txbx>
                                <w:txbxContent>
                                  <w:p w14:paraId="7B32FFBB">
                                    <w:pPr>
                                      <w:jc w:val="center"/>
                                      <w:rPr>
                                        <w:color w:val="000000"/>
                                      </w:rPr>
                                    </w:pPr>
                                    <w:r>
                                      <w:rPr>
                                        <w:rFonts w:hint="eastAsia"/>
                                        <w:color w:val="000000"/>
                                      </w:rPr>
                                      <w:t>接触氧化池</w:t>
                                    </w:r>
                                  </w:p>
                                </w:txbxContent>
                              </wps:txbx>
                              <wps:bodyPr rot="0" vert="horz" wrap="square" lIns="91440" tIns="45720" rIns="91440" bIns="45720" anchor="ctr" anchorCtr="0" upright="1">
                                <a:noAutofit/>
                              </wps:bodyPr>
                            </wps:wsp>
                            <wps:wsp>
                              <wps:cNvPr id="10" name="矩形 32"/>
                              <wps:cNvSpPr>
                                <a:spLocks noChangeArrowheads="1"/>
                              </wps:cNvSpPr>
                              <wps:spPr bwMode="auto">
                                <a:xfrm>
                                  <a:off x="4284784" y="681159"/>
                                  <a:ext cx="346710" cy="1269365"/>
                                </a:xfrm>
                                <a:prstGeom prst="rect">
                                  <a:avLst/>
                                </a:prstGeom>
                                <a:noFill/>
                                <a:ln w="25400">
                                  <a:solidFill>
                                    <a:srgbClr val="000000"/>
                                  </a:solidFill>
                                  <a:round/>
                                </a:ln>
                                <a:effectLst/>
                              </wps:spPr>
                              <wps:txbx>
                                <w:txbxContent>
                                  <w:p w14:paraId="4E2318BE">
                                    <w:pPr>
                                      <w:jc w:val="center"/>
                                      <w:rPr>
                                        <w:color w:val="000000"/>
                                      </w:rPr>
                                    </w:pPr>
                                  </w:p>
                                  <w:p w14:paraId="4AF237FF">
                                    <w:pPr>
                                      <w:jc w:val="center"/>
                                      <w:rPr>
                                        <w:color w:val="000000"/>
                                      </w:rPr>
                                    </w:pPr>
                                    <w:r>
                                      <w:rPr>
                                        <w:rFonts w:hint="eastAsia"/>
                                        <w:color w:val="000000"/>
                                      </w:rPr>
                                      <w:t>二沉池</w:t>
                                    </w:r>
                                  </w:p>
                                </w:txbxContent>
                              </wps:txbx>
                              <wps:bodyPr rot="0" vert="horz" wrap="square" lIns="91440" tIns="45720" rIns="91440" bIns="45720" anchor="ctr" anchorCtr="0" upright="1">
                                <a:noAutofit/>
                              </wps:bodyPr>
                            </wps:wsp>
                            <wps:wsp>
                              <wps:cNvPr id="11" name="肘形连接符 45"/>
                              <wps:cNvCnPr>
                                <a:cxnSpLocks noChangeShapeType="1"/>
                              </wps:cNvCnPr>
                              <wps:spPr bwMode="auto">
                                <a:xfrm flipV="1">
                                  <a:off x="2227384" y="1339654"/>
                                  <a:ext cx="221615" cy="2540"/>
                                </a:xfrm>
                                <a:prstGeom prst="bentConnector3">
                                  <a:avLst>
                                    <a:gd name="adj1" fmla="val 50144"/>
                                  </a:avLst>
                                </a:prstGeom>
                                <a:noFill/>
                                <a:ln w="9525">
                                  <a:solidFill>
                                    <a:srgbClr val="4A7EBB"/>
                                  </a:solidFill>
                                  <a:round/>
                                  <a:tailEnd type="arrow" w="med" len="med"/>
                                </a:ln>
                                <a:effectLst/>
                              </wps:spPr>
                              <wps:bodyPr/>
                            </wps:wsp>
                            <wps:wsp>
                              <wps:cNvPr id="12" name="肘形连接符 47"/>
                              <wps:cNvCnPr>
                                <a:cxnSpLocks noChangeShapeType="1"/>
                              </wps:cNvCnPr>
                              <wps:spPr bwMode="auto">
                                <a:xfrm flipV="1">
                                  <a:off x="3454839" y="1307904"/>
                                  <a:ext cx="252730" cy="2540"/>
                                </a:xfrm>
                                <a:prstGeom prst="bentConnector3">
                                  <a:avLst>
                                    <a:gd name="adj1" fmla="val 50000"/>
                                  </a:avLst>
                                </a:prstGeom>
                                <a:noFill/>
                                <a:ln w="9525">
                                  <a:solidFill>
                                    <a:srgbClr val="4A7EBB"/>
                                  </a:solidFill>
                                  <a:round/>
                                  <a:tailEnd type="arrow" w="med" len="med"/>
                                </a:ln>
                                <a:effectLst/>
                              </wps:spPr>
                              <wps:bodyPr/>
                            </wps:wsp>
                            <wps:wsp>
                              <wps:cNvPr id="13" name="肘形连接符 48"/>
                              <wps:cNvCnPr>
                                <a:cxnSpLocks noChangeShapeType="1"/>
                              </wps:cNvCnPr>
                              <wps:spPr bwMode="auto">
                                <a:xfrm>
                                  <a:off x="4070154" y="1292664"/>
                                  <a:ext cx="232410" cy="2540"/>
                                </a:xfrm>
                                <a:prstGeom prst="bentConnector3">
                                  <a:avLst>
                                    <a:gd name="adj1" fmla="val 50000"/>
                                  </a:avLst>
                                </a:prstGeom>
                                <a:noFill/>
                                <a:ln w="9525">
                                  <a:solidFill>
                                    <a:srgbClr val="4A7EBB"/>
                                  </a:solidFill>
                                  <a:round/>
                                  <a:tailEnd type="arrow" w="med" len="med"/>
                                </a:ln>
                                <a:effectLst/>
                              </wps:spPr>
                              <wps:bodyPr/>
                            </wps:wsp>
                            <wps:wsp>
                              <wps:cNvPr id="14" name="矩形 63"/>
                              <wps:cNvSpPr>
                                <a:spLocks noChangeArrowheads="1"/>
                              </wps:cNvSpPr>
                              <wps:spPr bwMode="auto">
                                <a:xfrm>
                                  <a:off x="2130864" y="35999"/>
                                  <a:ext cx="897890" cy="269240"/>
                                </a:xfrm>
                                <a:prstGeom prst="rect">
                                  <a:avLst/>
                                </a:prstGeom>
                                <a:solidFill>
                                  <a:srgbClr val="FFFFFF"/>
                                </a:solidFill>
                                <a:ln>
                                  <a:noFill/>
                                </a:ln>
                                <a:effectLst/>
                              </wps:spPr>
                              <wps:txbx>
                                <w:txbxContent>
                                  <w:p w14:paraId="4D21743D">
                                    <w:pPr>
                                      <w:jc w:val="center"/>
                                    </w:pPr>
                                    <w:r>
                                      <w:rPr>
                                        <w:rFonts w:hint="eastAsia"/>
                                      </w:rPr>
                                      <w:t>PAC、PAM</w:t>
                                    </w:r>
                                  </w:p>
                                </w:txbxContent>
                              </wps:txbx>
                              <wps:bodyPr rot="0" vert="horz" wrap="square" lIns="91440" tIns="45720" rIns="91440" bIns="45720" anchor="ctr" anchorCtr="0" upright="1">
                                <a:noAutofit/>
                              </wps:bodyPr>
                            </wps:wsp>
                            <wps:wsp>
                              <wps:cNvPr id="15" name="肘形连接符 64"/>
                              <wps:cNvCnPr>
                                <a:cxnSpLocks noChangeShapeType="1"/>
                              </wps:cNvCnPr>
                              <wps:spPr bwMode="auto">
                                <a:xfrm rot="5400000" flipV="1">
                                  <a:off x="2460427" y="514152"/>
                                  <a:ext cx="323215" cy="635"/>
                                </a:xfrm>
                                <a:prstGeom prst="bentConnector3">
                                  <a:avLst>
                                    <a:gd name="adj1" fmla="val 50097"/>
                                  </a:avLst>
                                </a:prstGeom>
                                <a:noFill/>
                                <a:ln w="9525">
                                  <a:solidFill>
                                    <a:srgbClr val="4A7EBB"/>
                                  </a:solidFill>
                                  <a:prstDash val="dash"/>
                                  <a:round/>
                                  <a:tailEnd type="arrow" w="med" len="med"/>
                                </a:ln>
                                <a:effectLst/>
                              </wps:spPr>
                              <wps:bodyPr/>
                            </wps:wsp>
                            <wps:wsp>
                              <wps:cNvPr id="16" name="矩形 67"/>
                              <wps:cNvSpPr>
                                <a:spLocks noChangeArrowheads="1"/>
                              </wps:cNvSpPr>
                              <wps:spPr bwMode="auto">
                                <a:xfrm>
                                  <a:off x="4903909" y="1036124"/>
                                  <a:ext cx="509905" cy="550545"/>
                                </a:xfrm>
                                <a:prstGeom prst="rect">
                                  <a:avLst/>
                                </a:prstGeom>
                                <a:solidFill>
                                  <a:srgbClr val="FFFFFF"/>
                                </a:solidFill>
                                <a:ln>
                                  <a:noFill/>
                                </a:ln>
                                <a:effectLst/>
                              </wps:spPr>
                              <wps:txbx>
                                <w:txbxContent>
                                  <w:p w14:paraId="7190CA33">
                                    <w:pPr>
                                      <w:jc w:val="center"/>
                                    </w:pPr>
                                    <w:r>
                                      <w:rPr>
                                        <w:rFonts w:hint="eastAsia"/>
                                      </w:rPr>
                                      <w:t>达标接管</w:t>
                                    </w:r>
                                  </w:p>
                                </w:txbxContent>
                              </wps:txbx>
                              <wps:bodyPr rot="0" vert="horz" wrap="square" lIns="91440" tIns="45720" rIns="91440" bIns="45720" anchor="ctr" anchorCtr="0" upright="1">
                                <a:noAutofit/>
                              </wps:bodyPr>
                            </wps:wsp>
                            <wps:wsp>
                              <wps:cNvPr id="17" name="矩形 69"/>
                              <wps:cNvSpPr>
                                <a:spLocks noChangeArrowheads="1"/>
                              </wps:cNvSpPr>
                              <wps:spPr bwMode="auto">
                                <a:xfrm>
                                  <a:off x="1707319" y="2875719"/>
                                  <a:ext cx="628015" cy="297815"/>
                                </a:xfrm>
                                <a:prstGeom prst="rect">
                                  <a:avLst/>
                                </a:prstGeom>
                                <a:noFill/>
                                <a:ln w="25400">
                                  <a:solidFill>
                                    <a:srgbClr val="000000"/>
                                  </a:solidFill>
                                  <a:round/>
                                </a:ln>
                                <a:effectLst/>
                              </wps:spPr>
                              <wps:txbx>
                                <w:txbxContent>
                                  <w:p w14:paraId="01E2F8CF">
                                    <w:pPr>
                                      <w:jc w:val="center"/>
                                      <w:rPr>
                                        <w:color w:val="000000"/>
                                      </w:rPr>
                                    </w:pPr>
                                    <w:r>
                                      <w:rPr>
                                        <w:rFonts w:hint="eastAsia"/>
                                        <w:color w:val="000000"/>
                                      </w:rPr>
                                      <w:t>污泥池</w:t>
                                    </w:r>
                                  </w:p>
                                </w:txbxContent>
                              </wps:txbx>
                              <wps:bodyPr rot="0" vert="horz" wrap="square" lIns="91440" tIns="45720" rIns="91440" bIns="45720" anchor="ctr" anchorCtr="0" upright="1">
                                <a:noAutofit/>
                              </wps:bodyPr>
                            </wps:wsp>
                            <wps:wsp>
                              <wps:cNvPr id="18" name="矩形 93"/>
                              <wps:cNvSpPr>
                                <a:spLocks noChangeArrowheads="1"/>
                              </wps:cNvSpPr>
                              <wps:spPr bwMode="auto">
                                <a:xfrm>
                                  <a:off x="2774119" y="2875084"/>
                                  <a:ext cx="882015" cy="297815"/>
                                </a:xfrm>
                                <a:prstGeom prst="rect">
                                  <a:avLst/>
                                </a:prstGeom>
                                <a:noFill/>
                                <a:ln w="25400">
                                  <a:solidFill>
                                    <a:srgbClr val="000000"/>
                                  </a:solidFill>
                                  <a:round/>
                                </a:ln>
                                <a:effectLst/>
                              </wps:spPr>
                              <wps:txbx>
                                <w:txbxContent>
                                  <w:p w14:paraId="33CD48C1">
                                    <w:pPr>
                                      <w:rPr>
                                        <w:color w:val="000000"/>
                                      </w:rPr>
                                    </w:pPr>
                                    <w:r>
                                      <w:rPr>
                                        <w:rFonts w:hint="eastAsia"/>
                                        <w:color w:val="000000"/>
                                      </w:rPr>
                                      <w:t>板框压滤机</w:t>
                                    </w:r>
                                  </w:p>
                                </w:txbxContent>
                              </wps:txbx>
                              <wps:bodyPr rot="0" vert="horz" wrap="square" lIns="91440" tIns="45720" rIns="91440" bIns="45720" anchor="ctr" anchorCtr="0" upright="1">
                                <a:noAutofit/>
                              </wps:bodyPr>
                            </wps:wsp>
                            <wps:wsp>
                              <wps:cNvPr id="19" name="肘形连接符 94"/>
                              <wps:cNvCnPr>
                                <a:cxnSpLocks noChangeShapeType="1"/>
                              </wps:cNvCnPr>
                              <wps:spPr bwMode="auto">
                                <a:xfrm>
                                  <a:off x="2366449" y="3000814"/>
                                  <a:ext cx="296545" cy="6985"/>
                                </a:xfrm>
                                <a:prstGeom prst="bentConnector3">
                                  <a:avLst>
                                    <a:gd name="adj1" fmla="val 50106"/>
                                  </a:avLst>
                                </a:prstGeom>
                                <a:noFill/>
                                <a:ln w="9525">
                                  <a:solidFill>
                                    <a:srgbClr val="BE4B48"/>
                                  </a:solidFill>
                                  <a:prstDash val="sysDot"/>
                                  <a:round/>
                                  <a:tailEnd type="arrow" w="med" len="med"/>
                                </a:ln>
                                <a:effectLst/>
                              </wps:spPr>
                              <wps:bodyPr/>
                            </wps:wsp>
                            <wps:wsp>
                              <wps:cNvPr id="20" name="矩形 95"/>
                              <wps:cNvSpPr>
                                <a:spLocks noChangeArrowheads="1"/>
                              </wps:cNvSpPr>
                              <wps:spPr bwMode="auto">
                                <a:xfrm>
                                  <a:off x="3930454" y="2867464"/>
                                  <a:ext cx="1120140" cy="297815"/>
                                </a:xfrm>
                                <a:prstGeom prst="rect">
                                  <a:avLst/>
                                </a:prstGeom>
                                <a:noFill/>
                                <a:ln>
                                  <a:noFill/>
                                </a:ln>
                                <a:effectLst/>
                              </wps:spPr>
                              <wps:txbx>
                                <w:txbxContent>
                                  <w:p w14:paraId="689FD2AD">
                                    <w:pPr>
                                      <w:rPr>
                                        <w:color w:val="000000"/>
                                      </w:rPr>
                                    </w:pPr>
                                    <w:r>
                                      <w:rPr>
                                        <w:rFonts w:hint="eastAsia"/>
                                        <w:color w:val="000000"/>
                                      </w:rPr>
                                      <w:t>干泥外运处置</w:t>
                                    </w:r>
                                  </w:p>
                                </w:txbxContent>
                              </wps:txbx>
                              <wps:bodyPr rot="0" vert="horz" wrap="square" lIns="91440" tIns="45720" rIns="91440" bIns="45720" anchor="ctr" anchorCtr="0" upright="1">
                                <a:noAutofit/>
                              </wps:bodyPr>
                            </wps:wsp>
                            <wps:wsp>
                              <wps:cNvPr id="21" name="肘形连接符 96"/>
                              <wps:cNvCnPr>
                                <a:cxnSpLocks noChangeShapeType="1"/>
                              </wps:cNvCnPr>
                              <wps:spPr bwMode="auto">
                                <a:xfrm>
                                  <a:off x="3680264" y="3023039"/>
                                  <a:ext cx="296545" cy="6985"/>
                                </a:xfrm>
                                <a:prstGeom prst="bentConnector3">
                                  <a:avLst>
                                    <a:gd name="adj1" fmla="val 50106"/>
                                  </a:avLst>
                                </a:prstGeom>
                                <a:noFill/>
                                <a:ln w="9525">
                                  <a:solidFill>
                                    <a:srgbClr val="BE4B48"/>
                                  </a:solidFill>
                                  <a:prstDash val="sysDot"/>
                                  <a:round/>
                                  <a:tailEnd type="arrow" w="med" len="med"/>
                                </a:ln>
                                <a:effectLst/>
                              </wps:spPr>
                              <wps:bodyPr/>
                            </wps:wsp>
                            <wps:wsp>
                              <wps:cNvPr id="22" name="矩形 99"/>
                              <wps:cNvSpPr>
                                <a:spLocks noChangeArrowheads="1"/>
                              </wps:cNvSpPr>
                              <wps:spPr bwMode="auto">
                                <a:xfrm>
                                  <a:off x="4021259" y="3284024"/>
                                  <a:ext cx="676910" cy="297815"/>
                                </a:xfrm>
                                <a:prstGeom prst="rect">
                                  <a:avLst/>
                                </a:prstGeom>
                                <a:noFill/>
                                <a:ln w="25400">
                                  <a:solidFill>
                                    <a:srgbClr val="000000"/>
                                  </a:solidFill>
                                  <a:round/>
                                </a:ln>
                                <a:effectLst/>
                              </wps:spPr>
                              <wps:txbx>
                                <w:txbxContent>
                                  <w:p w14:paraId="1ADF867A">
                                    <w:pPr>
                                      <w:rPr>
                                        <w:color w:val="000000"/>
                                      </w:rPr>
                                    </w:pPr>
                                    <w:r>
                                      <w:rPr>
                                        <w:rFonts w:hint="eastAsia"/>
                                        <w:color w:val="000000"/>
                                      </w:rPr>
                                      <w:t>调节池</w:t>
                                    </w:r>
                                  </w:p>
                                </w:txbxContent>
                              </wps:txbx>
                              <wps:bodyPr rot="0" vert="horz" wrap="square" lIns="91440" tIns="45720" rIns="91440" bIns="45720" anchor="ctr" anchorCtr="0" upright="1">
                                <a:noAutofit/>
                              </wps:bodyPr>
                            </wps:wsp>
                            <wps:wsp>
                              <wps:cNvPr id="23" name="肘形连接符 100"/>
                              <wps:cNvCnPr>
                                <a:cxnSpLocks noChangeShapeType="1"/>
                              </wps:cNvCnPr>
                              <wps:spPr bwMode="auto">
                                <a:xfrm rot="5400000" flipV="1">
                                  <a:off x="3512622" y="2883973"/>
                                  <a:ext cx="197485" cy="821690"/>
                                </a:xfrm>
                                <a:prstGeom prst="bentConnector2">
                                  <a:avLst/>
                                </a:prstGeom>
                                <a:noFill/>
                                <a:ln w="9525">
                                  <a:solidFill>
                                    <a:srgbClr val="4A7EBB"/>
                                  </a:solidFill>
                                  <a:round/>
                                  <a:tailEnd type="arrow" w="med" len="med"/>
                                </a:ln>
                                <a:effectLst/>
                              </wps:spPr>
                              <wps:bodyPr/>
                            </wps:wsp>
                            <wps:wsp>
                              <wps:cNvPr id="24" name="矩形 101"/>
                              <wps:cNvSpPr>
                                <a:spLocks noChangeArrowheads="1"/>
                              </wps:cNvSpPr>
                              <wps:spPr bwMode="auto">
                                <a:xfrm>
                                  <a:off x="3186234" y="3492304"/>
                                  <a:ext cx="821055" cy="269240"/>
                                </a:xfrm>
                                <a:prstGeom prst="rect">
                                  <a:avLst/>
                                </a:prstGeom>
                                <a:solidFill>
                                  <a:srgbClr val="FFFFFF"/>
                                </a:solidFill>
                                <a:ln>
                                  <a:noFill/>
                                </a:ln>
                                <a:effectLst/>
                              </wps:spPr>
                              <wps:txbx>
                                <w:txbxContent>
                                  <w:p w14:paraId="61C6CED6">
                                    <w:pPr>
                                      <w:jc w:val="center"/>
                                    </w:pPr>
                                    <w:r>
                                      <w:rPr>
                                        <w:rFonts w:hint="eastAsia"/>
                                      </w:rPr>
                                      <w:t>压滤液</w:t>
                                    </w:r>
                                  </w:p>
                                </w:txbxContent>
                              </wps:txbx>
                              <wps:bodyPr rot="0" vert="horz" wrap="square" lIns="91440" tIns="45720" rIns="91440" bIns="45720" anchor="ctr" anchorCtr="0" upright="1">
                                <a:noAutofit/>
                              </wps:bodyPr>
                            </wps:wsp>
                            <wps:wsp>
                              <wps:cNvPr id="25" name="肘形连接符 103"/>
                              <wps:cNvCnPr>
                                <a:cxnSpLocks noChangeShapeType="1"/>
                              </wps:cNvCnPr>
                              <wps:spPr bwMode="auto">
                                <a:xfrm rot="5400000" flipV="1">
                                  <a:off x="709733" y="2090223"/>
                                  <a:ext cx="323215" cy="635"/>
                                </a:xfrm>
                                <a:prstGeom prst="bentConnector3">
                                  <a:avLst>
                                    <a:gd name="adj1" fmla="val 50097"/>
                                  </a:avLst>
                                </a:prstGeom>
                                <a:noFill/>
                                <a:ln w="9525">
                                  <a:solidFill>
                                    <a:srgbClr val="984807"/>
                                  </a:solidFill>
                                  <a:prstDash val="dash"/>
                                  <a:round/>
                                  <a:tailEnd type="arrow" w="med" len="med"/>
                                </a:ln>
                                <a:effectLst/>
                              </wps:spPr>
                              <wps:bodyPr/>
                            </wps:wsp>
                            <wps:wsp>
                              <wps:cNvPr id="26" name="矩形 104"/>
                              <wps:cNvSpPr>
                                <a:spLocks noChangeArrowheads="1"/>
                              </wps:cNvSpPr>
                              <wps:spPr bwMode="auto">
                                <a:xfrm>
                                  <a:off x="190939" y="2348669"/>
                                  <a:ext cx="1176655" cy="297815"/>
                                </a:xfrm>
                                <a:prstGeom prst="rect">
                                  <a:avLst/>
                                </a:prstGeom>
                                <a:noFill/>
                                <a:ln>
                                  <a:noFill/>
                                </a:ln>
                                <a:effectLst/>
                              </wps:spPr>
                              <wps:txbx>
                                <w:txbxContent>
                                  <w:p w14:paraId="30EE08F0">
                                    <w:pPr>
                                      <w:rPr>
                                        <w:color w:val="000000"/>
                                      </w:rPr>
                                    </w:pPr>
                                    <w:r>
                                      <w:rPr>
                                        <w:rFonts w:hint="eastAsia"/>
                                        <w:color w:val="000000"/>
                                      </w:rPr>
                                      <w:t>栅渣外运处置</w:t>
                                    </w:r>
                                  </w:p>
                                </w:txbxContent>
                              </wps:txbx>
                              <wps:bodyPr rot="0" vert="horz" wrap="square" lIns="91440" tIns="45720" rIns="91440" bIns="45720" anchor="ctr" anchorCtr="0" upright="1">
                                <a:noAutofit/>
                              </wps:bodyPr>
                            </wps:wsp>
                            <wps:wsp>
                              <wps:cNvPr id="27" name="肘形连接符 110"/>
                              <wps:cNvCnPr>
                                <a:cxnSpLocks noChangeShapeType="1"/>
                              </wps:cNvCnPr>
                              <wps:spPr bwMode="auto">
                                <a:xfrm rot="5400000" flipV="1">
                                  <a:off x="1300282" y="540187"/>
                                  <a:ext cx="323215" cy="635"/>
                                </a:xfrm>
                                <a:prstGeom prst="bentConnector3">
                                  <a:avLst>
                                    <a:gd name="adj1" fmla="val 50097"/>
                                  </a:avLst>
                                </a:prstGeom>
                                <a:noFill/>
                                <a:ln w="9525">
                                  <a:solidFill>
                                    <a:srgbClr val="4A7EBB"/>
                                  </a:solidFill>
                                  <a:prstDash val="dash"/>
                                  <a:round/>
                                  <a:tailEnd type="arrow" w="med" len="med"/>
                                </a:ln>
                                <a:effectLst/>
                              </wps:spPr>
                              <wps:bodyPr/>
                            </wps:wsp>
                            <wps:wsp>
                              <wps:cNvPr id="28" name="矩形 111"/>
                              <wps:cNvSpPr>
                                <a:spLocks noChangeArrowheads="1"/>
                              </wps:cNvSpPr>
                              <wps:spPr bwMode="auto">
                                <a:xfrm>
                                  <a:off x="1022789" y="66479"/>
                                  <a:ext cx="897890" cy="269240"/>
                                </a:xfrm>
                                <a:prstGeom prst="rect">
                                  <a:avLst/>
                                </a:prstGeom>
                                <a:solidFill>
                                  <a:srgbClr val="FFFFFF"/>
                                </a:solidFill>
                                <a:ln>
                                  <a:noFill/>
                                </a:ln>
                                <a:effectLst/>
                              </wps:spPr>
                              <wps:txbx>
                                <w:txbxContent>
                                  <w:p w14:paraId="24409209">
                                    <w:pPr>
                                      <w:jc w:val="center"/>
                                    </w:pPr>
                                    <w:r>
                                      <w:rPr>
                                        <w:rFonts w:hint="eastAsia"/>
                                      </w:rPr>
                                      <w:t>PAC、PAM</w:t>
                                    </w:r>
                                  </w:p>
                                </w:txbxContent>
                              </wps:txbx>
                              <wps:bodyPr rot="0" vert="horz" wrap="square" lIns="91440" tIns="45720" rIns="91440" bIns="45720" anchor="ctr" anchorCtr="0" upright="1">
                                <a:noAutofit/>
                              </wps:bodyPr>
                            </wps:wsp>
                            <wps:wsp>
                              <wps:cNvPr id="29" name="肘形连接符 48"/>
                              <wps:cNvCnPr>
                                <a:cxnSpLocks noChangeShapeType="1"/>
                              </wps:cNvCnPr>
                              <wps:spPr bwMode="auto">
                                <a:xfrm>
                                  <a:off x="4646099" y="1279329"/>
                                  <a:ext cx="228600" cy="0"/>
                                </a:xfrm>
                                <a:prstGeom prst="bentConnector3">
                                  <a:avLst>
                                    <a:gd name="adj1" fmla="val 50000"/>
                                  </a:avLst>
                                </a:prstGeom>
                                <a:noFill/>
                                <a:ln w="9525">
                                  <a:solidFill>
                                    <a:srgbClr val="4A7EBB"/>
                                  </a:solidFill>
                                  <a:round/>
                                  <a:tailEnd type="arrow" w="med" len="med"/>
                                </a:ln>
                                <a:effectLst/>
                              </wps:spPr>
                              <wps:bodyPr/>
                            </wps:wsp>
                            <wps:wsp>
                              <wps:cNvPr id="30" name="自选图形 309"/>
                              <wps:cNvCnPr>
                                <a:cxnSpLocks noChangeShapeType="1"/>
                              </wps:cNvCnPr>
                              <wps:spPr bwMode="auto">
                                <a:xfrm rot="16200000" flipV="1">
                                  <a:off x="3478967" y="363023"/>
                                  <a:ext cx="20955" cy="599440"/>
                                </a:xfrm>
                                <a:prstGeom prst="bentConnector3">
                                  <a:avLst>
                                    <a:gd name="adj1" fmla="val 1237880"/>
                                  </a:avLst>
                                </a:prstGeom>
                                <a:noFill/>
                                <a:ln w="9525">
                                  <a:solidFill>
                                    <a:srgbClr val="4F81BD"/>
                                  </a:solidFill>
                                  <a:miter lim="800000"/>
                                  <a:tailEnd type="arrow" w="med" len="med"/>
                                </a:ln>
                                <a:effectLst/>
                              </wps:spPr>
                              <wps:bodyPr/>
                            </wps:wsp>
                            <wps:wsp>
                              <wps:cNvPr id="31" name="自选图形 310"/>
                              <wps:cNvCnPr>
                                <a:cxnSpLocks noChangeShapeType="1"/>
                              </wps:cNvCnPr>
                              <wps:spPr bwMode="auto">
                                <a:xfrm rot="16200000" flipV="1">
                                  <a:off x="4197788" y="380802"/>
                                  <a:ext cx="6350" cy="592455"/>
                                </a:xfrm>
                                <a:prstGeom prst="bentConnector3">
                                  <a:avLst>
                                    <a:gd name="adj1" fmla="val 3855000"/>
                                  </a:avLst>
                                </a:prstGeom>
                                <a:noFill/>
                                <a:ln w="9525" cap="rnd">
                                  <a:solidFill>
                                    <a:srgbClr val="984807"/>
                                  </a:solidFill>
                                  <a:prstDash val="sysDot"/>
                                  <a:miter lim="800000"/>
                                  <a:tailEnd type="arrow" w="med" len="med"/>
                                </a:ln>
                                <a:effectLst/>
                              </wps:spPr>
                              <wps:bodyPr/>
                            </wps:wsp>
                            <wps:wsp>
                              <wps:cNvPr id="32" name="矩形 61"/>
                              <wps:cNvSpPr>
                                <a:spLocks noChangeArrowheads="1"/>
                              </wps:cNvSpPr>
                              <wps:spPr bwMode="auto">
                                <a:xfrm>
                                  <a:off x="3003354" y="112834"/>
                                  <a:ext cx="954405" cy="269240"/>
                                </a:xfrm>
                                <a:prstGeom prst="rect">
                                  <a:avLst/>
                                </a:prstGeom>
                                <a:solidFill>
                                  <a:srgbClr val="FFFFFF"/>
                                </a:solidFill>
                                <a:ln>
                                  <a:noFill/>
                                </a:ln>
                                <a:effectLst/>
                              </wps:spPr>
                              <wps:txbx>
                                <w:txbxContent>
                                  <w:p w14:paraId="530E7F31">
                                    <w:pPr>
                                      <w:jc w:val="center"/>
                                    </w:pPr>
                                    <w:r>
                                      <w:rPr>
                                        <w:rFonts w:hint="eastAsia"/>
                                      </w:rPr>
                                      <w:t>混合液回流</w:t>
                                    </w:r>
                                  </w:p>
                                </w:txbxContent>
                              </wps:txbx>
                              <wps:bodyPr rot="0" vert="horz" wrap="square" lIns="91440" tIns="45720" rIns="91440" bIns="45720" anchor="ctr" anchorCtr="0" upright="1">
                                <a:noAutofit/>
                              </wps:bodyPr>
                            </wps:wsp>
                            <wps:wsp>
                              <wps:cNvPr id="33" name="肘形连接符 47"/>
                              <wps:cNvCnPr>
                                <a:cxnSpLocks noChangeShapeType="1"/>
                              </wps:cNvCnPr>
                              <wps:spPr bwMode="auto">
                                <a:xfrm flipV="1">
                                  <a:off x="2820474" y="1334574"/>
                                  <a:ext cx="241300" cy="0"/>
                                </a:xfrm>
                                <a:prstGeom prst="bentConnector3">
                                  <a:avLst>
                                    <a:gd name="adj1" fmla="val 50000"/>
                                  </a:avLst>
                                </a:prstGeom>
                                <a:noFill/>
                                <a:ln w="9525">
                                  <a:solidFill>
                                    <a:srgbClr val="4A7EBB"/>
                                  </a:solidFill>
                                  <a:round/>
                                  <a:tailEnd type="arrow" w="med" len="med"/>
                                </a:ln>
                                <a:effectLst/>
                              </wps:spPr>
                              <wps:bodyPr/>
                            </wps:wsp>
                            <wps:wsp>
                              <wps:cNvPr id="34" name="肘形连接符 47"/>
                              <wps:cNvCnPr>
                                <a:cxnSpLocks noChangeShapeType="1"/>
                              </wps:cNvCnPr>
                              <wps:spPr bwMode="auto">
                                <a:xfrm flipV="1">
                                  <a:off x="1645089" y="1342194"/>
                                  <a:ext cx="241300" cy="0"/>
                                </a:xfrm>
                                <a:prstGeom prst="bentConnector3">
                                  <a:avLst>
                                    <a:gd name="adj1" fmla="val 50000"/>
                                  </a:avLst>
                                </a:prstGeom>
                                <a:noFill/>
                                <a:ln w="9525">
                                  <a:solidFill>
                                    <a:srgbClr val="4A7EBB"/>
                                  </a:solidFill>
                                  <a:round/>
                                  <a:tailEnd type="arrow" w="med" len="med"/>
                                </a:ln>
                                <a:effectLst/>
                              </wps:spPr>
                              <wps:bodyPr/>
                            </wps:wsp>
                            <wps:wsp>
                              <wps:cNvPr id="35" name="肘形连接符 47"/>
                              <wps:cNvCnPr>
                                <a:cxnSpLocks noChangeShapeType="1"/>
                              </wps:cNvCnPr>
                              <wps:spPr bwMode="auto">
                                <a:xfrm flipV="1">
                                  <a:off x="1041839" y="1334574"/>
                                  <a:ext cx="241300" cy="0"/>
                                </a:xfrm>
                                <a:prstGeom prst="bentConnector3">
                                  <a:avLst>
                                    <a:gd name="adj1" fmla="val 50000"/>
                                  </a:avLst>
                                </a:prstGeom>
                                <a:noFill/>
                                <a:ln w="9525">
                                  <a:solidFill>
                                    <a:srgbClr val="4A7EBB"/>
                                  </a:solidFill>
                                  <a:round/>
                                  <a:tailEnd type="arrow" w="med" len="med"/>
                                </a:ln>
                                <a:effectLst/>
                              </wps:spPr>
                              <wps:bodyPr/>
                            </wps:wsp>
                            <wps:wsp>
                              <wps:cNvPr id="36" name="肘形连接符 47"/>
                              <wps:cNvCnPr>
                                <a:cxnSpLocks noChangeShapeType="1"/>
                              </wps:cNvCnPr>
                              <wps:spPr bwMode="auto">
                                <a:xfrm flipV="1">
                                  <a:off x="415094" y="1350449"/>
                                  <a:ext cx="241300" cy="0"/>
                                </a:xfrm>
                                <a:prstGeom prst="bentConnector3">
                                  <a:avLst>
                                    <a:gd name="adj1" fmla="val 50000"/>
                                  </a:avLst>
                                </a:prstGeom>
                                <a:noFill/>
                                <a:ln w="9525">
                                  <a:solidFill>
                                    <a:srgbClr val="4A7EBB"/>
                                  </a:solidFill>
                                  <a:round/>
                                  <a:tailEnd type="arrow" w="med" len="med"/>
                                </a:ln>
                                <a:effectLst/>
                              </wps:spPr>
                              <wps:bodyPr/>
                            </wps:wsp>
                            <wps:wsp>
                              <wps:cNvPr id="37" name="自选图形 316"/>
                              <wps:cNvCnPr>
                                <a:cxnSpLocks noChangeShapeType="1"/>
                              </wps:cNvCnPr>
                              <wps:spPr bwMode="auto">
                                <a:xfrm rot="5400000" flipV="1">
                                  <a:off x="1268534" y="2122609"/>
                                  <a:ext cx="942340" cy="563880"/>
                                </a:xfrm>
                                <a:prstGeom prst="bentConnector3">
                                  <a:avLst>
                                    <a:gd name="adj1" fmla="val 50000"/>
                                  </a:avLst>
                                </a:prstGeom>
                                <a:noFill/>
                                <a:ln w="9525" cap="rnd">
                                  <a:solidFill>
                                    <a:srgbClr val="984807"/>
                                  </a:solidFill>
                                  <a:prstDash val="sysDot"/>
                                  <a:miter lim="800000"/>
                                  <a:tailEnd type="arrow" w="med" len="med"/>
                                </a:ln>
                                <a:effectLst/>
                              </wps:spPr>
                              <wps:bodyPr/>
                            </wps:wsp>
                            <wps:wsp>
                              <wps:cNvPr id="38" name="自选图形 317"/>
                              <wps:cNvCnPr>
                                <a:cxnSpLocks noChangeShapeType="1"/>
                              </wps:cNvCnPr>
                              <wps:spPr bwMode="auto">
                                <a:xfrm rot="5400000">
                                  <a:off x="1860988" y="2122607"/>
                                  <a:ext cx="913130" cy="592455"/>
                                </a:xfrm>
                                <a:prstGeom prst="bentConnector3">
                                  <a:avLst>
                                    <a:gd name="adj1" fmla="val 49963"/>
                                  </a:avLst>
                                </a:prstGeom>
                                <a:noFill/>
                                <a:ln w="9525" cap="rnd">
                                  <a:solidFill>
                                    <a:srgbClr val="984807"/>
                                  </a:solidFill>
                                  <a:prstDash val="sysDot"/>
                                  <a:miter lim="800000"/>
                                  <a:tailEnd type="arrow" w="med" len="med"/>
                                </a:ln>
                                <a:effectLst/>
                              </wps:spPr>
                              <wps:bodyPr/>
                            </wps:wsp>
                            <wps:wsp>
                              <wps:cNvPr id="39" name="自选图形 318"/>
                              <wps:cNvCnPr>
                                <a:cxnSpLocks noChangeShapeType="1"/>
                              </wps:cNvCnPr>
                              <wps:spPr bwMode="auto">
                                <a:xfrm rot="5400000">
                                  <a:off x="2182299" y="1815904"/>
                                  <a:ext cx="899160" cy="1220470"/>
                                </a:xfrm>
                                <a:prstGeom prst="bentConnector3">
                                  <a:avLst>
                                    <a:gd name="adj1" fmla="val 50000"/>
                                  </a:avLst>
                                </a:prstGeom>
                                <a:noFill/>
                                <a:ln w="9525" cap="rnd">
                                  <a:solidFill>
                                    <a:srgbClr val="984807"/>
                                  </a:solidFill>
                                  <a:prstDash val="sysDot"/>
                                  <a:miter lim="800000"/>
                                  <a:tailEnd type="arrow" w="med" len="med"/>
                                </a:ln>
                                <a:effectLst/>
                              </wps:spPr>
                              <wps:bodyPr/>
                            </wps:wsp>
                            <wps:wsp>
                              <wps:cNvPr id="40" name="自选图形 319"/>
                              <wps:cNvCnPr>
                                <a:cxnSpLocks noChangeShapeType="1"/>
                              </wps:cNvCnPr>
                              <wps:spPr bwMode="auto">
                                <a:xfrm rot="5400000">
                                  <a:off x="2485192" y="1486337"/>
                                  <a:ext cx="925195" cy="1852295"/>
                                </a:xfrm>
                                <a:prstGeom prst="bentConnector3">
                                  <a:avLst>
                                    <a:gd name="adj1" fmla="val 50032"/>
                                  </a:avLst>
                                </a:prstGeom>
                                <a:noFill/>
                                <a:ln w="9525" cap="rnd">
                                  <a:solidFill>
                                    <a:srgbClr val="984807"/>
                                  </a:solidFill>
                                  <a:prstDash val="sysDot"/>
                                  <a:miter lim="800000"/>
                                  <a:tailEnd type="arrow" w="med" len="med"/>
                                </a:ln>
                                <a:effectLst/>
                              </wps:spPr>
                              <wps:bodyPr/>
                            </wps:wsp>
                            <wps:wsp>
                              <wps:cNvPr id="41" name="自选图形 320"/>
                              <wps:cNvCnPr>
                                <a:cxnSpLocks noChangeShapeType="1"/>
                              </wps:cNvCnPr>
                              <wps:spPr bwMode="auto">
                                <a:xfrm rot="5400000">
                                  <a:off x="2777292" y="1194237"/>
                                  <a:ext cx="925195" cy="2436495"/>
                                </a:xfrm>
                                <a:prstGeom prst="bentConnector3">
                                  <a:avLst>
                                    <a:gd name="adj1" fmla="val 50032"/>
                                  </a:avLst>
                                </a:prstGeom>
                                <a:noFill/>
                                <a:ln w="9525" cap="rnd">
                                  <a:solidFill>
                                    <a:srgbClr val="984807"/>
                                  </a:solidFill>
                                  <a:prstDash val="sysDot"/>
                                  <a:miter lim="800000"/>
                                  <a:tailEnd type="arrow" w="med" len="med"/>
                                </a:ln>
                                <a:effectLst/>
                              </wps:spPr>
                              <wps:bodyPr/>
                            </wps:wsp>
                          </wpc:wpc>
                        </a:graphicData>
                      </a:graphic>
                    </wp:anchor>
                  </w:drawing>
                </mc:Choice>
                <mc:Fallback>
                  <w:pict>
                    <v:group id="_x0000_s1026" o:spid="_x0000_s1026" o:spt="203" style="position:absolute;left:0pt;margin-left:-5.15pt;margin-top:23.45pt;height:296.15pt;width:426.25pt;mso-wrap-distance-bottom:0pt;mso-wrap-distance-left:9pt;mso-wrap-distance-right:9pt;mso-wrap-distance-top:0pt;z-index:251659264;mso-width-relative:page;mso-height-relative:page;" coordsize="5413375,3761105" editas="canvas" o:gfxdata="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">
                      <o:lock v:ext="edit" aspectratio="f"/>
                      <v:shape id="_x0000_s1026" o:spid="_x0000_s1026" style="position:absolute;left:0;top:0;height:3761105;width:5413375;" filled="f" stroked="f" coordsize="21600,21600" o:gfxdata="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">
                        <v:fill on="f" focussize="0,0"/>
                        <v:stroke on="f"/>
                        <v:imagedata o:title=""/>
                        <o:lock v:ext="edit" aspectratio="f"/>
                      </v:shape>
                      <v:rect id="矩形 62" o:spid="_x0000_s1026" o:spt="1" style="position:absolute;left:3871399;top:136964;height:269240;width:842645;v-text-anchor:middle;" fillcolor="#FFFFFF" filled="t" stroked="f" coordsize="21600,21600" o:gfxdata="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ZgXgo2QAAAAoBAAAPAAAAAAAAAAEAIAAAACIAAABkcnMvZG93bnJl&#10;di54bWxQSwECFAAUAAAACACHTuJAtlkyTjUCAABMBAAADgAAAAAAAAABACAAAAAoAQAAZHJzL2Uy&#10;b0RvYy54bWxQSwUGAAAAAAYABgBZAQAAzwUAAAAA&#10;">
                        <v:fill on="t" focussize="0,0"/>
                        <v:stroke on="f"/>
                        <v:imagedata o:title=""/>
                        <o:lock v:ext="edit" aspectratio="f"/>
                        <v:textbox>
                          <w:txbxContent>
                            <w:p w14:paraId="1C8AD1D6">
                              <w:pPr>
                                <w:jc w:val="center"/>
                              </w:pPr>
                              <w:r>
                                <w:rPr>
                                  <w:rFonts w:hint="eastAsia"/>
                                </w:rPr>
                                <w:t>污泥回流</w:t>
                              </w:r>
                            </w:p>
                          </w:txbxContent>
                        </v:textbox>
                      </v:rect>
                      <v:rect id="矩形 2" o:spid="_x0000_s1026" o:spt="1" style="position:absolute;left:35999;top:841179;height:903605;width:347980;v-text-anchor:middle;" fillcolor="#FFFFFF" filled="t" stroked="f" coordsize="21600,21600" o:gfxdata="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mBeCjZAAAACgEAAA8AAAAAAAAAAQAgAAAAIgAAAGRycy9kb3ducmV2Lnht&#10;bFBLAQIUABQAAAAIAIdO4kCqXy4cMQIAAEkEAAAOAAAAAAAAAAEAIAAAACgBAABkcnMvZTJvRG9j&#10;LnhtbFBLBQYAAAAABgAGAFkBAADLBQAAAAA=&#10;">
                        <v:fill on="t" focussize="0,0"/>
                        <v:stroke on="f"/>
                        <v:imagedata o:title=""/>
                        <o:lock v:ext="edit" aspectratio="f"/>
                        <v:textbox>
                          <w:txbxContent>
                            <w:p w14:paraId="012DB8D7">
                              <w:pPr>
                                <w:jc w:val="center"/>
                              </w:pPr>
                              <w:r>
                                <w:rPr>
                                  <w:rFonts w:hint="eastAsia"/>
                                </w:rPr>
                                <w:t>综合废水</w:t>
                              </w:r>
                            </w:p>
                          </w:txbxContent>
                        </v:textbox>
                      </v:rect>
                      <v:rect id="矩形 8" o:spid="_x0000_s1026" o:spt="1" style="position:absolute;left:693859;top:723704;height:1207770;width:321945;v-text-anchor:middle;" filled="f" stroked="t" coordsize="21600,21600" o:gfxdata="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DuWrr2wAAAAoBAAAPAAAAAAAAAAEAIAAA&#10;ACIAAABkcnMvZG93bnJldi54bWxQSwECFAAUAAAACACHTuJARSAxxkICAABfBAAADgAAAAAAAAAB&#10;ACAAAAAqAQAAZHJzL2Uyb0RvYy54bWxQSwUGAAAAAAYABgBZAQAA3gUAAAAA&#10;">
                        <v:fill on="f" focussize="0,0"/>
                        <v:stroke weight="2pt" color="#000000" joinstyle="round"/>
                        <v:imagedata o:title=""/>
                        <o:lock v:ext="edit" aspectratio="f"/>
                        <v:textbox>
                          <w:txbxContent>
                            <w:p w14:paraId="51AC5F2B">
                              <w:pPr>
                                <w:jc w:val="center"/>
                                <w:rPr>
                                  <w:color w:val="000000"/>
                                </w:rPr>
                              </w:pPr>
                              <w:r>
                                <w:rPr>
                                  <w:rFonts w:hint="eastAsia"/>
                                  <w:color w:val="000000"/>
                                </w:rPr>
                                <w:t>机械格栅</w:t>
                              </w:r>
                            </w:p>
                          </w:txbxContent>
                        </v:textbox>
                      </v:rect>
                      <v:rect id="矩形 13" o:spid="_x0000_s1026" o:spt="1" style="position:absolute;left:1294569;top:705289;height:1228090;width:325755;v-text-anchor:middle;" filled="f" stroked="t" coordsize="21600,21600" o:gfxdata="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g7lq69sAAAAKAQAADwAAAAAAAAABACAA&#10;AAAiAAAAZHJzL2Rvd25yZXYueG1sUEsBAhQAFAAAAAgAh07iQLKM2UpDAgAAYQQAAA4AAAAAAAAA&#10;AQAgAAAAKgEAAGRycy9lMm9Eb2MueG1sUEsFBgAAAAAGAAYAWQEAAN8FAAAAAA==&#10;">
                        <v:fill on="f" focussize="0,0"/>
                        <v:stroke weight="2pt" color="#000000" joinstyle="round"/>
                        <v:imagedata o:title=""/>
                        <o:lock v:ext="edit" aspectratio="f"/>
                        <v:textbox>
                          <w:txbxContent>
                            <w:p w14:paraId="3B3B8F06">
                              <w:pPr>
                                <w:jc w:val="center"/>
                                <w:rPr>
                                  <w:color w:val="000000"/>
                                </w:rPr>
                              </w:pPr>
                              <w:r>
                                <w:rPr>
                                  <w:rFonts w:hint="eastAsia"/>
                                  <w:color w:val="000000"/>
                                </w:rPr>
                                <w:t>折流沉淀池</w:t>
                              </w:r>
                            </w:p>
                          </w:txbxContent>
                        </v:textbox>
                      </v:rect>
                      <v:rect id="矩形 17" o:spid="_x0000_s1026" o:spt="1" style="position:absolute;left:1894644;top:706559;height:1247775;width:324485;v-text-anchor:middle;" filled="f" stroked="t" coordsize="21600,21600" o:gfxdata="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DuWrr2wAAAAoBAAAPAAAAAAAAAAEAIAAA&#10;ACIAAABkcnMvZG93bnJldi54bWxQSwECFAAUAAAACACHTuJAgGBGw0ICAABhBAAADgAAAAAAAAAB&#10;ACAAAAAqAQAAZHJzL2Uyb0RvYy54bWxQSwUGAAAAAAYABgBZAQAA3gUAAAAA&#10;">
                        <v:fill on="f" focussize="0,0"/>
                        <v:stroke weight="2pt" color="#000000" joinstyle="round"/>
                        <v:imagedata o:title=""/>
                        <o:lock v:ext="edit" aspectratio="f"/>
                        <v:textbox>
                          <w:txbxContent>
                            <w:p w14:paraId="2B71F966">
                              <w:pPr>
                                <w:jc w:val="center"/>
                                <w:rPr>
                                  <w:color w:val="000000"/>
                                </w:rPr>
                              </w:pPr>
                            </w:p>
                            <w:p w14:paraId="08DAF759">
                              <w:pPr>
                                <w:jc w:val="center"/>
                                <w:rPr>
                                  <w:color w:val="000000"/>
                                </w:rPr>
                              </w:pPr>
                              <w:r>
                                <w:rPr>
                                  <w:rFonts w:hint="eastAsia"/>
                                  <w:color w:val="000000"/>
                                </w:rPr>
                                <w:t>调节池</w:t>
                              </w:r>
                            </w:p>
                          </w:txbxContent>
                        </v:textbox>
                      </v:rect>
                      <v:rect id="矩形 19" o:spid="_x0000_s1026" o:spt="1" style="position:absolute;left:2440744;top:684334;height:1278255;width:346710;v-text-anchor:middle;" filled="f" stroked="t" coordsize="21600,21600" o:gfxdata="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DuWrr2wAAAAoBAAAPAAAAAAAAAAEAIAAA&#10;ACIAAABkcnMvZG93bnJldi54bWxQSwECFAAUAAAACACHTuJAwZBcA0ICAABhBAAADgAAAAAAAAAB&#10;ACAAAAAqAQAAZHJzL2Uyb0RvYy54bWxQSwUGAAAAAAYABgBZAQAA3gUAAAAA&#10;">
                        <v:fill on="f" focussize="0,0"/>
                        <v:stroke weight="2pt" color="#000000" joinstyle="round"/>
                        <v:imagedata o:title=""/>
                        <o:lock v:ext="edit" aspectratio="f"/>
                        <v:textbox>
                          <w:txbxContent>
                            <w:p w14:paraId="3E12DEA4">
                              <w:pPr>
                                <w:jc w:val="center"/>
                                <w:rPr>
                                  <w:color w:val="000000"/>
                                </w:rPr>
                              </w:pPr>
                              <w:r>
                                <w:rPr>
                                  <w:rFonts w:hint="eastAsia"/>
                                  <w:color w:val="000000"/>
                                </w:rPr>
                                <w:t>混凝气浮池</w:t>
                              </w:r>
                            </w:p>
                          </w:txbxContent>
                        </v:textbox>
                      </v:rect>
                      <v:rect id="矩形 22" o:spid="_x0000_s1026" o:spt="1" style="position:absolute;left:3068759;top:692589;height:1283970;width:346710;v-text-anchor:middle;" filled="f" stroked="t" coordsize="21600,21600" o:gfxdata="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DuWrr2wAAAAoBAAAPAAAAAAAAAAEAIAAA&#10;ACIAAABkcnMvZG93bnJldi54bWxQSwECFAAUAAAACACHTuJAaLMtxkICAABhBAAADgAAAAAAAAAB&#10;ACAAAAAqAQAAZHJzL2Uyb0RvYy54bWxQSwUGAAAAAAYABgBZAQAA3gUAAAAA&#10;">
                        <v:fill on="f" focussize="0,0"/>
                        <v:stroke weight="2pt" color="#000000" joinstyle="round"/>
                        <v:imagedata o:title=""/>
                        <o:lock v:ext="edit" aspectratio="f"/>
                        <v:textbox>
                          <w:txbxContent>
                            <w:p w14:paraId="68DB0F01">
                              <w:pPr>
                                <w:jc w:val="center"/>
                                <w:rPr>
                                  <w:color w:val="000000"/>
                                </w:rPr>
                              </w:pPr>
                              <w:r>
                                <w:rPr>
                                  <w:rFonts w:hint="eastAsia"/>
                                  <w:color w:val="000000"/>
                                </w:rPr>
                                <w:t>水解酸化池</w:t>
                              </w:r>
                            </w:p>
                          </w:txbxContent>
                        </v:textbox>
                      </v:rect>
                      <v:rect id="矩形 28" o:spid="_x0000_s1026" o:spt="1" style="position:absolute;left:3700584;top:689414;height:1261110;width:346710;v-text-anchor:middle;" filled="f" stroked="t" coordsize="21600,21600" o:gfxdata="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g7lq69sAAAAKAQAADwAAAAAAAAABACAAAAAi&#10;AAAAZHJzL2Rvd25yZXYueG1sUEsBAhQAFAAAAAgAh07iQNwVMV9AAgAAYQQAAA4AAAAAAAAAAQAg&#10;AAAAKgEAAGRycy9lMm9Eb2MueG1sUEsFBgAAAAAGAAYAWQEAANwFAAAAAA==&#10;">
                        <v:fill on="f" focussize="0,0"/>
                        <v:stroke weight="2pt" color="#000000" joinstyle="round"/>
                        <v:imagedata o:title=""/>
                        <o:lock v:ext="edit" aspectratio="f"/>
                        <v:textbox>
                          <w:txbxContent>
                            <w:p w14:paraId="7B32FFBB">
                              <w:pPr>
                                <w:jc w:val="center"/>
                                <w:rPr>
                                  <w:color w:val="000000"/>
                                </w:rPr>
                              </w:pPr>
                              <w:r>
                                <w:rPr>
                                  <w:rFonts w:hint="eastAsia"/>
                                  <w:color w:val="000000"/>
                                </w:rPr>
                                <w:t>接触氧化池</w:t>
                              </w:r>
                            </w:p>
                          </w:txbxContent>
                        </v:textbox>
                      </v:rect>
                      <v:rect id="矩形 32" o:spid="_x0000_s1026" o:spt="1" style="position:absolute;left:4284784;top:681159;height:1269365;width:346710;v-text-anchor:middle;" filled="f" stroked="t" coordsize="21600,21600" o:gfxdata="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IO5auvbAAAACgEAAA8AAAAAAAAAAQAgAAAA&#10;IgAAAGRycy9kb3ducmV2LnhtbFBLAQIUABQAAAAIAIdO4kAhIdI0QQIAAGIEAAAOAAAAAAAAAAEA&#10;IAAAACoBAABkcnMvZTJvRG9jLnhtbFBLBQYAAAAABgAGAFkBAADdBQAAAAA=&#10;">
                        <v:fill on="f" focussize="0,0"/>
                        <v:stroke weight="2pt" color="#000000" joinstyle="round"/>
                        <v:imagedata o:title=""/>
                        <o:lock v:ext="edit" aspectratio="f"/>
                        <v:textbox>
                          <w:txbxContent>
                            <w:p w14:paraId="4E2318BE">
                              <w:pPr>
                                <w:jc w:val="center"/>
                                <w:rPr>
                                  <w:color w:val="000000"/>
                                </w:rPr>
                              </w:pPr>
                            </w:p>
                            <w:p w14:paraId="4AF237FF">
                              <w:pPr>
                                <w:jc w:val="center"/>
                                <w:rPr>
                                  <w:color w:val="000000"/>
                                </w:rPr>
                              </w:pPr>
                              <w:r>
                                <w:rPr>
                                  <w:rFonts w:hint="eastAsia"/>
                                  <w:color w:val="000000"/>
                                </w:rPr>
                                <w:t>二沉池</w:t>
                              </w:r>
                            </w:p>
                          </w:txbxContent>
                        </v:textbox>
                      </v:rect>
                      <v:shape id="肘形连接符 45" o:spid="_x0000_s1026" o:spt="34" type="#_x0000_t34" style="position:absolute;left:2227384;top:1339654;flip:y;height:2540;width:221615;" filled="f" stroked="t" coordsize="21600,21600" o:gfxdata="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CrG0pzXAAAACgEAAA8AAAAAAAAAAQAgAAAAIgAA&#10;AGRycy9kb3ducmV2LnhtbFBLAQIUABQAAAAIAIdO4kB5tLPHQgIAADQEAAAOAAAAAAAAAAEAIAAA&#10;ACYBAABkcnMvZTJvRG9jLnhtbFBLBQYAAAAABgAGAFkBAADaBQAAAAA=&#10;" adj="10831">
                        <v:fill on="f" focussize="0,0"/>
                        <v:stroke color="#4A7EBB" joinstyle="round" endarrow="open"/>
                        <v:imagedata o:title=""/>
                        <o:lock v:ext="edit" aspectratio="f"/>
                      </v:shape>
                      <v:shape id="肘形连接符 47" o:spid="_x0000_s1026" o:spt="34" type="#_x0000_t34" style="position:absolute;left:3454839;top:1307904;flip:y;height:2540;width:252730;" filled="f" stroked="t" coordsize="21600,21600" o:gfxdata="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AGczjjZAAAACgEAAA8AAAAAAAAAAQAgAAAA&#10;IgAAAGRycy9kb3ducmV2LnhtbFBLAQIUABQAAAAIAIdO4kBCIIq3QwIAADQEAAAOAAAAAAAAAAEA&#10;IAAAACgBAABkcnMvZTJvRG9jLnhtbFBLBQYAAAAABgAGAFkBAADdBQAAAAA=&#10;" adj="10800">
                        <v:fill on="f" focussize="0,0"/>
                        <v:stroke color="#4A7EBB" joinstyle="round" endarrow="open"/>
                        <v:imagedata o:title=""/>
                        <o:lock v:ext="edit" aspectratio="f"/>
                      </v:shape>
                      <v:shape id="肘形连接符 48" o:spid="_x0000_s1026" o:spt="34" type="#_x0000_t34" style="position:absolute;left:4070154;top:1292664;height:2540;width:232410;" filled="f" stroked="t" coordsize="21600,21600" o:gfxdata="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fu90J9oAAAAKAQAADwAAAAAAAAABACAAAAAiAAAAZHJz&#10;L2Rvd25yZXYueG1sUEsBAhQAFAAAAAgAh07iQLXT9+I7AgAAKgQAAA4AAAAAAAAAAQAgAAAAKQEA&#10;AGRycy9lMm9Eb2MueG1sUEsFBgAAAAAGAAYAWQEAANYFAAAAAA==&#10;" adj="10800">
                        <v:fill on="f" focussize="0,0"/>
                        <v:stroke color="#4A7EBB" joinstyle="round" endarrow="open"/>
                        <v:imagedata o:title=""/>
                        <o:lock v:ext="edit" aspectratio="f"/>
                      </v:shape>
                      <v:rect id="矩形 63" o:spid="_x0000_s1026" o:spt="1" style="position:absolute;left:2130864;top:35999;height:269240;width:897890;v-text-anchor:middle;" fillcolor="#FFFFFF" filled="t" stroked="f" coordsize="21600,21600" o:gfxdata="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ZgXgo2QAAAAoBAAAPAAAAAAAAAAEAIAAAACIAAABkcnMvZG93bnJl&#10;di54bWxQSwECFAAUAAAACACHTuJA55XI/DUCAABMBAAADgAAAAAAAAABACAAAAAoAQAAZHJzL2Uy&#10;b0RvYy54bWxQSwUGAAAAAAYABgBZAQAAzwUAAAAA&#10;">
                        <v:fill on="t" focussize="0,0"/>
                        <v:stroke on="f"/>
                        <v:imagedata o:title=""/>
                        <o:lock v:ext="edit" aspectratio="f"/>
                        <v:textbox>
                          <w:txbxContent>
                            <w:p w14:paraId="4D21743D">
                              <w:pPr>
                                <w:jc w:val="center"/>
                              </w:pPr>
                              <w:r>
                                <w:rPr>
                                  <w:rFonts w:hint="eastAsia"/>
                                </w:rPr>
                                <w:t>PAC、PAM</w:t>
                              </w:r>
                            </w:p>
                          </w:txbxContent>
                        </v:textbox>
                      </v:rect>
                      <v:shape id="肘形连接符 64" o:spid="_x0000_s1026" o:spt="34" type="#_x0000_t34" style="position:absolute;left:2460427;top:514152;flip:y;height:635;width:323215;rotation:-5898240f;" filled="f" stroked="t" coordsize="21600,21600" o:gfxdata="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H9k68TYAAAACgEA&#10;AA8AAAAAAAAAAQAgAAAAIgAAAGRycy9kb3ducmV2LnhtbFBLAQIUABQAAAAIAIdO4kBV5kMoUwIA&#10;AFgEAAAOAAAAAAAAAAEAIAAAACcBAABkcnMvZTJvRG9jLnhtbFBLBQYAAAAABgAGAFkBAADsBQAA&#10;AAA=&#10;" adj="10821">
                        <v:fill on="f" focussize="0,0"/>
                        <v:stroke color="#4A7EBB" joinstyle="round" dashstyle="dash" endarrow="open"/>
                        <v:imagedata o:title=""/>
                        <o:lock v:ext="edit" aspectratio="f"/>
                      </v:shape>
                      <v:rect id="矩形 67" o:spid="_x0000_s1026" o:spt="1" style="position:absolute;left:4903909;top:1036124;height:550545;width:509905;v-text-anchor:middle;" fillcolor="#FFFFFF" filled="t" stroked="f" coordsize="21600,21600" o:gfxdata="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ZgXgo2QAAAAoBAAAPAAAAAAAAAAEAIAAAACIAAABkcnMvZG93bnJl&#10;di54bWxQSwECFAAUAAAACACHTuJAtRJXfTUCAABOBAAADgAAAAAAAAABACAAAAAoAQAAZHJzL2Uy&#10;b0RvYy54bWxQSwUGAAAAAAYABgBZAQAAzwUAAAAA&#10;">
                        <v:fill on="t" focussize="0,0"/>
                        <v:stroke on="f"/>
                        <v:imagedata o:title=""/>
                        <o:lock v:ext="edit" aspectratio="f"/>
                        <v:textbox>
                          <w:txbxContent>
                            <w:p w14:paraId="7190CA33">
                              <w:pPr>
                                <w:jc w:val="center"/>
                              </w:pPr>
                              <w:r>
                                <w:rPr>
                                  <w:rFonts w:hint="eastAsia"/>
                                </w:rPr>
                                <w:t>达标接管</w:t>
                              </w:r>
                            </w:p>
                          </w:txbxContent>
                        </v:textbox>
                      </v:rect>
                      <v:rect id="矩形 69" o:spid="_x0000_s1026" o:spt="1" style="position:absolute;left:1707319;top:2875719;height:297815;width:628015;v-text-anchor:middle;" filled="f" stroked="t" coordsize="21600,21600" o:gfxdata="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g7lq69sAAAAKAQAADwAAAAAAAAABACAAAAAiAAAA&#10;ZHJzL2Rvd25yZXYueG1sUEsBAhQAFAAAAAgAh07iQKoASqs9AgAAYgQAAA4AAAAAAAAAAQAgAAAA&#10;KgEAAGRycy9lMm9Eb2MueG1sUEsFBgAAAAAGAAYAWQEAANkFAAAAAA==&#10;">
                        <v:fill on="f" focussize="0,0"/>
                        <v:stroke weight="2pt" color="#000000" joinstyle="round"/>
                        <v:imagedata o:title=""/>
                        <o:lock v:ext="edit" aspectratio="f"/>
                        <v:textbox>
                          <w:txbxContent>
                            <w:p w14:paraId="01E2F8CF">
                              <w:pPr>
                                <w:jc w:val="center"/>
                                <w:rPr>
                                  <w:color w:val="000000"/>
                                </w:rPr>
                              </w:pPr>
                              <w:r>
                                <w:rPr>
                                  <w:rFonts w:hint="eastAsia"/>
                                  <w:color w:val="000000"/>
                                </w:rPr>
                                <w:t>污泥池</w:t>
                              </w:r>
                            </w:p>
                          </w:txbxContent>
                        </v:textbox>
                      </v:rect>
                      <v:rect id="矩形 93" o:spid="_x0000_s1026" o:spt="1" style="position:absolute;left:2774119;top:2875084;height:297815;width:882015;v-text-anchor:middle;" filled="f" stroked="t" coordsize="21600,21600" o:gfxdata="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IO5auvbAAAACgEAAA8AAAAAAAAAAQAgAAAAIgAA&#10;AGRycy9kb3ducmV2LnhtbFBLAQIUABQAAAAIAIdO4kBDI+miPgIAAGIEAAAOAAAAAAAAAAEAIAAA&#10;ACoBAABkcnMvZTJvRG9jLnhtbFBLBQYAAAAABgAGAFkBAADaBQAAAAA=&#10;">
                        <v:fill on="f" focussize="0,0"/>
                        <v:stroke weight="2pt" color="#000000" joinstyle="round"/>
                        <v:imagedata o:title=""/>
                        <o:lock v:ext="edit" aspectratio="f"/>
                        <v:textbox>
                          <w:txbxContent>
                            <w:p w14:paraId="33CD48C1">
                              <w:pPr>
                                <w:rPr>
                                  <w:color w:val="000000"/>
                                </w:rPr>
                              </w:pPr>
                              <w:r>
                                <w:rPr>
                                  <w:rFonts w:hint="eastAsia"/>
                                  <w:color w:val="000000"/>
                                </w:rPr>
                                <w:t>板框压滤机</w:t>
                              </w:r>
                            </w:p>
                          </w:txbxContent>
                        </v:textbox>
                      </v:rect>
                      <v:shape id="肘形连接符 94" o:spid="_x0000_s1026" o:spt="34" type="#_x0000_t34" style="position:absolute;left:2366449;top:3000814;height:6985;width:296545;" filled="f" stroked="t" coordsize="21600,21600" o:gfxdata="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EJkUyTcAAAACgEAAA8AAAAAAAAA&#10;AQAgAAAAIgAAAGRycy9kb3ducmV2LnhtbFBLAQIUABQAAAAIAIdO4kD/iP4oRgIAAEQEAAAOAAAA&#10;AAAAAAEAIAAAACsBAABkcnMvZTJvRG9jLnhtbFBLBQYAAAAABgAGAFkBAADjBQAAAAA=&#10;" adj="10823">
                        <v:fill on="f" focussize="0,0"/>
                        <v:stroke color="#BE4B48" joinstyle="round" dashstyle="1 1" endarrow="open"/>
                        <v:imagedata o:title=""/>
                        <o:lock v:ext="edit" aspectratio="f"/>
                      </v:shape>
                      <v:rect id="矩形 95" o:spid="_x0000_s1026" o:spt="1" style="position:absolute;left:3930454;top:2867464;height:297815;width:1120140;v-text-anchor:middle;" filled="f" stroked="f" coordsize="21600,21600" o:gfxdata="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PUfQB1wAA&#10;AAoBAAAPAAAAAAAAAAEAIAAAACIAAABkcnMvZG93bnJldi54bWxQSwECFAAUAAAACACHTuJAdcDf&#10;JB8CAAAmBAAADgAAAAAAAAABACAAAAAmAQAAZHJzL2Uyb0RvYy54bWxQSwUGAAAAAAYABgBZAQAA&#10;twUAAAAA&#10;">
                        <v:fill on="f" focussize="0,0"/>
                        <v:stroke on="f"/>
                        <v:imagedata o:title=""/>
                        <o:lock v:ext="edit" aspectratio="f"/>
                        <v:textbox>
                          <w:txbxContent>
                            <w:p w14:paraId="689FD2AD">
                              <w:pPr>
                                <w:rPr>
                                  <w:color w:val="000000"/>
                                </w:rPr>
                              </w:pPr>
                              <w:r>
                                <w:rPr>
                                  <w:rFonts w:hint="eastAsia"/>
                                  <w:color w:val="000000"/>
                                </w:rPr>
                                <w:t>干泥外运处置</w:t>
                              </w:r>
                            </w:p>
                          </w:txbxContent>
                        </v:textbox>
                      </v:rect>
                      <v:shape id="肘形连接符 96" o:spid="_x0000_s1026" o:spt="34" type="#_x0000_t34" style="position:absolute;left:3680264;top:3023039;height:6985;width:296545;" filled="f" stroked="t" coordsize="21600,21600" o:gfxdata="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CZFMk3AAAAAoBAAAPAAAAAAAA&#10;AAEAIAAAACIAAABkcnMvZG93bnJldi54bWxQSwECFAAUAAAACACHTuJAemKCokcCAABEBAAADgAA&#10;AAAAAAABACAAAAArAQAAZHJzL2Uyb0RvYy54bWxQSwUGAAAAAAYABgBZAQAA5AUAAAAA&#10;" adj="10823">
                        <v:fill on="f" focussize="0,0"/>
                        <v:stroke color="#BE4B48" joinstyle="round" dashstyle="1 1" endarrow="open"/>
                        <v:imagedata o:title=""/>
                        <o:lock v:ext="edit" aspectratio="f"/>
                      </v:shape>
                      <v:rect id="矩形 99" o:spid="_x0000_s1026" o:spt="1" style="position:absolute;left:4021259;top:3284024;height:297815;width:676910;v-text-anchor:middle;" filled="f" stroked="t" coordsize="21600,21600" o:gfxdata="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IO5auvbAAAACgEAAA8AAAAAAAAAAQAgAAAA&#10;IgAAAGRycy9kb3ducmV2LnhtbFBLAQIUABQAAAAIAIdO4kCtGIkEQQIAAGIEAAAOAAAAAAAAAAEA&#10;IAAAACoBAABkcnMvZTJvRG9jLnhtbFBLBQYAAAAABgAGAFkBAADdBQAAAAA=&#10;">
                        <v:fill on="f" focussize="0,0"/>
                        <v:stroke weight="2pt" color="#000000" joinstyle="round"/>
                        <v:imagedata o:title=""/>
                        <o:lock v:ext="edit" aspectratio="f"/>
                        <v:textbox>
                          <w:txbxContent>
                            <w:p w14:paraId="1ADF867A">
                              <w:pPr>
                                <w:rPr>
                                  <w:color w:val="000000"/>
                                </w:rPr>
                              </w:pPr>
                              <w:r>
                                <w:rPr>
                                  <w:rFonts w:hint="eastAsia"/>
                                  <w:color w:val="000000"/>
                                </w:rPr>
                                <w:t>调节池</w:t>
                              </w:r>
                            </w:p>
                          </w:txbxContent>
                        </v:textbox>
                      </v:rect>
                      <v:shape id="肘形连接符 100" o:spid="_x0000_s1026" o:spt="33" type="#_x0000_t33" style="position:absolute;left:3512622;top:2883973;flip:y;height:821690;width:197485;rotation:-5898240f;" filled="f" stroked="t" coordsize="21600,21600" o:gfxdata="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BVk0VjaAAAACgEAAA8AAAAAAAAAAQAgAAAAIgAAAGRycy9kb3du&#10;cmV2LnhtbFBLAQIUABQAAAAIAIdO4kA8LrqANgIAABgEAAAOAAAAAAAAAAEAIAAAACkBAABkcnMv&#10;ZTJvRG9jLnhtbFBLBQYAAAAABgAGAFkBAADRBQAAAAA=&#10;">
                        <v:fill on="f" focussize="0,0"/>
                        <v:stroke color="#4A7EBB" joinstyle="round" endarrow="open"/>
                        <v:imagedata o:title=""/>
                        <o:lock v:ext="edit" aspectratio="f"/>
                      </v:shape>
                      <v:rect id="矩形 101" o:spid="_x0000_s1026" o:spt="1" style="position:absolute;left:3186234;top:3492304;height:269240;width:821055;v-text-anchor:middle;" fillcolor="#FFFFFF" filled="t" stroked="f" coordsize="21600,21600" o:gfxdata="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BmBeCjZAAAACgEAAA8AAAAAAAAAAQAgAAAAIgAAAGRycy9kb3du&#10;cmV2LnhtbFBLAQIUABQAAAAIAIdO4kBOzOdANwIAAE8EAAAOAAAAAAAAAAEAIAAAACgBAABkcnMv&#10;ZTJvRG9jLnhtbFBLBQYAAAAABgAGAFkBAADRBQAAAAA=&#10;">
                        <v:fill on="t" focussize="0,0"/>
                        <v:stroke on="f"/>
                        <v:imagedata o:title=""/>
                        <o:lock v:ext="edit" aspectratio="f"/>
                        <v:textbox>
                          <w:txbxContent>
                            <w:p w14:paraId="61C6CED6">
                              <w:pPr>
                                <w:jc w:val="center"/>
                              </w:pPr>
                              <w:r>
                                <w:rPr>
                                  <w:rFonts w:hint="eastAsia"/>
                                </w:rPr>
                                <w:t>压滤液</w:t>
                              </w:r>
                            </w:p>
                          </w:txbxContent>
                        </v:textbox>
                      </v:rect>
                      <v:shape id="肘形连接符 103" o:spid="_x0000_s1026" o:spt="34" type="#_x0000_t34" style="position:absolute;left:709733;top:2090223;flip:y;height:635;width:323215;rotation:-5898240f;" filled="f" stroked="t" coordsize="21600,21600" o:gfxdata="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EE7nwXbAAAACgEA&#10;AA8AAAAAAAAAAQAgAAAAIgAAAGRycy9kb3ducmV2LnhtbFBLAQIUABQAAAAIAIdO4kA6c/+GUAIA&#10;AFkEAAAOAAAAAAAAAAEAIAAAACoBAABkcnMvZTJvRG9jLnhtbFBLBQYAAAAABgAGAFkBAADsBQAA&#10;AAA=&#10;" adj="10821">
                        <v:fill on="f" focussize="0,0"/>
                        <v:stroke color="#984807" joinstyle="round" dashstyle="dash" endarrow="open"/>
                        <v:imagedata o:title=""/>
                        <o:lock v:ext="edit" aspectratio="f"/>
                      </v:shape>
                      <v:rect id="矩形 104" o:spid="_x0000_s1026" o:spt="1" style="position:absolute;left:190939;top:2348669;height:297815;width:1176655;v-text-anchor:middle;" filled="f" stroked="f" coordsize="21600,21600" o:gfxdata="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T1H0AdcA&#10;AAAKAQAADwAAAAAAAAABACAAAAAiAAAAZHJzL2Rvd25yZXYueG1sUEsBAhQAFAAAAAgAh07iQOae&#10;dT0gAgAAJgQAAA4AAAAAAAAAAQAgAAAAJgEAAGRycy9lMm9Eb2MueG1sUEsFBgAAAAAGAAYAWQEA&#10;ALgFAAAAAA==&#10;">
                        <v:fill on="f" focussize="0,0"/>
                        <v:stroke on="f"/>
                        <v:imagedata o:title=""/>
                        <o:lock v:ext="edit" aspectratio="f"/>
                        <v:textbox>
                          <w:txbxContent>
                            <w:p w14:paraId="30EE08F0">
                              <w:pPr>
                                <w:rPr>
                                  <w:color w:val="000000"/>
                                </w:rPr>
                              </w:pPr>
                              <w:r>
                                <w:rPr>
                                  <w:rFonts w:hint="eastAsia"/>
                                  <w:color w:val="000000"/>
                                </w:rPr>
                                <w:t>栅渣外运处置</w:t>
                              </w:r>
                            </w:p>
                          </w:txbxContent>
                        </v:textbox>
                      </v:rect>
                      <v:shape id="肘形连接符 110" o:spid="_x0000_s1026" o:spt="34" type="#_x0000_t34" style="position:absolute;left:1300282;top:540187;flip:y;height:635;width:323215;rotation:-5898240f;" filled="f" stroked="t" coordsize="21600,21600" o:gfxdata="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f2TrxNgAAAAK&#10;AQAADwAAAAAAAAABACAAAAAiAAAAZHJzL2Rvd25yZXYueG1sUEsBAhQAFAAAAAgAh07iQOcyFKFV&#10;AgAAWQQAAA4AAAAAAAAAAQAgAAAAJwEAAGRycy9lMm9Eb2MueG1sUEsFBgAAAAAGAAYAWQEAAO4F&#10;AAAAAA==&#10;" adj="10821">
                        <v:fill on="f" focussize="0,0"/>
                        <v:stroke color="#4A7EBB" joinstyle="round" dashstyle="dash" endarrow="open"/>
                        <v:imagedata o:title=""/>
                        <o:lock v:ext="edit" aspectratio="f"/>
                      </v:shape>
                      <v:rect id="矩形 111" o:spid="_x0000_s1026" o:spt="1" style="position:absolute;left:1022789;top:66479;height:269240;width:897890;v-text-anchor:middle;" fillcolor="#FFFFFF" filled="t" stroked="f" coordsize="21600,21600" o:gfxdata="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GYF4KNkAAAAKAQAADwAAAAAAAAABACAAAAAiAAAAZHJzL2Rvd25yZXYu&#10;eG1sUEsBAhQAFAAAAAgAh07iQO4SPn4zAgAATQQAAA4AAAAAAAAAAQAgAAAAKAEAAGRycy9lMm9E&#10;b2MueG1sUEsFBgAAAAAGAAYAWQEAAM0FAAAAAA==&#10;">
                        <v:fill on="t" focussize="0,0"/>
                        <v:stroke on="f"/>
                        <v:imagedata o:title=""/>
                        <o:lock v:ext="edit" aspectratio="f"/>
                        <v:textbox>
                          <w:txbxContent>
                            <w:p w14:paraId="24409209">
                              <w:pPr>
                                <w:jc w:val="center"/>
                              </w:pPr>
                              <w:r>
                                <w:rPr>
                                  <w:rFonts w:hint="eastAsia"/>
                                </w:rPr>
                                <w:t>PAC、PAM</w:t>
                              </w:r>
                            </w:p>
                          </w:txbxContent>
                        </v:textbox>
                      </v:rect>
                      <v:shape id="肘形连接符 48" o:spid="_x0000_s1026" o:spt="34" type="#_x0000_t34" style="position:absolute;left:4646099;top:1279329;height:0;width:228600;" filled="f" stroked="t" coordsize="21600,21600" o:gfxdata="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fu90J9oAAAAKAQAADwAAAAAAAAABACAAAAAiAAAAZHJzL2Rv&#10;d25yZXYueG1sUEsBAhQAFAAAAAgAh07iQB6VL944AgAAJwQAAA4AAAAAAAAAAQAgAAAAKQEAAGRy&#10;cy9lMm9Eb2MueG1sUEsFBgAAAAAGAAYAWQEAANMFAAAAAA==&#10;" adj="10800">
                        <v:fill on="f" focussize="0,0"/>
                        <v:stroke color="#4A7EBB" joinstyle="round" endarrow="open"/>
                        <v:imagedata o:title=""/>
                        <o:lock v:ext="edit" aspectratio="f"/>
                      </v:shape>
                      <v:shape id="自选图形 309" o:spid="_x0000_s1026" o:spt="34" type="#_x0000_t34" style="position:absolute;left:3478967;top:363023;flip:y;height:599440;width:20955;rotation:5898240f;" filled="f" stroked="t" coordsize="21600,21600" o:gfxdata="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T9uSx2QAAAAoBAAAP&#10;AAAAAAAAAAEAIAAAACIAAABkcnMvZG93bnJldi54bWxQSwECFAAUAAAACACHTuJAyd99vlACAABQ&#10;BAAADgAAAAAAAAABACAAAAAoAQAAZHJzL2Uyb0RvYy54bWxQSwUGAAAAAAYABgBZAQAA6gUAAAAA&#10;" adj="267382">
                        <v:fill on="f" focussize="0,0"/>
                        <v:stroke color="#4F81BD" miterlimit="8" joinstyle="miter" endarrow="open"/>
                        <v:imagedata o:title=""/>
                        <o:lock v:ext="edit" aspectratio="f"/>
                      </v:shape>
                      <v:shape id="自选图形 310" o:spid="_x0000_s1026" o:spt="34" type="#_x0000_t34" style="position:absolute;left:4197788;top:380802;flip:y;height:592455;width:6350;rotation:5898240f;" filled="f" stroked="t" coordsize="21600,21600" o:gfxdata="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kTNUz1wAAAAoBAAAPAAAAAAAAAAEAIAAAACIAAABkcnMvZG93bnJldi54bWxQSwECFAAUAAAA&#10;CACHTuJAULV0ZWECAABzBAAADgAAAAAAAAABACAAAAAmAQAAZHJzL2Uyb0RvYy54bWxQSwUGAAAA&#10;AAYABgBZAQAA+QUAAAAA&#10;" adj="832680">
                        <v:fill on="f" focussize="0,0"/>
                        <v:stroke color="#984807" miterlimit="8" joinstyle="miter" dashstyle="1 1" endcap="round" endarrow="open"/>
                        <v:imagedata o:title=""/>
                        <o:lock v:ext="edit" aspectratio="f"/>
                      </v:shape>
                      <v:rect id="矩形 61" o:spid="_x0000_s1026" o:spt="1" style="position:absolute;left:3003354;top:112834;height:269240;width:954405;v-text-anchor:middle;" fillcolor="#FFFFFF" filled="t" stroked="f" coordsize="21600,21600" o:gfxdata="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ZgXgo2QAAAAoBAAAPAAAAAAAAAAEAIAAAACIAAABkcnMvZG93bnJl&#10;di54bWxQSwECFAAUAAAACACHTuJAPVFsRjUCAABNBAAADgAAAAAAAAABACAAAAAoAQAAZHJzL2Uy&#10;b0RvYy54bWxQSwUGAAAAAAYABgBZAQAAzwUAAAAA&#10;">
                        <v:fill on="t" focussize="0,0"/>
                        <v:stroke on="f"/>
                        <v:imagedata o:title=""/>
                        <o:lock v:ext="edit" aspectratio="f"/>
                        <v:textbox>
                          <w:txbxContent>
                            <w:p w14:paraId="530E7F31">
                              <w:pPr>
                                <w:jc w:val="center"/>
                              </w:pPr>
                              <w:r>
                                <w:rPr>
                                  <w:rFonts w:hint="eastAsia"/>
                                </w:rPr>
                                <w:t>混合液回流</w:t>
                              </w:r>
                            </w:p>
                          </w:txbxContent>
                        </v:textbox>
                      </v:rect>
                      <v:shape id="肘形连接符 47" o:spid="_x0000_s1026" o:spt="34" type="#_x0000_t34" style="position:absolute;left:2820474;top:1334574;flip:y;height:0;width:241300;" filled="f" stroked="t" coordsize="21600,21600" o:gfxdata="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&#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GczjjZAAAACgEAAA8AAAAAAAAAAQAgAAAAIgAAAGRy&#10;cy9kb3ducmV2LnhtbFBLAQIUABQAAAAIAIdO4kB6jah6PQIAADEEAAAOAAAAAAAAAAEAIAAAACgB&#10;AABkcnMvZTJvRG9jLnhtbFBLBQYAAAAABgAGAFkBAADXBQAAAAA=&#10;" adj="10800">
                        <v:fill on="f" focussize="0,0"/>
                        <v:stroke color="#4A7EBB" joinstyle="round" endarrow="open"/>
                        <v:imagedata o:title=""/>
                        <o:lock v:ext="edit" aspectratio="f"/>
                      </v:shape>
                      <v:shape id="肘形连接符 47" o:spid="_x0000_s1026" o:spt="34" type="#_x0000_t34" style="position:absolute;left:1645089;top:1342194;flip:y;height:0;width:241300;" filled="f" stroked="t" coordsize="21600,21600" o:gfxdata="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AGczjjZAAAACgEAAA8AAAAAAAAAAQAgAAAAIgAA&#10;AGRycy9kb3ducmV2LnhtbFBLAQIUABQAAAAIAIdO4kBS94kXQAIAADEEAAAOAAAAAAAAAAEAIAAA&#10;ACgBAABkcnMvZTJvRG9jLnhtbFBLBQYAAAAABgAGAFkBAADaBQAAAAA=&#10;" adj="10800">
                        <v:fill on="f" focussize="0,0"/>
                        <v:stroke color="#4A7EBB" joinstyle="round" endarrow="open"/>
                        <v:imagedata o:title=""/>
                        <o:lock v:ext="edit" aspectratio="f"/>
                      </v:shape>
                      <v:shape id="肘形连接符 47" o:spid="_x0000_s1026" o:spt="34" type="#_x0000_t34" style="position:absolute;left:1041839;top:1334574;flip:y;height:0;width:241300;" filled="f" stroked="t" coordsize="21600,21600" o:gfxdata="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AZzOONkAAAAKAQAADwAAAAAAAAABACAAAAAiAAAA&#10;ZHJzL2Rvd25yZXYueG1sUEsBAhQAFAAAAAgAh07iQP9u6Jc/AgAAMQQAAA4AAAAAAAAAAQAgAAAA&#10;KAEAAGRycy9lMm9Eb2MueG1sUEsFBgAAAAAGAAYAWQEAANkFAAAAAA==&#10;" adj="10800">
                        <v:fill on="f" focussize="0,0"/>
                        <v:stroke color="#4A7EBB" joinstyle="round" endarrow="open"/>
                        <v:imagedata o:title=""/>
                        <o:lock v:ext="edit" aspectratio="f"/>
                      </v:shape>
                      <v:shape id="肘形连接符 47" o:spid="_x0000_s1026" o:spt="34" type="#_x0000_t34" style="position:absolute;left:415094;top:1350449;flip:y;height:0;width:241300;" filled="f" stroked="t" coordsize="21600,21600" o:gfxdata="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BnM442QAAAAoBAAAPAAAAAAAAAAEAIAAAACIAAABk&#10;cnMvZG93bnJldi54bWxQSwECFAAUAAAACACHTuJAoWVnfD4CAAAwBAAADgAAAAAAAAABACAAAAAo&#10;AQAAZHJzL2Uyb0RvYy54bWxQSwUGAAAAAAYABgBZAQAA2AUAAAAA&#10;" adj="10800">
                        <v:fill on="f" focussize="0,0"/>
                        <v:stroke color="#4A7EBB" joinstyle="round" endarrow="open"/>
                        <v:imagedata o:title=""/>
                        <o:lock v:ext="edit" aspectratio="f"/>
                      </v:shape>
                      <v:shape id="自选图形 316" o:spid="_x0000_s1026" o:spt="34" type="#_x0000_t34" style="position:absolute;left:1268534;top:2122609;flip:y;height:563880;width:942340;rotation:-5898240f;" filled="f" stroked="t" coordsize="21600,21600" o:gfxdata="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PHdj4dkAAAAKAQAADwAAAAAAAAABACAAAAAiAAAAZHJzL2Rvd25yZXYueG1sUEsBAhQAFAAA&#10;AAgAh07iQOljjktgAgAAcwQAAA4AAAAAAAAAAQAgAAAAKAEAAGRycy9lMm9Eb2MueG1sUEsFBgAA&#10;AAAGAAYAWQEAAPoFAAAAAA==&#10;" adj="10800">
                        <v:fill on="f" focussize="0,0"/>
                        <v:stroke color="#984807" miterlimit="8" joinstyle="miter" dashstyle="1 1" endcap="round" endarrow="open"/>
                        <v:imagedata o:title=""/>
                        <o:lock v:ext="edit" aspectratio="f"/>
                      </v:shape>
                      <v:shape id="自选图形 317" o:spid="_x0000_s1026" o:spt="34" type="#_x0000_t34" style="position:absolute;left:1860988;top:2122607;height:592455;width:913130;rotation:5898240f;" filled="f" stroked="t" coordsize="21600,21600" o:gfxdata="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alvtv&#10;2AAAAAoBAAAPAAAAAAAAAAEAIAAAACIAAABkcnMvZG93bnJldi54bWxQSwECFAAUAAAACACHTuJA&#10;Ln3k/VoCAABpBAAADgAAAAAAAAABACAAAAAnAQAAZHJzL2Uyb0RvYy54bWxQSwUGAAAAAAYABgBZ&#10;AQAA8wUAAAAA&#10;" adj="10792">
                        <v:fill on="f" focussize="0,0"/>
                        <v:stroke color="#984807" miterlimit="8" joinstyle="miter" dashstyle="1 1" endcap="round" endarrow="open"/>
                        <v:imagedata o:title=""/>
                        <o:lock v:ext="edit" aspectratio="f"/>
                      </v:shape>
                      <v:shape id="自选图形 318" o:spid="_x0000_s1026" o:spt="34" type="#_x0000_t34" style="position:absolute;left:2182299;top:1815904;height:1220470;width:899160;rotation:5898240f;" filled="f" stroked="t" coordsize="21600,21600" o:gfxdata="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E1X&#10;6K3aAAAACgEAAA8AAAAAAAAAAQAgAAAAIgAAAGRycy9kb3ducmV2LnhtbFBLAQIUABQAAAAIAIdO&#10;4kB51KOyWgIAAGoEAAAOAAAAAAAAAAEAIAAAACkBAABkcnMvZTJvRG9jLnhtbFBLBQYAAAAABgAG&#10;AFkBAAD1BQAAAAA=&#10;" adj="10800">
                        <v:fill on="f" focussize="0,0"/>
                        <v:stroke color="#984807" miterlimit="8" joinstyle="miter" dashstyle="1 1" endcap="round" endarrow="open"/>
                        <v:imagedata o:title=""/>
                        <o:lock v:ext="edit" aspectratio="f"/>
                      </v:shape>
                      <v:shape id="自选图形 319" o:spid="_x0000_s1026" o:spt="34" type="#_x0000_t34" style="position:absolute;left:2485192;top:1486337;height:1852295;width:925195;rotation:5898240f;" filled="f" stroked="t" coordsize="21600,21600" o:gfxdata="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NGiCdHa&#10;AAAACgEAAA8AAAAAAAAAAQAgAAAAIgAAAGRycy9kb3ducmV2LnhtbFBLAQIUABQAAAAIAIdO4kAe&#10;bGP7VwIAAGoEAAAOAAAAAAAAAAEAIAAAACkBAABkcnMvZTJvRG9jLnhtbFBLBQYAAAAABgAGAFkB&#10;AADyBQAAAAA=&#10;" adj="10807">
                        <v:fill on="f" focussize="0,0"/>
                        <v:stroke color="#984807" miterlimit="8" joinstyle="miter" dashstyle="1 1" endcap="round" endarrow="open"/>
                        <v:imagedata o:title=""/>
                        <o:lock v:ext="edit" aspectratio="f"/>
                      </v:shape>
                      <v:shape id="自选图形 320" o:spid="_x0000_s1026" o:spt="34" type="#_x0000_t34" style="position:absolute;left:2777292;top:1194237;height:2436495;width:925195;rotation:5898240f;" filled="f" stroked="t" coordsize="21600,21600" o:gfxdata="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NGi&#10;CdHaAAAACgEAAA8AAAAAAAAAAQAgAAAAIgAAAGRycy9kb3ducmV2LnhtbFBLAQIUABQAAAAIAIdO&#10;4kBXjb97WgIAAGoEAAAOAAAAAAAAAAEAIAAAACkBAABkcnMvZTJvRG9jLnhtbFBLBQYAAAAABgAG&#10;AFkBAAD1BQAAAAA=&#10;" adj="10807">
                        <v:fill on="f" focussize="0,0"/>
                        <v:stroke color="#984807" miterlimit="8" joinstyle="miter" dashstyle="1 1" endcap="round" endarrow="open"/>
                        <v:imagedata o:title=""/>
                        <o:lock v:ext="edit" aspectratio="f"/>
                      </v:shape>
                      <w10:wrap type="square"/>
                    </v:group>
                  </w:pict>
                </mc:Fallback>
              </mc:AlternateContent>
            </w:r>
            <w:r>
              <w:rPr>
                <w:rFonts w:eastAsia="宋体"/>
                <w:color w:val="auto"/>
                <w:kern w:val="0"/>
                <w:szCs w:val="24"/>
              </w:rPr>
              <w:fldChar w:fldCharType="begin"/>
            </w:r>
            <w:r>
              <w:rPr>
                <w:rFonts w:eastAsia="宋体"/>
                <w:color w:val="auto"/>
                <w:kern w:val="0"/>
                <w:szCs w:val="24"/>
              </w:rPr>
              <w:instrText xml:space="preserve"> = 1 \* GB3 </w:instrText>
            </w:r>
            <w:r>
              <w:rPr>
                <w:rFonts w:eastAsia="宋体"/>
                <w:color w:val="auto"/>
                <w:kern w:val="0"/>
                <w:szCs w:val="24"/>
              </w:rPr>
              <w:fldChar w:fldCharType="separate"/>
            </w:r>
            <w:r>
              <w:rPr>
                <w:rFonts w:hint="eastAsia" w:ascii="宋体" w:hAnsi="宋体" w:eastAsia="宋体" w:cs="宋体"/>
                <w:color w:val="auto"/>
                <w:kern w:val="0"/>
                <w:szCs w:val="24"/>
              </w:rPr>
              <w:t>①</w:t>
            </w:r>
            <w:r>
              <w:rPr>
                <w:rFonts w:eastAsia="宋体"/>
                <w:color w:val="auto"/>
                <w:kern w:val="0"/>
                <w:szCs w:val="24"/>
              </w:rPr>
              <w:fldChar w:fldCharType="end"/>
            </w:r>
            <w:r>
              <w:rPr>
                <w:rFonts w:eastAsia="宋体"/>
                <w:color w:val="auto"/>
                <w:kern w:val="0"/>
                <w:szCs w:val="24"/>
              </w:rPr>
              <w:t>污水处理站污水处理工艺</w:t>
            </w:r>
          </w:p>
          <w:p w14:paraId="4CE43717">
            <w:pPr>
              <w:jc w:val="center"/>
              <w:rPr>
                <w:b/>
                <w:color w:val="auto"/>
                <w:sz w:val="24"/>
              </w:rPr>
            </w:pPr>
            <w:r>
              <w:rPr>
                <w:b/>
                <w:color w:val="auto"/>
                <w:sz w:val="24"/>
              </w:rPr>
              <w:t>图4-1 厂内污水处理站污水处理工艺流程图</w:t>
            </w:r>
          </w:p>
          <w:p w14:paraId="5BD34A10">
            <w:pPr>
              <w:spacing w:line="360" w:lineRule="auto"/>
              <w:ind w:firstLine="480" w:firstLineChars="200"/>
              <w:jc w:val="left"/>
              <w:rPr>
                <w:color w:val="auto"/>
                <w:sz w:val="24"/>
              </w:rPr>
            </w:pPr>
            <w:r>
              <w:rPr>
                <w:color w:val="auto"/>
                <w:sz w:val="24"/>
              </w:rPr>
              <w:t>污水处理站工艺简介：</w:t>
            </w:r>
          </w:p>
          <w:p w14:paraId="2919C323">
            <w:pPr>
              <w:pStyle w:val="139"/>
              <w:spacing w:line="360" w:lineRule="auto"/>
              <w:ind w:firstLine="480"/>
              <w:rPr>
                <w:color w:val="auto"/>
                <w:sz w:val="24"/>
              </w:rPr>
            </w:pPr>
            <w:r>
              <w:rPr>
                <w:rFonts w:hint="eastAsia"/>
                <w:color w:val="auto"/>
                <w:sz w:val="24"/>
              </w:rPr>
              <w:t>污水站</w:t>
            </w:r>
            <w:r>
              <w:rPr>
                <w:color w:val="auto"/>
                <w:sz w:val="24"/>
              </w:rPr>
              <w:t>设计</w:t>
            </w:r>
            <w:r>
              <w:rPr>
                <w:rFonts w:hint="eastAsia"/>
                <w:color w:val="auto"/>
                <w:sz w:val="24"/>
              </w:rPr>
              <w:t>处理</w:t>
            </w:r>
            <w:r>
              <w:rPr>
                <w:color w:val="auto"/>
                <w:sz w:val="24"/>
              </w:rPr>
              <w:t>规模为16</w:t>
            </w:r>
            <w:r>
              <w:rPr>
                <w:rFonts w:hint="eastAsia"/>
                <w:color w:val="auto"/>
                <w:sz w:val="24"/>
              </w:rPr>
              <w:t>0</w:t>
            </w:r>
            <w:r>
              <w:rPr>
                <w:color w:val="auto"/>
                <w:sz w:val="24"/>
              </w:rPr>
              <w:t>0m</w:t>
            </w:r>
            <w:r>
              <w:rPr>
                <w:color w:val="auto"/>
                <w:sz w:val="24"/>
                <w:vertAlign w:val="superscript"/>
              </w:rPr>
              <w:t>3</w:t>
            </w:r>
            <w:r>
              <w:rPr>
                <w:color w:val="auto"/>
                <w:sz w:val="24"/>
              </w:rPr>
              <w:t>/d，</w:t>
            </w:r>
            <w:r>
              <w:rPr>
                <w:rFonts w:hint="eastAsia"/>
                <w:color w:val="auto"/>
                <w:sz w:val="24"/>
              </w:rPr>
              <w:t>主体生化分为两组并联运行，每组处理能力</w:t>
            </w:r>
            <w:r>
              <w:rPr>
                <w:color w:val="auto"/>
                <w:sz w:val="24"/>
              </w:rPr>
              <w:t>8</w:t>
            </w:r>
            <w:r>
              <w:rPr>
                <w:rFonts w:hint="eastAsia"/>
                <w:color w:val="auto"/>
                <w:sz w:val="24"/>
              </w:rPr>
              <w:t>00t/d，每套</w:t>
            </w:r>
            <w:r>
              <w:rPr>
                <w:color w:val="auto"/>
                <w:sz w:val="24"/>
              </w:rPr>
              <w:t>设施设计运行时间均为24h</w:t>
            </w:r>
            <w:r>
              <w:rPr>
                <w:rFonts w:hint="eastAsia"/>
                <w:color w:val="auto"/>
                <w:sz w:val="24"/>
              </w:rPr>
              <w:t>/d</w:t>
            </w:r>
            <w:r>
              <w:rPr>
                <w:color w:val="auto"/>
                <w:sz w:val="24"/>
              </w:rPr>
              <w:t>。</w:t>
            </w:r>
            <w:r>
              <w:rPr>
                <w:rFonts w:hint="eastAsia"/>
                <w:color w:val="auto"/>
                <w:kern w:val="0"/>
                <w:sz w:val="24"/>
                <w:lang w:bidi="hi-IN"/>
              </w:rPr>
              <w:t>采用“机械格栅+折流式沉淀池+调节+混凝气浮+水解酸化+接触氧化+二沉”组合工艺，系统处理设备模块化制作，可以保证出水达到接管标准。系统产生的污泥均排入污泥池中，泵入压滤机压滤后干泥外运处置，压滤液及冲洗液返回调节池再处理。</w:t>
            </w:r>
          </w:p>
          <w:p w14:paraId="11D8F18C">
            <w:pPr>
              <w:pStyle w:val="139"/>
              <w:spacing w:line="360" w:lineRule="auto"/>
              <w:ind w:firstLine="480"/>
              <w:rPr>
                <w:color w:val="auto"/>
                <w:sz w:val="24"/>
              </w:rPr>
            </w:pPr>
            <w:r>
              <w:rPr>
                <w:rFonts w:hint="eastAsia"/>
                <w:color w:val="auto"/>
                <w:kern w:val="0"/>
                <w:sz w:val="24"/>
                <w:lang w:bidi="hi-IN"/>
              </w:rPr>
              <w:t>机</w:t>
            </w:r>
            <w:r>
              <w:rPr>
                <w:rFonts w:hint="eastAsia"/>
                <w:color w:val="auto"/>
                <w:sz w:val="24"/>
              </w:rPr>
              <w:t>械格栅：</w:t>
            </w:r>
            <w:r>
              <w:rPr>
                <w:color w:val="auto"/>
                <w:sz w:val="24"/>
              </w:rPr>
              <w:t>废水经过机械格栅，去除水中较大的漂浮物，防止堵塞处理设施。</w:t>
            </w:r>
          </w:p>
          <w:p w14:paraId="27D3C3A8">
            <w:pPr>
              <w:pStyle w:val="139"/>
              <w:spacing w:line="360" w:lineRule="auto"/>
              <w:ind w:firstLine="480"/>
              <w:rPr>
                <w:color w:val="auto"/>
                <w:sz w:val="24"/>
              </w:rPr>
            </w:pPr>
            <w:r>
              <w:rPr>
                <w:rFonts w:hint="eastAsia"/>
                <w:color w:val="auto"/>
                <w:sz w:val="24"/>
              </w:rPr>
              <w:t>折流沉淀池：</w:t>
            </w:r>
            <w:r>
              <w:rPr>
                <w:color w:val="auto"/>
                <w:sz w:val="24"/>
              </w:rPr>
              <w:t>废水经过折流沉淀池，通过加药混凝将废水中的泥沙沉淀下来，防止堵塞处理设施。</w:t>
            </w:r>
          </w:p>
          <w:p w14:paraId="3E1C94FC">
            <w:pPr>
              <w:pStyle w:val="139"/>
              <w:spacing w:line="360" w:lineRule="auto"/>
              <w:ind w:firstLine="480"/>
              <w:rPr>
                <w:color w:val="auto"/>
                <w:sz w:val="24"/>
              </w:rPr>
            </w:pPr>
            <w:r>
              <w:rPr>
                <w:rFonts w:hint="eastAsia"/>
                <w:color w:val="auto"/>
                <w:sz w:val="24"/>
              </w:rPr>
              <w:t>调节池：</w:t>
            </w:r>
            <w:r>
              <w:rPr>
                <w:color w:val="auto"/>
                <w:sz w:val="24"/>
              </w:rPr>
              <w:t>多股废水在调节池中混合，调节污水的水量和水质。</w:t>
            </w:r>
          </w:p>
          <w:p w14:paraId="10F9B9E6">
            <w:pPr>
              <w:pStyle w:val="139"/>
              <w:spacing w:line="360" w:lineRule="auto"/>
              <w:ind w:firstLine="480"/>
              <w:rPr>
                <w:color w:val="auto"/>
                <w:sz w:val="24"/>
              </w:rPr>
            </w:pPr>
            <w:r>
              <w:rPr>
                <w:rFonts w:hint="eastAsia"/>
                <w:color w:val="auto"/>
                <w:sz w:val="24"/>
              </w:rPr>
              <w:t>混凝气浮池：</w:t>
            </w:r>
            <w:r>
              <w:rPr>
                <w:color w:val="auto"/>
                <w:sz w:val="24"/>
              </w:rPr>
              <w:t>将pH调至7-8左右，投加混凝剂PAC及PAM与水中悬浮物质、油类物质产生混凝反应，形成矾花后与小气泡一起上浮至表面形成浮渣刮去，清水进入后续处理。</w:t>
            </w:r>
          </w:p>
          <w:p w14:paraId="2B0EDF6B">
            <w:pPr>
              <w:pStyle w:val="139"/>
              <w:spacing w:line="360" w:lineRule="auto"/>
              <w:ind w:firstLine="480"/>
              <w:rPr>
                <w:color w:val="auto"/>
                <w:sz w:val="24"/>
              </w:rPr>
            </w:pPr>
            <w:r>
              <w:rPr>
                <w:rFonts w:hint="eastAsia"/>
                <w:color w:val="auto"/>
                <w:sz w:val="24"/>
              </w:rPr>
              <w:t>水解酸化池：</w:t>
            </w:r>
            <w:r>
              <w:rPr>
                <w:color w:val="auto"/>
                <w:sz w:val="24"/>
              </w:rPr>
              <w:t>水解酸化池内设有悬浮填料，废水中的兼氧微生物附着在填料上生长，吸附废水中的污染物，对其进行降解。常规厌氧过程可分为水解阶段、酸化阶段、乙酸化阶段和甲烷化阶段等四个阶段，水解（酸化）工艺是在水解池中把反应控制在第二阶段完成之前，控制不进入第三阶段，利用水解（酸化）池中兼性菌与厌氧菌的作用，将固体悬浮物降解为溶解性物质，大分子物质和难于生物降解的物质转化为容易降解的小分子物质，液相中的溶解性物质一部分在水解池内被细菌吸收利用，转化为能量及CO</w:t>
            </w:r>
            <w:r>
              <w:rPr>
                <w:color w:val="auto"/>
                <w:sz w:val="24"/>
                <w:vertAlign w:val="subscript"/>
              </w:rPr>
              <w:t>2</w:t>
            </w:r>
            <w:r>
              <w:rPr>
                <w:color w:val="auto"/>
                <w:sz w:val="24"/>
              </w:rPr>
              <w:t>、CH</w:t>
            </w:r>
            <w:r>
              <w:rPr>
                <w:color w:val="auto"/>
                <w:sz w:val="24"/>
                <w:vertAlign w:val="subscript"/>
              </w:rPr>
              <w:t>4</w:t>
            </w:r>
            <w:r>
              <w:rPr>
                <w:color w:val="auto"/>
                <w:sz w:val="24"/>
              </w:rPr>
              <w:t>、NH</w:t>
            </w:r>
            <w:r>
              <w:rPr>
                <w:color w:val="auto"/>
                <w:sz w:val="24"/>
                <w:vertAlign w:val="subscript"/>
              </w:rPr>
              <w:t>3</w:t>
            </w:r>
            <w:r>
              <w:rPr>
                <w:color w:val="auto"/>
                <w:sz w:val="24"/>
              </w:rPr>
              <w:t>等代谢产物，另一部分将随水流进入后续好氧生物处理阶段被好氧菌代谢处理。经过水解酸化处理，废水B/C值得到提高，有利后续生化系统的正常运行，提高有机污染物的去除率。</w:t>
            </w:r>
          </w:p>
          <w:p w14:paraId="018C3DFB">
            <w:pPr>
              <w:pStyle w:val="139"/>
              <w:spacing w:line="360" w:lineRule="auto"/>
              <w:ind w:firstLine="480"/>
              <w:rPr>
                <w:color w:val="auto"/>
                <w:sz w:val="24"/>
              </w:rPr>
            </w:pPr>
            <w:r>
              <w:rPr>
                <w:rFonts w:hint="eastAsia"/>
                <w:color w:val="auto"/>
                <w:sz w:val="24"/>
              </w:rPr>
              <w:t>接触氧化池：</w:t>
            </w:r>
            <w:r>
              <w:rPr>
                <w:color w:val="auto"/>
                <w:sz w:val="24"/>
              </w:rPr>
              <w:t>接触氧化池内设有组合填料，池内曝气，部分好养微生物以生物膜的形式固着生长在填料表面，部分则是絮状悬浮生长于水中，其兼有活性污泥法和生物滤池二者的优点。生物接触氧化池具有较高的容积负荷，运行管理方便，对水质水量骤变有较强的适应能力，污泥产量较低。进一步去除剩余COD、氨氮，并将接触氧化池内混合液回流至水解酸化池内进行反硝化作用，去除部分总氮。</w:t>
            </w:r>
          </w:p>
          <w:p w14:paraId="03B74E35">
            <w:pPr>
              <w:pStyle w:val="139"/>
              <w:spacing w:line="360" w:lineRule="auto"/>
              <w:ind w:firstLine="480"/>
              <w:rPr>
                <w:color w:val="auto"/>
                <w:sz w:val="24"/>
              </w:rPr>
            </w:pPr>
            <w:r>
              <w:rPr>
                <w:rFonts w:hint="eastAsia"/>
                <w:color w:val="auto"/>
                <w:sz w:val="24"/>
              </w:rPr>
              <w:t>接触氧化池内装有可提升式微孔曝气管，具有以下优点：①气泡微小，维持池内稳定DO值；②氧利用率高，可达30%；③可提升，维修简便，不需停产排水即可维修。</w:t>
            </w:r>
          </w:p>
          <w:p w14:paraId="743026BA">
            <w:pPr>
              <w:spacing w:line="360" w:lineRule="auto"/>
              <w:ind w:firstLine="560" w:firstLineChars="200"/>
              <w:jc w:val="center"/>
              <w:rPr>
                <w:color w:val="auto"/>
                <w:kern w:val="0"/>
                <w:sz w:val="24"/>
                <w:lang w:bidi="hi-IN"/>
              </w:rPr>
            </w:pPr>
            <w:r>
              <w:rPr>
                <w:color w:val="auto"/>
                <w:sz w:val="28"/>
                <w:szCs w:val="28"/>
              </w:rPr>
              <w:drawing>
                <wp:inline distT="0" distB="0" distL="0" distR="0">
                  <wp:extent cx="2752090" cy="2061845"/>
                  <wp:effectExtent l="0" t="0" r="10160" b="14605"/>
                  <wp:docPr id="43" name="图片 43" descr="ea32b376f0f1d054f540119375aa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ea32b376f0f1d054f540119375aa87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752090" cy="2061845"/>
                          </a:xfrm>
                          <a:prstGeom prst="rect">
                            <a:avLst/>
                          </a:prstGeom>
                          <a:noFill/>
                          <a:ln>
                            <a:noFill/>
                          </a:ln>
                        </pic:spPr>
                      </pic:pic>
                    </a:graphicData>
                  </a:graphic>
                </wp:inline>
              </w:drawing>
            </w:r>
          </w:p>
          <w:p w14:paraId="62CC401D">
            <w:pPr>
              <w:jc w:val="center"/>
              <w:rPr>
                <w:b/>
                <w:color w:val="auto"/>
                <w:sz w:val="24"/>
              </w:rPr>
            </w:pPr>
            <w:r>
              <w:rPr>
                <w:b/>
                <w:color w:val="auto"/>
                <w:sz w:val="24"/>
              </w:rPr>
              <w:t xml:space="preserve">图4-2 </w:t>
            </w:r>
            <w:r>
              <w:rPr>
                <w:rFonts w:hint="eastAsia"/>
                <w:b/>
                <w:color w:val="auto"/>
                <w:sz w:val="24"/>
              </w:rPr>
              <w:t>可提升式微孔曝气管</w:t>
            </w:r>
          </w:p>
          <w:p w14:paraId="40B133BE">
            <w:pPr>
              <w:pStyle w:val="139"/>
              <w:spacing w:line="360" w:lineRule="auto"/>
              <w:ind w:firstLine="480"/>
              <w:rPr>
                <w:color w:val="auto"/>
                <w:sz w:val="24"/>
              </w:rPr>
            </w:pPr>
            <w:r>
              <w:rPr>
                <w:rFonts w:hint="eastAsia"/>
                <w:color w:val="auto"/>
                <w:sz w:val="24"/>
              </w:rPr>
              <w:t>二沉池：</w:t>
            </w:r>
            <w:r>
              <w:rPr>
                <w:color w:val="auto"/>
                <w:sz w:val="24"/>
              </w:rPr>
              <w:t>接触氧化池出水自流进入二沉池，废水中老化脱落的生物膜在沉淀池中利用自身重力沉降下来，达到泥水分离。部分污泥回流至接触氧化池补充活性污泥，沉淀池底部的剩余污泥排放至污泥池压滤后外运处置。</w:t>
            </w:r>
          </w:p>
          <w:p w14:paraId="3FC5F208">
            <w:pPr>
              <w:pStyle w:val="139"/>
              <w:spacing w:line="360" w:lineRule="auto"/>
              <w:ind w:firstLine="480"/>
              <w:rPr>
                <w:color w:val="auto"/>
                <w:sz w:val="24"/>
              </w:rPr>
            </w:pPr>
            <w:r>
              <w:rPr>
                <w:rFonts w:hint="eastAsia"/>
                <w:color w:val="auto"/>
                <w:sz w:val="24"/>
              </w:rPr>
              <w:t>污泥收集池：</w:t>
            </w:r>
            <w:r>
              <w:rPr>
                <w:color w:val="auto"/>
                <w:sz w:val="24"/>
              </w:rPr>
              <w:t>收集系统污泥，泵至压滤机压滤后干泥外运，压滤液回至调节池。</w:t>
            </w:r>
          </w:p>
          <w:p w14:paraId="0EB0916B">
            <w:pPr>
              <w:spacing w:line="360" w:lineRule="auto"/>
              <w:ind w:firstLine="480" w:firstLineChars="200"/>
              <w:jc w:val="left"/>
              <w:rPr>
                <w:b/>
                <w:color w:val="auto"/>
                <w:sz w:val="24"/>
              </w:rPr>
            </w:pPr>
            <w:r>
              <w:rPr>
                <w:rFonts w:hint="eastAsia" w:ascii="宋体" w:hAnsi="宋体"/>
                <w:color w:val="auto"/>
                <w:sz w:val="24"/>
              </w:rPr>
              <w:t>②污水处理站建构筑物、设备</w:t>
            </w:r>
          </w:p>
          <w:p w14:paraId="12B3798D">
            <w:pPr>
              <w:spacing w:line="360" w:lineRule="auto"/>
              <w:ind w:firstLine="482" w:firstLineChars="200"/>
              <w:rPr>
                <w:b/>
                <w:color w:val="auto"/>
                <w:sz w:val="24"/>
              </w:rPr>
            </w:pPr>
            <w:r>
              <w:rPr>
                <w:rFonts w:hint="eastAsia"/>
                <w:b/>
                <w:color w:val="auto"/>
                <w:sz w:val="24"/>
              </w:rPr>
              <w:t>（</w:t>
            </w:r>
            <w:r>
              <w:rPr>
                <w:b/>
                <w:color w:val="auto"/>
                <w:sz w:val="24"/>
              </w:rPr>
              <w:t>a</w:t>
            </w:r>
            <w:r>
              <w:rPr>
                <w:rFonts w:hint="eastAsia"/>
                <w:b/>
                <w:color w:val="auto"/>
                <w:sz w:val="24"/>
              </w:rPr>
              <w:t>）格栅井</w:t>
            </w:r>
          </w:p>
          <w:p w14:paraId="090B1D10">
            <w:pPr>
              <w:spacing w:line="360" w:lineRule="auto"/>
              <w:ind w:firstLine="480" w:firstLineChars="200"/>
              <w:rPr>
                <w:color w:val="auto"/>
                <w:kern w:val="0"/>
                <w:sz w:val="24"/>
                <w:lang w:bidi="hi-IN"/>
              </w:rPr>
            </w:pPr>
            <w:r>
              <w:rPr>
                <w:color w:val="auto"/>
                <w:kern w:val="0"/>
                <w:sz w:val="24"/>
                <w:lang w:bidi="hi-IN"/>
              </w:rPr>
              <w:t>结构：地下式钢砼结构；</w:t>
            </w:r>
          </w:p>
          <w:p w14:paraId="03C8D085">
            <w:pPr>
              <w:spacing w:line="360" w:lineRule="auto"/>
              <w:ind w:firstLine="480" w:firstLineChars="200"/>
              <w:rPr>
                <w:color w:val="auto"/>
                <w:kern w:val="0"/>
                <w:sz w:val="24"/>
                <w:lang w:bidi="hi-IN"/>
              </w:rPr>
            </w:pPr>
            <w:r>
              <w:rPr>
                <w:color w:val="auto"/>
                <w:kern w:val="0"/>
                <w:sz w:val="24"/>
                <w:lang w:bidi="hi-IN"/>
              </w:rPr>
              <w:t>主要功能：</w:t>
            </w:r>
            <w:r>
              <w:rPr>
                <w:rFonts w:hint="eastAsia"/>
                <w:color w:val="auto"/>
                <w:kern w:val="0"/>
                <w:sz w:val="24"/>
                <w:lang w:bidi="hi-IN"/>
              </w:rPr>
              <w:t>拦截大颗粒悬浮物质，防止堵塞后续处理设施</w:t>
            </w:r>
            <w:r>
              <w:rPr>
                <w:color w:val="auto"/>
                <w:kern w:val="0"/>
                <w:sz w:val="24"/>
                <w:lang w:bidi="hi-IN"/>
              </w:rPr>
              <w:t>；</w:t>
            </w:r>
          </w:p>
          <w:p w14:paraId="5EFBCC3F">
            <w:pPr>
              <w:spacing w:line="360" w:lineRule="auto"/>
              <w:ind w:firstLine="480" w:firstLineChars="200"/>
              <w:rPr>
                <w:color w:val="auto"/>
                <w:kern w:val="0"/>
                <w:sz w:val="24"/>
                <w:lang w:bidi="hi-IN"/>
              </w:rPr>
            </w:pPr>
            <w:r>
              <w:rPr>
                <w:color w:val="auto"/>
                <w:kern w:val="0"/>
                <w:sz w:val="24"/>
                <w:lang w:bidi="hi-IN"/>
              </w:rPr>
              <w:t>设计水量：1600m</w:t>
            </w:r>
            <w:r>
              <w:rPr>
                <w:color w:val="auto"/>
                <w:kern w:val="0"/>
                <w:sz w:val="24"/>
                <w:vertAlign w:val="superscript"/>
                <w:lang w:bidi="hi-IN"/>
              </w:rPr>
              <w:t>3</w:t>
            </w:r>
            <w:r>
              <w:rPr>
                <w:color w:val="auto"/>
                <w:kern w:val="0"/>
                <w:sz w:val="24"/>
                <w:lang w:bidi="hi-IN"/>
              </w:rPr>
              <w:t>/d</w:t>
            </w:r>
            <w:r>
              <w:rPr>
                <w:rFonts w:hint="eastAsia"/>
                <w:color w:val="auto"/>
                <w:kern w:val="0"/>
                <w:sz w:val="24"/>
                <w:lang w:bidi="hi-IN"/>
              </w:rPr>
              <w:t>，设置两组，每组处理</w:t>
            </w:r>
            <w:r>
              <w:rPr>
                <w:color w:val="auto"/>
                <w:kern w:val="0"/>
                <w:sz w:val="24"/>
                <w:lang w:bidi="hi-IN"/>
              </w:rPr>
              <w:t>1600</w:t>
            </w:r>
            <w:r>
              <w:rPr>
                <w:rFonts w:hint="eastAsia"/>
                <w:color w:val="auto"/>
                <w:kern w:val="0"/>
                <w:sz w:val="24"/>
                <w:lang w:bidi="hi-IN"/>
              </w:rPr>
              <w:t>m</w:t>
            </w:r>
            <w:r>
              <w:rPr>
                <w:rFonts w:hint="eastAsia"/>
                <w:color w:val="auto"/>
                <w:kern w:val="0"/>
                <w:sz w:val="24"/>
                <w:vertAlign w:val="superscript"/>
                <w:lang w:bidi="hi-IN"/>
              </w:rPr>
              <w:t>3</w:t>
            </w:r>
            <w:r>
              <w:rPr>
                <w:rFonts w:hint="eastAsia"/>
                <w:color w:val="auto"/>
                <w:kern w:val="0"/>
                <w:sz w:val="24"/>
                <w:lang w:bidi="hi-IN"/>
              </w:rPr>
              <w:t>/d，交替使用互为备用</w:t>
            </w:r>
            <w:r>
              <w:rPr>
                <w:color w:val="auto"/>
                <w:kern w:val="0"/>
                <w:sz w:val="24"/>
                <w:lang w:bidi="hi-IN"/>
              </w:rPr>
              <w:t>；</w:t>
            </w:r>
          </w:p>
          <w:p w14:paraId="4BF26CDA">
            <w:pPr>
              <w:spacing w:line="360" w:lineRule="auto"/>
              <w:ind w:firstLine="480" w:firstLineChars="200"/>
              <w:rPr>
                <w:color w:val="auto"/>
                <w:kern w:val="0"/>
                <w:sz w:val="24"/>
                <w:lang w:bidi="hi-IN"/>
              </w:rPr>
            </w:pPr>
            <w:r>
              <w:rPr>
                <w:color w:val="auto"/>
                <w:kern w:val="0"/>
                <w:sz w:val="24"/>
                <w:lang w:bidi="hi-IN"/>
              </w:rPr>
              <w:t>工艺尺寸：</w:t>
            </w:r>
            <w:r>
              <w:rPr>
                <w:rFonts w:hint="eastAsia"/>
                <w:color w:val="auto"/>
                <w:sz w:val="24"/>
              </w:rPr>
              <w:t>1.1</w:t>
            </w:r>
            <w:r>
              <w:rPr>
                <w:color w:val="auto"/>
                <w:sz w:val="24"/>
              </w:rPr>
              <w:t>m×</w:t>
            </w:r>
            <w:r>
              <w:rPr>
                <w:rFonts w:hint="eastAsia"/>
                <w:color w:val="auto"/>
                <w:sz w:val="24"/>
              </w:rPr>
              <w:t>2.5</w:t>
            </w:r>
            <w:r>
              <w:rPr>
                <w:color w:val="auto"/>
                <w:sz w:val="24"/>
              </w:rPr>
              <w:t>m×</w:t>
            </w:r>
            <w:r>
              <w:rPr>
                <w:rFonts w:hint="eastAsia"/>
                <w:color w:val="auto"/>
                <w:sz w:val="24"/>
              </w:rPr>
              <w:t>4</w:t>
            </w:r>
            <w:r>
              <w:rPr>
                <w:color w:val="auto"/>
                <w:sz w:val="24"/>
              </w:rPr>
              <w:t>.0m×</w:t>
            </w:r>
            <w:r>
              <w:rPr>
                <w:rFonts w:hint="eastAsia"/>
                <w:color w:val="auto"/>
                <w:sz w:val="24"/>
              </w:rPr>
              <w:t>2</w:t>
            </w:r>
            <w:r>
              <w:rPr>
                <w:color w:val="auto"/>
                <w:kern w:val="0"/>
                <w:sz w:val="24"/>
                <w:lang w:bidi="hi-IN"/>
              </w:rPr>
              <w:t>；</w:t>
            </w:r>
          </w:p>
          <w:p w14:paraId="48EF62B7">
            <w:pPr>
              <w:spacing w:line="360" w:lineRule="auto"/>
              <w:ind w:firstLine="480" w:firstLineChars="200"/>
              <w:rPr>
                <w:color w:val="auto"/>
                <w:kern w:val="0"/>
                <w:sz w:val="24"/>
                <w:lang w:bidi="hi-IN"/>
              </w:rPr>
            </w:pPr>
            <w:r>
              <w:rPr>
                <w:color w:val="auto"/>
                <w:kern w:val="0"/>
                <w:sz w:val="24"/>
                <w:lang w:bidi="hi-IN"/>
              </w:rPr>
              <w:t>主要设备：1、</w:t>
            </w:r>
            <w:r>
              <w:rPr>
                <w:rFonts w:hint="eastAsia"/>
                <w:color w:val="auto"/>
                <w:kern w:val="0"/>
                <w:sz w:val="24"/>
                <w:lang w:bidi="hi-IN"/>
              </w:rPr>
              <w:t>机械格栅，2台，304，GSHZ-1500</w:t>
            </w:r>
            <w:r>
              <w:rPr>
                <w:color w:val="auto"/>
                <w:kern w:val="0"/>
                <w:sz w:val="24"/>
                <w:lang w:bidi="hi-IN"/>
              </w:rPr>
              <w:t>×</w:t>
            </w:r>
            <w:r>
              <w:rPr>
                <w:rFonts w:hint="eastAsia"/>
                <w:color w:val="auto"/>
                <w:kern w:val="0"/>
                <w:sz w:val="24"/>
                <w:lang w:bidi="hi-IN"/>
              </w:rPr>
              <w:t>3000-3，栅隙3mm。</w:t>
            </w:r>
          </w:p>
          <w:p w14:paraId="766C6A59">
            <w:pPr>
              <w:spacing w:line="360" w:lineRule="auto"/>
              <w:ind w:firstLine="482" w:firstLineChars="200"/>
              <w:rPr>
                <w:b/>
                <w:color w:val="auto"/>
                <w:kern w:val="0"/>
                <w:sz w:val="24"/>
                <w:lang w:bidi="hi-IN"/>
              </w:rPr>
            </w:pPr>
            <w:r>
              <w:rPr>
                <w:rFonts w:hint="eastAsia"/>
                <w:b/>
                <w:color w:val="auto"/>
                <w:sz w:val="24"/>
              </w:rPr>
              <w:t>（</w:t>
            </w:r>
            <w:r>
              <w:rPr>
                <w:b/>
                <w:color w:val="auto"/>
                <w:sz w:val="24"/>
              </w:rPr>
              <w:t>b</w:t>
            </w:r>
            <w:r>
              <w:rPr>
                <w:rFonts w:hint="eastAsia"/>
                <w:b/>
                <w:color w:val="auto"/>
                <w:sz w:val="24"/>
              </w:rPr>
              <w:t>）</w:t>
            </w:r>
            <w:r>
              <w:rPr>
                <w:rFonts w:hint="eastAsia"/>
                <w:b/>
                <w:color w:val="auto"/>
                <w:kern w:val="0"/>
                <w:sz w:val="24"/>
                <w:lang w:bidi="hi-IN"/>
              </w:rPr>
              <w:t>折流式沉淀池</w:t>
            </w:r>
          </w:p>
          <w:p w14:paraId="0C1C1170">
            <w:pPr>
              <w:spacing w:line="360" w:lineRule="auto"/>
              <w:ind w:firstLine="480" w:firstLineChars="200"/>
              <w:rPr>
                <w:color w:val="auto"/>
                <w:kern w:val="0"/>
                <w:sz w:val="24"/>
                <w:lang w:bidi="hi-IN"/>
              </w:rPr>
            </w:pPr>
            <w:r>
              <w:rPr>
                <w:color w:val="auto"/>
                <w:kern w:val="0"/>
                <w:sz w:val="24"/>
                <w:lang w:bidi="hi-IN"/>
              </w:rPr>
              <w:t>结构：地下式钢砼结构；</w:t>
            </w:r>
          </w:p>
          <w:p w14:paraId="226AF9FC">
            <w:pPr>
              <w:spacing w:line="360" w:lineRule="auto"/>
              <w:ind w:firstLine="480" w:firstLineChars="200"/>
              <w:rPr>
                <w:color w:val="auto"/>
                <w:kern w:val="0"/>
                <w:sz w:val="24"/>
                <w:lang w:bidi="hi-IN"/>
              </w:rPr>
            </w:pPr>
            <w:r>
              <w:rPr>
                <w:color w:val="auto"/>
                <w:kern w:val="0"/>
                <w:sz w:val="24"/>
                <w:lang w:bidi="hi-IN"/>
              </w:rPr>
              <w:t>主要功能：投加PAC、PAM，进行混凝絮凝反应</w:t>
            </w:r>
            <w:r>
              <w:rPr>
                <w:rFonts w:hint="eastAsia"/>
                <w:color w:val="auto"/>
                <w:kern w:val="0"/>
                <w:sz w:val="24"/>
                <w:lang w:bidi="hi-IN"/>
              </w:rPr>
              <w:t>，将泥沙重力沉淀</w:t>
            </w:r>
            <w:r>
              <w:rPr>
                <w:color w:val="auto"/>
                <w:kern w:val="0"/>
                <w:sz w:val="24"/>
                <w:lang w:bidi="hi-IN"/>
              </w:rPr>
              <w:t>；</w:t>
            </w:r>
          </w:p>
          <w:p w14:paraId="6344BF6C">
            <w:pPr>
              <w:spacing w:line="360" w:lineRule="auto"/>
              <w:ind w:firstLine="480" w:firstLineChars="200"/>
              <w:rPr>
                <w:color w:val="auto"/>
                <w:kern w:val="0"/>
                <w:sz w:val="24"/>
                <w:lang w:bidi="hi-IN"/>
              </w:rPr>
            </w:pPr>
            <w:r>
              <w:rPr>
                <w:color w:val="auto"/>
                <w:kern w:val="0"/>
                <w:sz w:val="24"/>
                <w:lang w:bidi="hi-IN"/>
              </w:rPr>
              <w:t>设计流量：1600m</w:t>
            </w:r>
            <w:r>
              <w:rPr>
                <w:color w:val="auto"/>
                <w:kern w:val="0"/>
                <w:sz w:val="24"/>
                <w:vertAlign w:val="superscript"/>
                <w:lang w:bidi="hi-IN"/>
              </w:rPr>
              <w:t>3</w:t>
            </w:r>
            <w:r>
              <w:rPr>
                <w:color w:val="auto"/>
                <w:kern w:val="0"/>
                <w:sz w:val="24"/>
                <w:lang w:bidi="hi-IN"/>
              </w:rPr>
              <w:t>/d（80m</w:t>
            </w:r>
            <w:r>
              <w:rPr>
                <w:color w:val="auto"/>
                <w:kern w:val="0"/>
                <w:sz w:val="24"/>
                <w:vertAlign w:val="superscript"/>
                <w:lang w:bidi="hi-IN"/>
              </w:rPr>
              <w:t>3</w:t>
            </w:r>
            <w:r>
              <w:rPr>
                <w:color w:val="auto"/>
                <w:kern w:val="0"/>
                <w:sz w:val="24"/>
                <w:lang w:bidi="hi-IN"/>
              </w:rPr>
              <w:t>/h）；</w:t>
            </w:r>
          </w:p>
          <w:p w14:paraId="4EE84235">
            <w:pPr>
              <w:spacing w:line="360" w:lineRule="auto"/>
              <w:ind w:firstLine="480" w:firstLineChars="200"/>
              <w:rPr>
                <w:color w:val="auto"/>
                <w:kern w:val="0"/>
                <w:sz w:val="24"/>
                <w:lang w:bidi="hi-IN"/>
              </w:rPr>
            </w:pPr>
            <w:r>
              <w:rPr>
                <w:color w:val="auto"/>
                <w:kern w:val="0"/>
                <w:sz w:val="24"/>
                <w:lang w:bidi="hi-IN"/>
              </w:rPr>
              <w:t>工艺尺寸：2.5m×17.4m×4.0m</w:t>
            </w:r>
            <w:r>
              <w:rPr>
                <w:rFonts w:hint="eastAsia"/>
                <w:color w:val="auto"/>
                <w:kern w:val="0"/>
                <w:sz w:val="24"/>
                <w:lang w:bidi="hi-IN"/>
              </w:rPr>
              <w:t>（搅拌区</w:t>
            </w:r>
            <w:r>
              <w:rPr>
                <w:color w:val="auto"/>
                <w:kern w:val="0"/>
                <w:sz w:val="24"/>
                <w:lang w:bidi="hi-IN"/>
              </w:rPr>
              <w:t>2.5m×2.5m×4</w:t>
            </w:r>
            <w:r>
              <w:rPr>
                <w:rFonts w:hint="eastAsia"/>
                <w:color w:val="auto"/>
                <w:kern w:val="0"/>
                <w:sz w:val="24"/>
                <w:lang w:bidi="hi-IN"/>
              </w:rPr>
              <w:t>.</w:t>
            </w:r>
            <w:r>
              <w:rPr>
                <w:color w:val="auto"/>
                <w:kern w:val="0"/>
                <w:sz w:val="24"/>
                <w:lang w:bidi="hi-IN"/>
              </w:rPr>
              <w:t>5m</w:t>
            </w:r>
            <w:r>
              <w:rPr>
                <w:rFonts w:hint="eastAsia"/>
                <w:color w:val="auto"/>
                <w:kern w:val="0"/>
                <w:sz w:val="24"/>
                <w:lang w:bidi="hi-IN"/>
              </w:rPr>
              <w:t>，沉淀区</w:t>
            </w:r>
            <w:r>
              <w:rPr>
                <w:color w:val="auto"/>
                <w:kern w:val="0"/>
                <w:sz w:val="24"/>
                <w:lang w:bidi="hi-IN"/>
              </w:rPr>
              <w:t>2.5</w:t>
            </w:r>
            <w:r>
              <w:rPr>
                <w:rFonts w:hint="eastAsia"/>
                <w:color w:val="auto"/>
                <w:kern w:val="0"/>
                <w:sz w:val="24"/>
                <w:lang w:bidi="hi-IN"/>
              </w:rPr>
              <w:t>m</w:t>
            </w:r>
            <w:r>
              <w:rPr>
                <w:color w:val="auto"/>
                <w:kern w:val="0"/>
                <w:sz w:val="24"/>
                <w:lang w:bidi="hi-IN"/>
              </w:rPr>
              <w:t>×14.6</w:t>
            </w:r>
            <w:r>
              <w:rPr>
                <w:rFonts w:hint="eastAsia"/>
                <w:color w:val="auto"/>
                <w:kern w:val="0"/>
                <w:sz w:val="24"/>
                <w:lang w:bidi="hi-IN"/>
              </w:rPr>
              <w:t>m</w:t>
            </w:r>
            <w:r>
              <w:rPr>
                <w:color w:val="auto"/>
                <w:kern w:val="0"/>
                <w:sz w:val="24"/>
                <w:lang w:bidi="hi-IN"/>
              </w:rPr>
              <w:t>×4.5</w:t>
            </w:r>
            <w:r>
              <w:rPr>
                <w:rFonts w:hint="eastAsia"/>
                <w:color w:val="auto"/>
                <w:kern w:val="0"/>
                <w:sz w:val="24"/>
                <w:lang w:bidi="hi-IN"/>
              </w:rPr>
              <w:t>m）</w:t>
            </w:r>
            <w:r>
              <w:rPr>
                <w:color w:val="auto"/>
                <w:kern w:val="0"/>
                <w:sz w:val="24"/>
                <w:lang w:bidi="hi-IN"/>
              </w:rPr>
              <w:t>；</w:t>
            </w:r>
          </w:p>
          <w:p w14:paraId="4673CF5C">
            <w:pPr>
              <w:spacing w:line="360" w:lineRule="auto"/>
              <w:ind w:firstLine="480" w:firstLineChars="200"/>
              <w:rPr>
                <w:color w:val="auto"/>
                <w:kern w:val="0"/>
                <w:sz w:val="24"/>
                <w:lang w:bidi="hi-IN"/>
              </w:rPr>
            </w:pPr>
            <w:r>
              <w:rPr>
                <w:rFonts w:hint="eastAsia"/>
                <w:color w:val="auto"/>
                <w:kern w:val="0"/>
                <w:sz w:val="24"/>
                <w:lang w:bidi="hi-IN"/>
              </w:rPr>
              <w:t>HRT：搅拌区</w:t>
            </w:r>
            <w:r>
              <w:rPr>
                <w:color w:val="auto"/>
                <w:kern w:val="0"/>
                <w:sz w:val="24"/>
                <w:lang w:bidi="hi-IN"/>
              </w:rPr>
              <w:t>2</w:t>
            </w:r>
            <w:r>
              <w:rPr>
                <w:rFonts w:hint="eastAsia"/>
                <w:color w:val="auto"/>
                <w:kern w:val="0"/>
                <w:sz w:val="24"/>
                <w:lang w:bidi="hi-IN"/>
              </w:rPr>
              <w:t>0min，沉淀区2h；</w:t>
            </w:r>
          </w:p>
          <w:p w14:paraId="18B81884">
            <w:pPr>
              <w:spacing w:line="360" w:lineRule="auto"/>
              <w:ind w:firstLine="480" w:firstLineChars="200"/>
              <w:rPr>
                <w:color w:val="auto"/>
                <w:kern w:val="0"/>
                <w:sz w:val="24"/>
                <w:lang w:bidi="hi-IN"/>
              </w:rPr>
            </w:pPr>
            <w:r>
              <w:rPr>
                <w:color w:val="auto"/>
                <w:kern w:val="0"/>
                <w:sz w:val="24"/>
                <w:lang w:bidi="hi-IN"/>
              </w:rPr>
              <w:t>配套设备：1、机械搅拌机，</w:t>
            </w:r>
            <w:r>
              <w:rPr>
                <w:rFonts w:hint="eastAsia"/>
                <w:color w:val="auto"/>
                <w:kern w:val="0"/>
                <w:sz w:val="24"/>
                <w:lang w:bidi="hi-IN"/>
              </w:rPr>
              <w:t>1</w:t>
            </w:r>
            <w:r>
              <w:rPr>
                <w:color w:val="auto"/>
                <w:kern w:val="0"/>
                <w:sz w:val="24"/>
                <w:lang w:bidi="hi-IN"/>
              </w:rPr>
              <w:t>台，N=3.0kW，碳钢防腐；</w:t>
            </w:r>
          </w:p>
          <w:p w14:paraId="4F104543">
            <w:pPr>
              <w:spacing w:line="360" w:lineRule="auto"/>
              <w:ind w:firstLine="1680" w:firstLineChars="700"/>
              <w:rPr>
                <w:color w:val="auto"/>
                <w:kern w:val="0"/>
                <w:sz w:val="24"/>
                <w:lang w:bidi="hi-IN"/>
              </w:rPr>
            </w:pPr>
            <w:r>
              <w:rPr>
                <w:rFonts w:hint="eastAsia"/>
                <w:color w:val="auto"/>
                <w:kern w:val="0"/>
                <w:sz w:val="24"/>
                <w:lang w:bidi="hi-IN"/>
              </w:rPr>
              <w:t>2、折流挡板，2块，PP，尺寸2.5m</w:t>
            </w:r>
            <w:r>
              <w:rPr>
                <w:color w:val="auto"/>
                <w:kern w:val="0"/>
                <w:sz w:val="24"/>
                <w:lang w:bidi="hi-IN"/>
              </w:rPr>
              <w:t>×</w:t>
            </w:r>
            <w:r>
              <w:rPr>
                <w:rFonts w:hint="eastAsia"/>
                <w:color w:val="auto"/>
                <w:kern w:val="0"/>
                <w:sz w:val="24"/>
                <w:lang w:bidi="hi-IN"/>
              </w:rPr>
              <w:t>3.</w:t>
            </w:r>
            <w:r>
              <w:rPr>
                <w:color w:val="auto"/>
                <w:kern w:val="0"/>
                <w:sz w:val="24"/>
                <w:lang w:bidi="hi-IN"/>
              </w:rPr>
              <w:t>5m</w:t>
            </w:r>
            <w:r>
              <w:rPr>
                <w:rFonts w:hint="eastAsia"/>
                <w:color w:val="auto"/>
                <w:kern w:val="0"/>
                <w:sz w:val="24"/>
                <w:lang w:bidi="hi-IN"/>
              </w:rPr>
              <w:t>；</w:t>
            </w:r>
          </w:p>
          <w:p w14:paraId="2A07D617">
            <w:pPr>
              <w:spacing w:line="360" w:lineRule="auto"/>
              <w:ind w:firstLine="1680" w:firstLineChars="700"/>
              <w:rPr>
                <w:color w:val="auto"/>
                <w:kern w:val="0"/>
                <w:sz w:val="24"/>
                <w:lang w:bidi="hi-IN"/>
              </w:rPr>
            </w:pPr>
            <w:r>
              <w:rPr>
                <w:color w:val="auto"/>
                <w:kern w:val="0"/>
                <w:sz w:val="24"/>
                <w:lang w:bidi="hi-IN"/>
              </w:rPr>
              <w:t>3、</w:t>
            </w:r>
            <w:r>
              <w:rPr>
                <w:rFonts w:hint="eastAsia"/>
                <w:color w:val="auto"/>
                <w:kern w:val="0"/>
                <w:sz w:val="24"/>
                <w:lang w:bidi="hi-IN"/>
              </w:rPr>
              <w:t>PAC</w:t>
            </w:r>
            <w:r>
              <w:rPr>
                <w:color w:val="auto"/>
                <w:kern w:val="0"/>
                <w:sz w:val="24"/>
                <w:lang w:bidi="hi-IN"/>
              </w:rPr>
              <w:t>加药装置，</w:t>
            </w:r>
            <w:r>
              <w:rPr>
                <w:rFonts w:hint="eastAsia"/>
                <w:color w:val="auto"/>
                <w:kern w:val="0"/>
                <w:sz w:val="24"/>
                <w:lang w:bidi="hi-IN"/>
              </w:rPr>
              <w:t>1</w:t>
            </w:r>
            <w:r>
              <w:rPr>
                <w:color w:val="auto"/>
                <w:kern w:val="0"/>
                <w:sz w:val="24"/>
                <w:lang w:bidi="hi-IN"/>
              </w:rPr>
              <w:t>套，含</w:t>
            </w:r>
            <w:r>
              <w:rPr>
                <w:rFonts w:hint="eastAsia"/>
                <w:color w:val="auto"/>
                <w:kern w:val="0"/>
                <w:sz w:val="24"/>
                <w:lang w:bidi="hi-IN"/>
              </w:rPr>
              <w:t>20m</w:t>
            </w:r>
            <w:r>
              <w:rPr>
                <w:rFonts w:hint="eastAsia"/>
                <w:color w:val="auto"/>
                <w:kern w:val="0"/>
                <w:sz w:val="24"/>
                <w:vertAlign w:val="superscript"/>
                <w:lang w:bidi="hi-IN"/>
              </w:rPr>
              <w:t>3</w:t>
            </w:r>
            <w:r>
              <w:rPr>
                <w:rFonts w:hint="eastAsia"/>
                <w:color w:val="auto"/>
                <w:kern w:val="0"/>
                <w:sz w:val="24"/>
                <w:lang w:bidi="hi-IN"/>
              </w:rPr>
              <w:t>储桶1个、空气搅拌装置1套、</w:t>
            </w:r>
            <w:r>
              <w:rPr>
                <w:color w:val="auto"/>
                <w:kern w:val="0"/>
                <w:sz w:val="24"/>
                <w:lang w:bidi="hi-IN"/>
              </w:rPr>
              <w:t>240L/h隔膜式计量泵（PVC）</w:t>
            </w:r>
            <w:r>
              <w:rPr>
                <w:rFonts w:hint="eastAsia"/>
                <w:color w:val="auto"/>
                <w:kern w:val="0"/>
                <w:sz w:val="24"/>
                <w:lang w:bidi="hi-IN"/>
              </w:rPr>
              <w:t>1台</w:t>
            </w:r>
            <w:r>
              <w:rPr>
                <w:color w:val="auto"/>
                <w:kern w:val="0"/>
                <w:sz w:val="24"/>
                <w:lang w:bidi="hi-IN"/>
              </w:rPr>
              <w:t>；</w:t>
            </w:r>
          </w:p>
          <w:p w14:paraId="26EA67A0">
            <w:pPr>
              <w:spacing w:line="360" w:lineRule="auto"/>
              <w:ind w:firstLine="1680" w:firstLineChars="700"/>
              <w:rPr>
                <w:color w:val="auto"/>
                <w:kern w:val="0"/>
                <w:sz w:val="24"/>
                <w:lang w:bidi="hi-IN"/>
              </w:rPr>
            </w:pPr>
            <w:r>
              <w:rPr>
                <w:rFonts w:hint="eastAsia"/>
                <w:color w:val="auto"/>
                <w:kern w:val="0"/>
                <w:sz w:val="24"/>
                <w:lang w:bidi="hi-IN"/>
              </w:rPr>
              <w:t>4、PAM</w:t>
            </w:r>
            <w:r>
              <w:rPr>
                <w:color w:val="auto"/>
                <w:kern w:val="0"/>
                <w:sz w:val="24"/>
                <w:lang w:bidi="hi-IN"/>
              </w:rPr>
              <w:t>加药装置，</w:t>
            </w:r>
            <w:r>
              <w:rPr>
                <w:rFonts w:hint="eastAsia"/>
                <w:color w:val="auto"/>
                <w:kern w:val="0"/>
                <w:sz w:val="24"/>
                <w:lang w:bidi="hi-IN"/>
              </w:rPr>
              <w:t>1</w:t>
            </w:r>
            <w:r>
              <w:rPr>
                <w:color w:val="auto"/>
                <w:kern w:val="0"/>
                <w:sz w:val="24"/>
                <w:lang w:bidi="hi-IN"/>
              </w:rPr>
              <w:t>套，含</w:t>
            </w:r>
            <w:r>
              <w:rPr>
                <w:rFonts w:hint="eastAsia"/>
                <w:color w:val="auto"/>
                <w:kern w:val="0"/>
                <w:sz w:val="24"/>
                <w:lang w:bidi="hi-IN"/>
              </w:rPr>
              <w:t>2m</w:t>
            </w:r>
            <w:r>
              <w:rPr>
                <w:rFonts w:hint="eastAsia"/>
                <w:color w:val="auto"/>
                <w:kern w:val="0"/>
                <w:sz w:val="24"/>
                <w:vertAlign w:val="superscript"/>
                <w:lang w:bidi="hi-IN"/>
              </w:rPr>
              <w:t>3</w:t>
            </w:r>
            <w:r>
              <w:rPr>
                <w:rFonts w:hint="eastAsia"/>
                <w:color w:val="auto"/>
                <w:kern w:val="0"/>
                <w:sz w:val="24"/>
                <w:lang w:bidi="hi-IN"/>
              </w:rPr>
              <w:t>加药桶1个、搅拌机1台、16</w:t>
            </w:r>
            <w:r>
              <w:rPr>
                <w:color w:val="auto"/>
                <w:kern w:val="0"/>
                <w:sz w:val="24"/>
                <w:lang w:bidi="hi-IN"/>
              </w:rPr>
              <w:t>0L/h隔膜式计量泵（PVC）</w:t>
            </w:r>
            <w:r>
              <w:rPr>
                <w:rFonts w:hint="eastAsia"/>
                <w:color w:val="auto"/>
                <w:kern w:val="0"/>
                <w:sz w:val="24"/>
                <w:lang w:bidi="hi-IN"/>
              </w:rPr>
              <w:t>1台</w:t>
            </w:r>
            <w:r>
              <w:rPr>
                <w:color w:val="auto"/>
                <w:kern w:val="0"/>
                <w:sz w:val="24"/>
                <w:lang w:bidi="hi-IN"/>
              </w:rPr>
              <w:t>；</w:t>
            </w:r>
          </w:p>
          <w:p w14:paraId="36A5CDE8">
            <w:pPr>
              <w:spacing w:line="360" w:lineRule="auto"/>
              <w:ind w:firstLine="1680" w:firstLineChars="700"/>
              <w:rPr>
                <w:color w:val="auto"/>
                <w:kern w:val="0"/>
                <w:sz w:val="24"/>
                <w:lang w:bidi="hi-IN"/>
              </w:rPr>
            </w:pPr>
            <w:r>
              <w:rPr>
                <w:rFonts w:hint="eastAsia"/>
                <w:color w:val="auto"/>
                <w:kern w:val="0"/>
                <w:sz w:val="24"/>
                <w:lang w:bidi="hi-IN"/>
              </w:rPr>
              <w:t>5、污泥泵，2台，自吸泵，Q=10m</w:t>
            </w:r>
            <w:r>
              <w:rPr>
                <w:rFonts w:hint="eastAsia"/>
                <w:color w:val="auto"/>
                <w:kern w:val="0"/>
                <w:sz w:val="24"/>
                <w:vertAlign w:val="superscript"/>
                <w:lang w:bidi="hi-IN"/>
              </w:rPr>
              <w:t>3</w:t>
            </w:r>
            <w:r>
              <w:rPr>
                <w:rFonts w:hint="eastAsia"/>
                <w:color w:val="auto"/>
                <w:kern w:val="0"/>
                <w:sz w:val="24"/>
                <w:lang w:bidi="hi-IN"/>
              </w:rPr>
              <w:t>/h，H=10m，N=1.5kW。</w:t>
            </w:r>
          </w:p>
          <w:p w14:paraId="5A397E6D">
            <w:pPr>
              <w:spacing w:line="360" w:lineRule="auto"/>
              <w:ind w:firstLine="482" w:firstLineChars="200"/>
              <w:rPr>
                <w:b/>
                <w:color w:val="auto"/>
                <w:kern w:val="0"/>
                <w:sz w:val="24"/>
                <w:lang w:bidi="hi-IN"/>
              </w:rPr>
            </w:pPr>
            <w:r>
              <w:rPr>
                <w:rFonts w:hint="eastAsia"/>
                <w:b/>
                <w:color w:val="auto"/>
                <w:sz w:val="24"/>
              </w:rPr>
              <w:t>（</w:t>
            </w:r>
            <w:r>
              <w:rPr>
                <w:b/>
                <w:color w:val="auto"/>
                <w:sz w:val="24"/>
              </w:rPr>
              <w:t>c</w:t>
            </w:r>
            <w:r>
              <w:rPr>
                <w:rFonts w:hint="eastAsia"/>
                <w:b/>
                <w:color w:val="auto"/>
                <w:sz w:val="24"/>
              </w:rPr>
              <w:t>）</w:t>
            </w:r>
            <w:r>
              <w:rPr>
                <w:rFonts w:hint="eastAsia"/>
                <w:b/>
                <w:color w:val="auto"/>
                <w:kern w:val="0"/>
                <w:sz w:val="24"/>
                <w:lang w:bidi="hi-IN"/>
              </w:rPr>
              <w:t>调节池</w:t>
            </w:r>
          </w:p>
          <w:p w14:paraId="22F119DF">
            <w:pPr>
              <w:spacing w:line="360" w:lineRule="auto"/>
              <w:ind w:firstLine="480" w:firstLineChars="200"/>
              <w:rPr>
                <w:color w:val="auto"/>
                <w:kern w:val="0"/>
                <w:sz w:val="24"/>
                <w:lang w:bidi="hi-IN"/>
              </w:rPr>
            </w:pPr>
            <w:r>
              <w:rPr>
                <w:color w:val="auto"/>
                <w:kern w:val="0"/>
                <w:sz w:val="24"/>
                <w:lang w:bidi="hi-IN"/>
              </w:rPr>
              <w:t>结构：地下式钢砼结构；</w:t>
            </w:r>
          </w:p>
          <w:p w14:paraId="26F173CD">
            <w:pPr>
              <w:spacing w:line="360" w:lineRule="auto"/>
              <w:ind w:firstLine="480" w:firstLineChars="200"/>
              <w:rPr>
                <w:color w:val="auto"/>
                <w:kern w:val="0"/>
                <w:sz w:val="24"/>
                <w:lang w:bidi="hi-IN"/>
              </w:rPr>
            </w:pPr>
            <w:r>
              <w:rPr>
                <w:color w:val="auto"/>
                <w:kern w:val="0"/>
                <w:sz w:val="24"/>
                <w:lang w:bidi="hi-IN"/>
              </w:rPr>
              <w:t>主要功能：</w:t>
            </w:r>
            <w:r>
              <w:rPr>
                <w:rFonts w:hint="eastAsia"/>
                <w:color w:val="auto"/>
                <w:kern w:val="0"/>
                <w:sz w:val="24"/>
                <w:lang w:bidi="hi-IN"/>
              </w:rPr>
              <w:t>收集各股废水，均衡水量水质</w:t>
            </w:r>
            <w:r>
              <w:rPr>
                <w:color w:val="auto"/>
                <w:kern w:val="0"/>
                <w:sz w:val="24"/>
                <w:lang w:bidi="hi-IN"/>
              </w:rPr>
              <w:t>；</w:t>
            </w:r>
          </w:p>
          <w:p w14:paraId="6046BB4C">
            <w:pPr>
              <w:spacing w:line="360" w:lineRule="auto"/>
              <w:ind w:firstLine="480" w:firstLineChars="200"/>
              <w:rPr>
                <w:color w:val="auto"/>
                <w:kern w:val="0"/>
                <w:sz w:val="24"/>
                <w:lang w:bidi="hi-IN"/>
              </w:rPr>
            </w:pPr>
            <w:r>
              <w:rPr>
                <w:color w:val="auto"/>
                <w:kern w:val="0"/>
                <w:sz w:val="24"/>
                <w:lang w:bidi="hi-IN"/>
              </w:rPr>
              <w:t>设计水量：</w:t>
            </w:r>
            <w:r>
              <w:rPr>
                <w:rFonts w:hint="eastAsia"/>
                <w:color w:val="auto"/>
                <w:kern w:val="0"/>
                <w:sz w:val="24"/>
                <w:lang w:bidi="hi-IN"/>
              </w:rPr>
              <w:t>1600</w:t>
            </w:r>
            <w:r>
              <w:rPr>
                <w:color w:val="auto"/>
                <w:kern w:val="0"/>
                <w:sz w:val="24"/>
                <w:lang w:bidi="hi-IN"/>
              </w:rPr>
              <w:t>m</w:t>
            </w:r>
            <w:r>
              <w:rPr>
                <w:color w:val="auto"/>
                <w:kern w:val="0"/>
                <w:sz w:val="24"/>
                <w:vertAlign w:val="superscript"/>
                <w:lang w:bidi="hi-IN"/>
              </w:rPr>
              <w:t>3</w:t>
            </w:r>
            <w:r>
              <w:rPr>
                <w:color w:val="auto"/>
                <w:kern w:val="0"/>
                <w:sz w:val="24"/>
                <w:lang w:bidi="hi-IN"/>
              </w:rPr>
              <w:t>/d（</w:t>
            </w:r>
            <w:r>
              <w:rPr>
                <w:rFonts w:hint="eastAsia"/>
                <w:color w:val="auto"/>
                <w:kern w:val="0"/>
                <w:sz w:val="24"/>
                <w:lang w:bidi="hi-IN"/>
              </w:rPr>
              <w:t>80</w:t>
            </w:r>
            <w:r>
              <w:rPr>
                <w:color w:val="auto"/>
                <w:kern w:val="0"/>
                <w:sz w:val="24"/>
                <w:lang w:bidi="hi-IN"/>
              </w:rPr>
              <w:t>m</w:t>
            </w:r>
            <w:r>
              <w:rPr>
                <w:color w:val="auto"/>
                <w:kern w:val="0"/>
                <w:sz w:val="24"/>
                <w:vertAlign w:val="superscript"/>
                <w:lang w:bidi="hi-IN"/>
              </w:rPr>
              <w:t>3</w:t>
            </w:r>
            <w:r>
              <w:rPr>
                <w:color w:val="auto"/>
                <w:kern w:val="0"/>
                <w:sz w:val="24"/>
                <w:lang w:bidi="hi-IN"/>
              </w:rPr>
              <w:t>/h）；</w:t>
            </w:r>
          </w:p>
          <w:p w14:paraId="4CA11004">
            <w:pPr>
              <w:spacing w:line="360" w:lineRule="auto"/>
              <w:ind w:firstLine="480" w:firstLineChars="200"/>
              <w:rPr>
                <w:color w:val="auto"/>
                <w:kern w:val="0"/>
                <w:sz w:val="24"/>
                <w:lang w:bidi="hi-IN"/>
              </w:rPr>
            </w:pPr>
            <w:r>
              <w:rPr>
                <w:color w:val="auto"/>
                <w:kern w:val="0"/>
                <w:sz w:val="24"/>
                <w:lang w:bidi="hi-IN"/>
              </w:rPr>
              <w:t>工艺尺寸：</w:t>
            </w:r>
            <w:r>
              <w:rPr>
                <w:rFonts w:hint="eastAsia"/>
                <w:color w:val="auto"/>
                <w:kern w:val="0"/>
                <w:sz w:val="24"/>
                <w:lang w:bidi="hi-IN"/>
              </w:rPr>
              <w:t>20.2</w:t>
            </w:r>
            <w:r>
              <w:rPr>
                <w:color w:val="auto"/>
                <w:kern w:val="0"/>
                <w:sz w:val="24"/>
                <w:lang w:bidi="hi-IN"/>
              </w:rPr>
              <w:t>m×</w:t>
            </w:r>
            <w:r>
              <w:rPr>
                <w:rFonts w:hint="eastAsia"/>
                <w:color w:val="auto"/>
                <w:kern w:val="0"/>
                <w:sz w:val="24"/>
                <w:lang w:bidi="hi-IN"/>
              </w:rPr>
              <w:t>7.0</w:t>
            </w:r>
            <w:r>
              <w:rPr>
                <w:color w:val="auto"/>
                <w:kern w:val="0"/>
                <w:sz w:val="24"/>
                <w:lang w:bidi="hi-IN"/>
              </w:rPr>
              <w:t>m×</w:t>
            </w:r>
            <w:r>
              <w:rPr>
                <w:rFonts w:hint="eastAsia"/>
                <w:color w:val="auto"/>
                <w:kern w:val="0"/>
                <w:sz w:val="24"/>
                <w:lang w:bidi="hi-IN"/>
              </w:rPr>
              <w:t>4</w:t>
            </w:r>
            <w:r>
              <w:rPr>
                <w:color w:val="auto"/>
                <w:kern w:val="0"/>
                <w:sz w:val="24"/>
                <w:lang w:bidi="hi-IN"/>
              </w:rPr>
              <w:t>.</w:t>
            </w:r>
            <w:r>
              <w:rPr>
                <w:rFonts w:hint="eastAsia"/>
                <w:color w:val="auto"/>
                <w:kern w:val="0"/>
                <w:sz w:val="24"/>
                <w:lang w:bidi="hi-IN"/>
              </w:rPr>
              <w:t>5</w:t>
            </w:r>
            <w:r>
              <w:rPr>
                <w:color w:val="auto"/>
                <w:kern w:val="0"/>
                <w:sz w:val="24"/>
                <w:lang w:bidi="hi-IN"/>
              </w:rPr>
              <w:t>m；</w:t>
            </w:r>
          </w:p>
          <w:p w14:paraId="2A986C7C">
            <w:pPr>
              <w:spacing w:line="360" w:lineRule="auto"/>
              <w:ind w:firstLine="480" w:firstLineChars="200"/>
              <w:rPr>
                <w:color w:val="auto"/>
                <w:kern w:val="0"/>
                <w:sz w:val="24"/>
                <w:lang w:bidi="hi-IN"/>
              </w:rPr>
            </w:pPr>
            <w:r>
              <w:rPr>
                <w:color w:val="auto"/>
                <w:kern w:val="0"/>
                <w:sz w:val="24"/>
                <w:lang w:bidi="hi-IN"/>
              </w:rPr>
              <w:t>有效容积：</w:t>
            </w:r>
            <w:r>
              <w:rPr>
                <w:rFonts w:hint="eastAsia"/>
                <w:color w:val="auto"/>
                <w:kern w:val="0"/>
                <w:sz w:val="24"/>
                <w:lang w:bidi="hi-IN"/>
              </w:rPr>
              <w:t>608</w:t>
            </w:r>
            <w:r>
              <w:rPr>
                <w:color w:val="auto"/>
                <w:kern w:val="0"/>
                <w:sz w:val="24"/>
                <w:lang w:bidi="hi-IN"/>
              </w:rPr>
              <w:t>m</w:t>
            </w:r>
            <w:r>
              <w:rPr>
                <w:color w:val="auto"/>
                <w:kern w:val="0"/>
                <w:sz w:val="24"/>
                <w:vertAlign w:val="superscript"/>
                <w:lang w:bidi="hi-IN"/>
              </w:rPr>
              <w:t>3</w:t>
            </w:r>
            <w:r>
              <w:rPr>
                <w:color w:val="auto"/>
                <w:kern w:val="0"/>
                <w:sz w:val="24"/>
                <w:lang w:bidi="hi-IN"/>
              </w:rPr>
              <w:t>；</w:t>
            </w:r>
          </w:p>
          <w:p w14:paraId="0ABD4085">
            <w:pPr>
              <w:spacing w:line="360" w:lineRule="auto"/>
              <w:ind w:firstLine="480" w:firstLineChars="200"/>
              <w:rPr>
                <w:color w:val="auto"/>
                <w:kern w:val="0"/>
                <w:sz w:val="24"/>
                <w:lang w:bidi="hi-IN"/>
              </w:rPr>
            </w:pPr>
            <w:r>
              <w:rPr>
                <w:color w:val="auto"/>
                <w:kern w:val="0"/>
                <w:sz w:val="24"/>
                <w:lang w:bidi="hi-IN"/>
              </w:rPr>
              <w:t>有效水深：</w:t>
            </w:r>
            <w:r>
              <w:rPr>
                <w:rFonts w:hint="eastAsia"/>
                <w:color w:val="auto"/>
                <w:kern w:val="0"/>
                <w:sz w:val="24"/>
                <w:lang w:bidi="hi-IN"/>
              </w:rPr>
              <w:t>4.2</w:t>
            </w:r>
            <w:r>
              <w:rPr>
                <w:color w:val="auto"/>
                <w:kern w:val="0"/>
                <w:sz w:val="24"/>
                <w:lang w:bidi="hi-IN"/>
              </w:rPr>
              <w:t>m；</w:t>
            </w:r>
          </w:p>
          <w:p w14:paraId="6ADBD874">
            <w:pPr>
              <w:spacing w:line="360" w:lineRule="auto"/>
              <w:ind w:firstLine="480" w:firstLineChars="200"/>
              <w:rPr>
                <w:color w:val="auto"/>
                <w:kern w:val="0"/>
                <w:sz w:val="24"/>
                <w:lang w:bidi="hi-IN"/>
              </w:rPr>
            </w:pPr>
            <w:r>
              <w:rPr>
                <w:color w:val="auto"/>
                <w:kern w:val="0"/>
                <w:sz w:val="24"/>
                <w:lang w:bidi="hi-IN"/>
              </w:rPr>
              <w:t>HRT：</w:t>
            </w:r>
            <w:r>
              <w:rPr>
                <w:rFonts w:hint="eastAsia"/>
                <w:color w:val="auto"/>
                <w:kern w:val="0"/>
                <w:sz w:val="24"/>
                <w:lang w:bidi="hi-IN"/>
              </w:rPr>
              <w:t>7.6</w:t>
            </w:r>
            <w:r>
              <w:rPr>
                <w:color w:val="auto"/>
                <w:kern w:val="0"/>
                <w:sz w:val="24"/>
                <w:lang w:bidi="hi-IN"/>
              </w:rPr>
              <w:t>h；</w:t>
            </w:r>
          </w:p>
          <w:p w14:paraId="3C1B9136">
            <w:pPr>
              <w:spacing w:line="360" w:lineRule="auto"/>
              <w:ind w:firstLine="480" w:firstLineChars="200"/>
              <w:rPr>
                <w:color w:val="auto"/>
                <w:kern w:val="0"/>
                <w:sz w:val="24"/>
                <w:lang w:bidi="hi-IN"/>
              </w:rPr>
            </w:pPr>
            <w:r>
              <w:rPr>
                <w:color w:val="auto"/>
                <w:kern w:val="0"/>
                <w:sz w:val="24"/>
                <w:lang w:bidi="hi-IN"/>
              </w:rPr>
              <w:t>主要设备：</w:t>
            </w:r>
            <w:r>
              <w:rPr>
                <w:rFonts w:hint="eastAsia"/>
                <w:color w:val="auto"/>
                <w:kern w:val="0"/>
                <w:sz w:val="24"/>
                <w:lang w:bidi="hi-IN"/>
              </w:rPr>
              <w:t>1、</w:t>
            </w:r>
            <w:r>
              <w:rPr>
                <w:color w:val="auto"/>
                <w:kern w:val="0"/>
                <w:sz w:val="24"/>
                <w:lang w:bidi="hi-IN"/>
              </w:rPr>
              <w:t>液下推流搅拌机，2台，304，N=</w:t>
            </w:r>
            <w:r>
              <w:rPr>
                <w:rFonts w:hint="eastAsia"/>
                <w:color w:val="auto"/>
                <w:kern w:val="0"/>
                <w:sz w:val="24"/>
                <w:lang w:bidi="hi-IN"/>
              </w:rPr>
              <w:t>5.5</w:t>
            </w:r>
            <w:r>
              <w:rPr>
                <w:color w:val="auto"/>
                <w:kern w:val="0"/>
                <w:sz w:val="24"/>
                <w:lang w:bidi="hi-IN"/>
              </w:rPr>
              <w:t>kW；</w:t>
            </w:r>
          </w:p>
          <w:p w14:paraId="7048184E">
            <w:pPr>
              <w:spacing w:line="360" w:lineRule="auto"/>
              <w:ind w:firstLine="1680" w:firstLineChars="700"/>
              <w:rPr>
                <w:color w:val="auto"/>
                <w:kern w:val="0"/>
                <w:sz w:val="24"/>
                <w:lang w:bidi="hi-IN"/>
              </w:rPr>
            </w:pPr>
            <w:r>
              <w:rPr>
                <w:color w:val="auto"/>
                <w:kern w:val="0"/>
                <w:sz w:val="24"/>
                <w:lang w:bidi="hi-IN"/>
              </w:rPr>
              <w:t>2、提升泵：304，潜污泵，Q=</w:t>
            </w:r>
            <w:r>
              <w:rPr>
                <w:rFonts w:hint="eastAsia"/>
                <w:color w:val="auto"/>
                <w:kern w:val="0"/>
                <w:sz w:val="24"/>
                <w:lang w:bidi="hi-IN"/>
              </w:rPr>
              <w:t>100</w:t>
            </w:r>
            <w:r>
              <w:rPr>
                <w:color w:val="auto"/>
                <w:kern w:val="0"/>
                <w:sz w:val="24"/>
                <w:lang w:bidi="hi-IN"/>
              </w:rPr>
              <w:t>m</w:t>
            </w:r>
            <w:r>
              <w:rPr>
                <w:color w:val="auto"/>
                <w:kern w:val="0"/>
                <w:sz w:val="24"/>
                <w:vertAlign w:val="superscript"/>
                <w:lang w:bidi="hi-IN"/>
              </w:rPr>
              <w:t>3</w:t>
            </w:r>
            <w:r>
              <w:rPr>
                <w:color w:val="auto"/>
                <w:kern w:val="0"/>
                <w:sz w:val="24"/>
                <w:lang w:bidi="hi-IN"/>
              </w:rPr>
              <w:t>/h，H=15m，N=</w:t>
            </w:r>
            <w:r>
              <w:rPr>
                <w:rFonts w:hint="eastAsia"/>
                <w:color w:val="auto"/>
                <w:kern w:val="0"/>
                <w:sz w:val="24"/>
                <w:lang w:bidi="hi-IN"/>
              </w:rPr>
              <w:t>7.5</w:t>
            </w:r>
            <w:r>
              <w:rPr>
                <w:rFonts w:hint="eastAsia"/>
                <w:color w:val="auto"/>
                <w:kern w:val="0"/>
                <w:sz w:val="24"/>
                <w:lang w:eastAsia="zh-CN" w:bidi="hi-IN"/>
              </w:rPr>
              <w:t>kW</w:t>
            </w:r>
            <w:r>
              <w:rPr>
                <w:color w:val="auto"/>
                <w:kern w:val="0"/>
                <w:sz w:val="24"/>
                <w:lang w:bidi="hi-IN"/>
              </w:rPr>
              <w:t>，2台，一用一备；</w:t>
            </w:r>
          </w:p>
          <w:p w14:paraId="04B6C8C8">
            <w:pPr>
              <w:spacing w:line="360" w:lineRule="auto"/>
              <w:ind w:firstLine="1680" w:firstLineChars="700"/>
              <w:rPr>
                <w:color w:val="auto"/>
                <w:kern w:val="0"/>
                <w:sz w:val="24"/>
                <w:lang w:bidi="hi-IN"/>
              </w:rPr>
            </w:pPr>
            <w:r>
              <w:rPr>
                <w:color w:val="auto"/>
                <w:kern w:val="0"/>
                <w:sz w:val="24"/>
                <w:lang w:bidi="hi-IN"/>
              </w:rPr>
              <w:t>3、液位浮球，一套；</w:t>
            </w:r>
          </w:p>
          <w:p w14:paraId="15EF9CF6">
            <w:pPr>
              <w:spacing w:line="360" w:lineRule="auto"/>
              <w:ind w:firstLine="480" w:firstLineChars="200"/>
              <w:rPr>
                <w:color w:val="auto"/>
                <w:kern w:val="0"/>
                <w:sz w:val="24"/>
                <w:lang w:bidi="hi-IN"/>
              </w:rPr>
            </w:pPr>
            <w:r>
              <w:rPr>
                <w:color w:val="auto"/>
                <w:kern w:val="0"/>
                <w:sz w:val="24"/>
                <w:lang w:bidi="hi-IN"/>
              </w:rPr>
              <w:t xml:space="preserve">          4、电磁流量计，0-</w:t>
            </w:r>
            <w:r>
              <w:rPr>
                <w:rFonts w:hint="eastAsia"/>
                <w:color w:val="auto"/>
                <w:kern w:val="0"/>
                <w:sz w:val="24"/>
                <w:lang w:bidi="hi-IN"/>
              </w:rPr>
              <w:t>100</w:t>
            </w:r>
            <w:r>
              <w:rPr>
                <w:color w:val="auto"/>
                <w:kern w:val="0"/>
                <w:sz w:val="24"/>
                <w:lang w:bidi="hi-IN"/>
              </w:rPr>
              <w:t>m</w:t>
            </w:r>
            <w:r>
              <w:rPr>
                <w:color w:val="auto"/>
                <w:kern w:val="0"/>
                <w:sz w:val="24"/>
                <w:vertAlign w:val="superscript"/>
                <w:lang w:bidi="hi-IN"/>
              </w:rPr>
              <w:t>3</w:t>
            </w:r>
            <w:r>
              <w:rPr>
                <w:color w:val="auto"/>
                <w:kern w:val="0"/>
                <w:sz w:val="24"/>
                <w:lang w:bidi="hi-IN"/>
              </w:rPr>
              <w:t>/h，</w:t>
            </w:r>
            <w:r>
              <w:rPr>
                <w:rFonts w:hint="eastAsia"/>
                <w:color w:val="auto"/>
                <w:kern w:val="0"/>
                <w:sz w:val="24"/>
                <w:lang w:bidi="hi-IN"/>
              </w:rPr>
              <w:t>1</w:t>
            </w:r>
            <w:r>
              <w:rPr>
                <w:color w:val="auto"/>
                <w:kern w:val="0"/>
                <w:sz w:val="24"/>
                <w:lang w:bidi="hi-IN"/>
              </w:rPr>
              <w:t>套。</w:t>
            </w:r>
          </w:p>
          <w:p w14:paraId="7A92A28E">
            <w:pPr>
              <w:spacing w:line="360" w:lineRule="auto"/>
              <w:ind w:firstLine="482" w:firstLineChars="200"/>
              <w:rPr>
                <w:b/>
                <w:color w:val="auto"/>
                <w:kern w:val="0"/>
                <w:sz w:val="24"/>
                <w:lang w:bidi="hi-IN"/>
              </w:rPr>
            </w:pPr>
            <w:r>
              <w:rPr>
                <w:rFonts w:hint="eastAsia"/>
                <w:b/>
                <w:color w:val="auto"/>
                <w:sz w:val="24"/>
              </w:rPr>
              <w:t>（</w:t>
            </w:r>
            <w:r>
              <w:rPr>
                <w:b/>
                <w:color w:val="auto"/>
                <w:sz w:val="24"/>
              </w:rPr>
              <w:t>d</w:t>
            </w:r>
            <w:r>
              <w:rPr>
                <w:rFonts w:hint="eastAsia"/>
                <w:b/>
                <w:color w:val="auto"/>
                <w:sz w:val="24"/>
              </w:rPr>
              <w:t>）水解酸化池</w:t>
            </w:r>
          </w:p>
          <w:p w14:paraId="64D5C7FE">
            <w:pPr>
              <w:spacing w:line="360" w:lineRule="auto"/>
              <w:ind w:firstLine="480" w:firstLineChars="200"/>
              <w:rPr>
                <w:color w:val="auto"/>
                <w:sz w:val="24"/>
              </w:rPr>
            </w:pPr>
            <w:r>
              <w:rPr>
                <w:color w:val="auto"/>
                <w:sz w:val="24"/>
              </w:rPr>
              <w:t>结构：半地上式钢砼结构；</w:t>
            </w:r>
          </w:p>
          <w:p w14:paraId="182C350C">
            <w:pPr>
              <w:spacing w:line="360" w:lineRule="auto"/>
              <w:ind w:firstLine="480" w:firstLineChars="200"/>
              <w:rPr>
                <w:color w:val="auto"/>
                <w:sz w:val="24"/>
              </w:rPr>
            </w:pPr>
            <w:r>
              <w:rPr>
                <w:color w:val="auto"/>
                <w:sz w:val="24"/>
              </w:rPr>
              <w:t>主要功能：水解酸化，提高废水可生化性；</w:t>
            </w:r>
          </w:p>
          <w:p w14:paraId="7FE1E397">
            <w:pPr>
              <w:spacing w:line="360" w:lineRule="auto"/>
              <w:ind w:firstLine="480" w:firstLineChars="200"/>
              <w:rPr>
                <w:color w:val="auto"/>
                <w:sz w:val="24"/>
              </w:rPr>
            </w:pPr>
            <w:r>
              <w:rPr>
                <w:color w:val="auto"/>
                <w:sz w:val="24"/>
              </w:rPr>
              <w:t>设计水量：</w:t>
            </w:r>
            <w:r>
              <w:rPr>
                <w:rFonts w:hint="eastAsia"/>
                <w:color w:val="auto"/>
                <w:sz w:val="24"/>
              </w:rPr>
              <w:t>160</w:t>
            </w:r>
            <w:r>
              <w:rPr>
                <w:color w:val="auto"/>
                <w:sz w:val="24"/>
              </w:rPr>
              <w:t>0m</w:t>
            </w:r>
            <w:r>
              <w:rPr>
                <w:color w:val="auto"/>
                <w:sz w:val="24"/>
                <w:vertAlign w:val="superscript"/>
              </w:rPr>
              <w:t>3</w:t>
            </w:r>
            <w:r>
              <w:rPr>
                <w:color w:val="auto"/>
                <w:sz w:val="24"/>
              </w:rPr>
              <w:t>/d</w:t>
            </w:r>
            <w:r>
              <w:rPr>
                <w:rFonts w:hint="eastAsia"/>
                <w:color w:val="auto"/>
                <w:sz w:val="24"/>
              </w:rPr>
              <w:t>，分为两组并联运行</w:t>
            </w:r>
            <w:r>
              <w:rPr>
                <w:color w:val="auto"/>
                <w:sz w:val="24"/>
              </w:rPr>
              <w:t>（</w:t>
            </w:r>
            <w:r>
              <w:rPr>
                <w:rFonts w:hint="eastAsia"/>
                <w:color w:val="auto"/>
                <w:sz w:val="24"/>
              </w:rPr>
              <w:t>每组40</w:t>
            </w:r>
            <w:r>
              <w:rPr>
                <w:color w:val="auto"/>
                <w:sz w:val="24"/>
              </w:rPr>
              <w:t>m</w:t>
            </w:r>
            <w:r>
              <w:rPr>
                <w:color w:val="auto"/>
                <w:sz w:val="24"/>
                <w:vertAlign w:val="superscript"/>
              </w:rPr>
              <w:t>3</w:t>
            </w:r>
            <w:r>
              <w:rPr>
                <w:color w:val="auto"/>
                <w:sz w:val="24"/>
              </w:rPr>
              <w:t>/h）；</w:t>
            </w:r>
          </w:p>
          <w:p w14:paraId="54243793">
            <w:pPr>
              <w:spacing w:line="360" w:lineRule="auto"/>
              <w:ind w:firstLine="480" w:firstLineChars="200"/>
              <w:rPr>
                <w:color w:val="auto"/>
                <w:sz w:val="24"/>
              </w:rPr>
            </w:pPr>
            <w:r>
              <w:rPr>
                <w:color w:val="auto"/>
                <w:sz w:val="24"/>
              </w:rPr>
              <w:t>工艺尺寸：</w:t>
            </w:r>
            <w:r>
              <w:rPr>
                <w:rFonts w:hint="eastAsia"/>
                <w:color w:val="auto"/>
                <w:sz w:val="24"/>
              </w:rPr>
              <w:t>6.8</w:t>
            </w:r>
            <w:r>
              <w:rPr>
                <w:color w:val="auto"/>
                <w:sz w:val="24"/>
              </w:rPr>
              <w:t>m×</w:t>
            </w:r>
            <w:r>
              <w:rPr>
                <w:rFonts w:hint="eastAsia"/>
                <w:color w:val="auto"/>
                <w:sz w:val="24"/>
              </w:rPr>
              <w:t>6.5</w:t>
            </w:r>
            <w:r>
              <w:rPr>
                <w:color w:val="auto"/>
                <w:sz w:val="24"/>
              </w:rPr>
              <w:t>m×</w:t>
            </w:r>
            <w:r>
              <w:rPr>
                <w:rFonts w:hint="eastAsia"/>
                <w:color w:val="auto"/>
                <w:sz w:val="24"/>
              </w:rPr>
              <w:t>6.5</w:t>
            </w:r>
            <w:r>
              <w:rPr>
                <w:color w:val="auto"/>
                <w:sz w:val="24"/>
              </w:rPr>
              <w:t>m×</w:t>
            </w:r>
            <w:r>
              <w:rPr>
                <w:rFonts w:hint="eastAsia"/>
                <w:color w:val="auto"/>
                <w:sz w:val="24"/>
              </w:rPr>
              <w:t>2</w:t>
            </w:r>
            <w:r>
              <w:rPr>
                <w:color w:val="auto"/>
                <w:sz w:val="24"/>
              </w:rPr>
              <w:t>；</w:t>
            </w:r>
          </w:p>
          <w:p w14:paraId="4F79BB99">
            <w:pPr>
              <w:spacing w:line="360" w:lineRule="auto"/>
              <w:ind w:firstLine="480" w:firstLineChars="200"/>
              <w:rPr>
                <w:color w:val="auto"/>
                <w:sz w:val="24"/>
              </w:rPr>
            </w:pPr>
            <w:r>
              <w:rPr>
                <w:rFonts w:hint="eastAsia"/>
                <w:color w:val="auto"/>
                <w:sz w:val="24"/>
              </w:rPr>
              <w:t>每组</w:t>
            </w:r>
            <w:r>
              <w:rPr>
                <w:color w:val="auto"/>
                <w:sz w:val="24"/>
              </w:rPr>
              <w:t>有效容积：</w:t>
            </w:r>
            <w:r>
              <w:rPr>
                <w:rFonts w:hint="eastAsia"/>
                <w:color w:val="auto"/>
                <w:sz w:val="24"/>
              </w:rPr>
              <w:t>265</w:t>
            </w:r>
            <w:r>
              <w:rPr>
                <w:color w:val="auto"/>
                <w:sz w:val="24"/>
              </w:rPr>
              <w:t>m</w:t>
            </w:r>
            <w:r>
              <w:rPr>
                <w:color w:val="auto"/>
                <w:sz w:val="24"/>
                <w:vertAlign w:val="superscript"/>
              </w:rPr>
              <w:t>3</w:t>
            </w:r>
            <w:r>
              <w:rPr>
                <w:color w:val="auto"/>
                <w:sz w:val="24"/>
              </w:rPr>
              <w:t>；</w:t>
            </w:r>
          </w:p>
          <w:p w14:paraId="72A3B7BE">
            <w:pPr>
              <w:spacing w:line="360" w:lineRule="auto"/>
              <w:ind w:firstLine="480" w:firstLineChars="200"/>
              <w:rPr>
                <w:color w:val="auto"/>
                <w:sz w:val="24"/>
              </w:rPr>
            </w:pPr>
            <w:r>
              <w:rPr>
                <w:color w:val="auto"/>
                <w:sz w:val="24"/>
              </w:rPr>
              <w:t>有效水深：</w:t>
            </w:r>
            <w:r>
              <w:rPr>
                <w:rFonts w:hint="eastAsia"/>
                <w:color w:val="auto"/>
                <w:sz w:val="24"/>
              </w:rPr>
              <w:t>6.0</w:t>
            </w:r>
            <w:r>
              <w:rPr>
                <w:color w:val="auto"/>
                <w:sz w:val="24"/>
              </w:rPr>
              <w:t>m；</w:t>
            </w:r>
          </w:p>
          <w:p w14:paraId="61BD6381">
            <w:pPr>
              <w:spacing w:line="360" w:lineRule="auto"/>
              <w:ind w:firstLine="480" w:firstLineChars="200"/>
              <w:rPr>
                <w:color w:val="auto"/>
                <w:sz w:val="24"/>
              </w:rPr>
            </w:pPr>
            <w:r>
              <w:rPr>
                <w:rFonts w:hint="eastAsia"/>
                <w:color w:val="auto"/>
                <w:sz w:val="24"/>
              </w:rPr>
              <w:t>每组</w:t>
            </w:r>
            <w:r>
              <w:rPr>
                <w:color w:val="auto"/>
                <w:sz w:val="24"/>
              </w:rPr>
              <w:t>HRT：</w:t>
            </w:r>
            <w:r>
              <w:rPr>
                <w:rFonts w:hint="eastAsia"/>
                <w:color w:val="auto"/>
                <w:sz w:val="24"/>
              </w:rPr>
              <w:t>6.6</w:t>
            </w:r>
            <w:r>
              <w:rPr>
                <w:color w:val="auto"/>
                <w:sz w:val="24"/>
              </w:rPr>
              <w:t>h；</w:t>
            </w:r>
          </w:p>
          <w:p w14:paraId="33FF48A8">
            <w:pPr>
              <w:spacing w:line="360" w:lineRule="auto"/>
              <w:ind w:firstLine="480" w:firstLineChars="200"/>
              <w:rPr>
                <w:color w:val="auto"/>
                <w:sz w:val="24"/>
              </w:rPr>
            </w:pPr>
            <w:r>
              <w:rPr>
                <w:color w:val="auto"/>
                <w:sz w:val="24"/>
              </w:rPr>
              <w:t>主要设备：1、弹性填料，L=</w:t>
            </w:r>
            <w:r>
              <w:rPr>
                <w:rFonts w:hint="eastAsia"/>
                <w:color w:val="auto"/>
                <w:sz w:val="24"/>
              </w:rPr>
              <w:t>5</w:t>
            </w:r>
            <w:r>
              <w:rPr>
                <w:color w:val="auto"/>
                <w:sz w:val="24"/>
              </w:rPr>
              <w:t>m，共计</w:t>
            </w:r>
            <w:r>
              <w:rPr>
                <w:rFonts w:hint="eastAsia"/>
                <w:color w:val="auto"/>
                <w:sz w:val="24"/>
              </w:rPr>
              <w:t>442</w:t>
            </w:r>
            <w:r>
              <w:rPr>
                <w:color w:val="auto"/>
                <w:sz w:val="24"/>
              </w:rPr>
              <w:t>m</w:t>
            </w:r>
            <w:r>
              <w:rPr>
                <w:color w:val="auto"/>
                <w:sz w:val="24"/>
                <w:vertAlign w:val="superscript"/>
              </w:rPr>
              <w:t>3</w:t>
            </w:r>
            <w:r>
              <w:rPr>
                <w:color w:val="auto"/>
                <w:sz w:val="24"/>
              </w:rPr>
              <w:t>，含双层支架；</w:t>
            </w:r>
          </w:p>
          <w:p w14:paraId="536328C1">
            <w:pPr>
              <w:spacing w:line="360" w:lineRule="auto"/>
              <w:ind w:firstLine="1680" w:firstLineChars="700"/>
              <w:rPr>
                <w:color w:val="auto"/>
                <w:sz w:val="24"/>
              </w:rPr>
            </w:pPr>
            <w:r>
              <w:rPr>
                <w:color w:val="auto"/>
                <w:sz w:val="24"/>
              </w:rPr>
              <w:t>2、液下推流搅拌机，N=2.5kW，</w:t>
            </w:r>
            <w:r>
              <w:rPr>
                <w:rFonts w:hint="eastAsia"/>
                <w:color w:val="auto"/>
                <w:sz w:val="24"/>
              </w:rPr>
              <w:t>4</w:t>
            </w:r>
            <w:r>
              <w:rPr>
                <w:color w:val="auto"/>
                <w:sz w:val="24"/>
              </w:rPr>
              <w:t>台；</w:t>
            </w:r>
          </w:p>
          <w:p w14:paraId="7934C826">
            <w:pPr>
              <w:spacing w:line="360" w:lineRule="auto"/>
              <w:ind w:firstLine="1680" w:firstLineChars="700"/>
              <w:rPr>
                <w:color w:val="auto"/>
                <w:sz w:val="24"/>
              </w:rPr>
            </w:pPr>
            <w:r>
              <w:rPr>
                <w:color w:val="auto"/>
                <w:sz w:val="24"/>
              </w:rPr>
              <w:t>3、污泥泵：304，离心泵，</w:t>
            </w:r>
            <w:r>
              <w:rPr>
                <w:rFonts w:hint="eastAsia"/>
                <w:color w:val="auto"/>
                <w:sz w:val="24"/>
              </w:rPr>
              <w:t>2</w:t>
            </w:r>
            <w:r>
              <w:rPr>
                <w:color w:val="auto"/>
                <w:sz w:val="24"/>
              </w:rPr>
              <w:t>台，Q=</w:t>
            </w:r>
            <w:r>
              <w:rPr>
                <w:rFonts w:hint="eastAsia"/>
                <w:color w:val="auto"/>
                <w:sz w:val="24"/>
              </w:rPr>
              <w:t>40</w:t>
            </w:r>
            <w:r>
              <w:rPr>
                <w:color w:val="auto"/>
                <w:sz w:val="24"/>
              </w:rPr>
              <w:t>m</w:t>
            </w:r>
            <w:r>
              <w:rPr>
                <w:color w:val="auto"/>
                <w:sz w:val="24"/>
                <w:vertAlign w:val="superscript"/>
              </w:rPr>
              <w:t>3</w:t>
            </w:r>
            <w:r>
              <w:rPr>
                <w:color w:val="auto"/>
                <w:sz w:val="24"/>
              </w:rPr>
              <w:t>/h，与接触氧化池共用污泥泵。</w:t>
            </w:r>
          </w:p>
          <w:p w14:paraId="2238392E">
            <w:pPr>
              <w:spacing w:line="360" w:lineRule="auto"/>
              <w:ind w:firstLine="482" w:firstLineChars="200"/>
              <w:rPr>
                <w:b/>
                <w:color w:val="auto"/>
                <w:kern w:val="0"/>
                <w:sz w:val="24"/>
                <w:lang w:bidi="hi-IN"/>
              </w:rPr>
            </w:pPr>
            <w:r>
              <w:rPr>
                <w:rFonts w:hint="eastAsia"/>
                <w:b/>
                <w:color w:val="auto"/>
                <w:sz w:val="24"/>
              </w:rPr>
              <w:t>（</w:t>
            </w:r>
            <w:r>
              <w:rPr>
                <w:b/>
                <w:color w:val="auto"/>
                <w:sz w:val="24"/>
              </w:rPr>
              <w:t>e</w:t>
            </w:r>
            <w:r>
              <w:rPr>
                <w:rFonts w:hint="eastAsia"/>
                <w:b/>
                <w:color w:val="auto"/>
                <w:sz w:val="24"/>
              </w:rPr>
              <w:t>）接触氧化池</w:t>
            </w:r>
          </w:p>
          <w:p w14:paraId="4F97E664">
            <w:pPr>
              <w:spacing w:line="360" w:lineRule="auto"/>
              <w:ind w:firstLine="480" w:firstLineChars="200"/>
              <w:rPr>
                <w:color w:val="auto"/>
                <w:sz w:val="24"/>
              </w:rPr>
            </w:pPr>
            <w:r>
              <w:rPr>
                <w:color w:val="auto"/>
                <w:sz w:val="24"/>
              </w:rPr>
              <w:t>结构：半地上式钢砼结构；</w:t>
            </w:r>
          </w:p>
          <w:p w14:paraId="52E9E59B">
            <w:pPr>
              <w:spacing w:line="360" w:lineRule="auto"/>
              <w:ind w:firstLine="480" w:firstLineChars="200"/>
              <w:rPr>
                <w:color w:val="auto"/>
                <w:sz w:val="24"/>
              </w:rPr>
            </w:pPr>
            <w:r>
              <w:rPr>
                <w:color w:val="auto"/>
                <w:sz w:val="24"/>
              </w:rPr>
              <w:t>主要功能：利用好氧微生物降解水中有机物；</w:t>
            </w:r>
          </w:p>
          <w:p w14:paraId="250D80E0">
            <w:pPr>
              <w:spacing w:line="360" w:lineRule="auto"/>
              <w:ind w:firstLine="480" w:firstLineChars="200"/>
              <w:rPr>
                <w:color w:val="auto"/>
                <w:sz w:val="24"/>
              </w:rPr>
            </w:pPr>
            <w:r>
              <w:rPr>
                <w:color w:val="auto"/>
                <w:sz w:val="24"/>
              </w:rPr>
              <w:t>设计水量：1600m</w:t>
            </w:r>
            <w:r>
              <w:rPr>
                <w:color w:val="auto"/>
                <w:sz w:val="24"/>
                <w:vertAlign w:val="superscript"/>
              </w:rPr>
              <w:t>3</w:t>
            </w:r>
            <w:r>
              <w:rPr>
                <w:color w:val="auto"/>
                <w:sz w:val="24"/>
              </w:rPr>
              <w:t>/d</w:t>
            </w:r>
            <w:r>
              <w:rPr>
                <w:rFonts w:hint="eastAsia"/>
                <w:color w:val="auto"/>
                <w:sz w:val="24"/>
              </w:rPr>
              <w:t>，分为两组并联运行</w:t>
            </w:r>
            <w:r>
              <w:rPr>
                <w:color w:val="auto"/>
                <w:sz w:val="24"/>
              </w:rPr>
              <w:t>（</w:t>
            </w:r>
            <w:r>
              <w:rPr>
                <w:rFonts w:hint="eastAsia"/>
                <w:color w:val="auto"/>
                <w:sz w:val="24"/>
              </w:rPr>
              <w:t>每组</w:t>
            </w:r>
            <w:r>
              <w:rPr>
                <w:color w:val="auto"/>
                <w:sz w:val="24"/>
              </w:rPr>
              <w:t>40m</w:t>
            </w:r>
            <w:r>
              <w:rPr>
                <w:color w:val="auto"/>
                <w:sz w:val="24"/>
                <w:vertAlign w:val="superscript"/>
              </w:rPr>
              <w:t>3</w:t>
            </w:r>
            <w:r>
              <w:rPr>
                <w:color w:val="auto"/>
                <w:sz w:val="24"/>
              </w:rPr>
              <w:t>/h）；</w:t>
            </w:r>
          </w:p>
          <w:p w14:paraId="1FB71958">
            <w:pPr>
              <w:spacing w:line="360" w:lineRule="auto"/>
              <w:ind w:firstLine="480" w:firstLineChars="200"/>
              <w:rPr>
                <w:color w:val="auto"/>
                <w:sz w:val="24"/>
              </w:rPr>
            </w:pPr>
            <w:r>
              <w:rPr>
                <w:color w:val="auto"/>
                <w:sz w:val="24"/>
              </w:rPr>
              <w:t>工艺尺寸：</w:t>
            </w:r>
            <w:r>
              <w:rPr>
                <w:rFonts w:hint="eastAsia"/>
                <w:color w:val="auto"/>
                <w:sz w:val="24"/>
              </w:rPr>
              <w:t>12.1</w:t>
            </w:r>
            <w:r>
              <w:rPr>
                <w:color w:val="auto"/>
                <w:sz w:val="24"/>
              </w:rPr>
              <w:t>m×</w:t>
            </w:r>
            <w:r>
              <w:rPr>
                <w:rFonts w:hint="eastAsia"/>
                <w:color w:val="auto"/>
                <w:sz w:val="24"/>
              </w:rPr>
              <w:t>6.8</w:t>
            </w:r>
            <w:r>
              <w:rPr>
                <w:color w:val="auto"/>
                <w:sz w:val="24"/>
              </w:rPr>
              <w:t>m×</w:t>
            </w:r>
            <w:r>
              <w:rPr>
                <w:rFonts w:hint="eastAsia"/>
                <w:color w:val="auto"/>
                <w:sz w:val="24"/>
              </w:rPr>
              <w:t>6.</w:t>
            </w:r>
            <w:r>
              <w:rPr>
                <w:color w:val="auto"/>
                <w:sz w:val="24"/>
              </w:rPr>
              <w:t>5m×2；</w:t>
            </w:r>
          </w:p>
          <w:p w14:paraId="53EFD771">
            <w:pPr>
              <w:spacing w:line="360" w:lineRule="auto"/>
              <w:ind w:firstLine="480" w:firstLineChars="200"/>
              <w:rPr>
                <w:color w:val="auto"/>
                <w:sz w:val="24"/>
              </w:rPr>
            </w:pPr>
            <w:r>
              <w:rPr>
                <w:rFonts w:hint="eastAsia"/>
                <w:color w:val="auto"/>
                <w:sz w:val="24"/>
              </w:rPr>
              <w:t>每组</w:t>
            </w:r>
            <w:r>
              <w:rPr>
                <w:color w:val="auto"/>
                <w:sz w:val="24"/>
              </w:rPr>
              <w:t>有效容积：</w:t>
            </w:r>
            <w:r>
              <w:rPr>
                <w:rFonts w:hint="eastAsia"/>
                <w:color w:val="auto"/>
                <w:sz w:val="24"/>
              </w:rPr>
              <w:t>4</w:t>
            </w:r>
            <w:r>
              <w:rPr>
                <w:color w:val="auto"/>
                <w:sz w:val="24"/>
              </w:rPr>
              <w:t>94m</w:t>
            </w:r>
            <w:r>
              <w:rPr>
                <w:color w:val="auto"/>
                <w:sz w:val="24"/>
                <w:vertAlign w:val="superscript"/>
              </w:rPr>
              <w:t>3</w:t>
            </w:r>
            <w:r>
              <w:rPr>
                <w:color w:val="auto"/>
                <w:sz w:val="24"/>
              </w:rPr>
              <w:t>；</w:t>
            </w:r>
          </w:p>
          <w:p w14:paraId="32CC6F28">
            <w:pPr>
              <w:spacing w:line="360" w:lineRule="auto"/>
              <w:ind w:firstLine="480" w:firstLineChars="200"/>
              <w:rPr>
                <w:color w:val="auto"/>
                <w:sz w:val="24"/>
              </w:rPr>
            </w:pPr>
            <w:r>
              <w:rPr>
                <w:color w:val="auto"/>
                <w:sz w:val="24"/>
              </w:rPr>
              <w:t>有效水深：6.0m；</w:t>
            </w:r>
          </w:p>
          <w:p w14:paraId="76407976">
            <w:pPr>
              <w:spacing w:line="360" w:lineRule="auto"/>
              <w:ind w:firstLine="480" w:firstLineChars="200"/>
              <w:rPr>
                <w:color w:val="auto"/>
                <w:sz w:val="24"/>
              </w:rPr>
            </w:pPr>
            <w:r>
              <w:rPr>
                <w:rFonts w:hint="eastAsia"/>
                <w:color w:val="auto"/>
                <w:sz w:val="24"/>
              </w:rPr>
              <w:t>每组</w:t>
            </w:r>
            <w:r>
              <w:rPr>
                <w:color w:val="auto"/>
                <w:sz w:val="24"/>
              </w:rPr>
              <w:t>HRT：12.4h；</w:t>
            </w:r>
          </w:p>
          <w:p w14:paraId="19881CB8">
            <w:pPr>
              <w:spacing w:line="360" w:lineRule="auto"/>
              <w:ind w:firstLine="480" w:firstLineChars="200"/>
              <w:rPr>
                <w:color w:val="auto"/>
                <w:sz w:val="24"/>
              </w:rPr>
            </w:pPr>
            <w:r>
              <w:rPr>
                <w:color w:val="auto"/>
                <w:sz w:val="24"/>
              </w:rPr>
              <w:t>主要设备：1、</w:t>
            </w:r>
            <w:r>
              <w:rPr>
                <w:rFonts w:hint="eastAsia"/>
                <w:color w:val="auto"/>
                <w:sz w:val="24"/>
              </w:rPr>
              <w:t>可提升式微孔曝气管</w:t>
            </w:r>
            <w:r>
              <w:rPr>
                <w:color w:val="auto"/>
                <w:sz w:val="24"/>
              </w:rPr>
              <w:t>，100</w:t>
            </w:r>
            <w:r>
              <w:rPr>
                <w:rFonts w:hint="eastAsia"/>
                <w:color w:val="auto"/>
                <w:sz w:val="24"/>
              </w:rPr>
              <w:t>套，epdm材质、横管碳钢防腐、立管304，含安装支架、配件</w:t>
            </w:r>
            <w:r>
              <w:rPr>
                <w:color w:val="auto"/>
                <w:sz w:val="24"/>
              </w:rPr>
              <w:t>；</w:t>
            </w:r>
          </w:p>
          <w:p w14:paraId="5643F3FD">
            <w:pPr>
              <w:spacing w:line="360" w:lineRule="auto"/>
              <w:ind w:firstLine="1440" w:firstLineChars="600"/>
              <w:rPr>
                <w:color w:val="auto"/>
                <w:sz w:val="24"/>
              </w:rPr>
            </w:pPr>
            <w:r>
              <w:rPr>
                <w:color w:val="auto"/>
                <w:sz w:val="24"/>
              </w:rPr>
              <w:t>2、组合填料，L=4m，共计823m</w:t>
            </w:r>
            <w:r>
              <w:rPr>
                <w:color w:val="auto"/>
                <w:sz w:val="24"/>
                <w:vertAlign w:val="superscript"/>
              </w:rPr>
              <w:t>3</w:t>
            </w:r>
            <w:r>
              <w:rPr>
                <w:color w:val="auto"/>
                <w:sz w:val="24"/>
              </w:rPr>
              <w:t>，含双层支架；</w:t>
            </w:r>
          </w:p>
          <w:p w14:paraId="3E9E5E73">
            <w:pPr>
              <w:spacing w:line="360" w:lineRule="auto"/>
              <w:ind w:firstLine="1440" w:firstLineChars="600"/>
              <w:rPr>
                <w:color w:val="auto"/>
                <w:sz w:val="24"/>
              </w:rPr>
            </w:pPr>
            <w:r>
              <w:rPr>
                <w:color w:val="auto"/>
                <w:sz w:val="24"/>
              </w:rPr>
              <w:t>3、DO仪，</w:t>
            </w:r>
            <w:r>
              <w:rPr>
                <w:rFonts w:hint="eastAsia"/>
                <w:color w:val="auto"/>
                <w:sz w:val="24"/>
              </w:rPr>
              <w:t>2</w:t>
            </w:r>
            <w:r>
              <w:rPr>
                <w:color w:val="auto"/>
                <w:sz w:val="24"/>
              </w:rPr>
              <w:t>套；</w:t>
            </w:r>
          </w:p>
          <w:p w14:paraId="67C42289">
            <w:pPr>
              <w:spacing w:line="360" w:lineRule="auto"/>
              <w:ind w:firstLine="1440" w:firstLineChars="600"/>
              <w:rPr>
                <w:color w:val="auto"/>
                <w:sz w:val="24"/>
              </w:rPr>
            </w:pPr>
            <w:r>
              <w:rPr>
                <w:color w:val="auto"/>
                <w:sz w:val="24"/>
              </w:rPr>
              <w:t>4</w:t>
            </w:r>
            <w:r>
              <w:rPr>
                <w:rFonts w:hint="eastAsia"/>
                <w:color w:val="auto"/>
                <w:sz w:val="24"/>
              </w:rPr>
              <w:t>、变频罗茨风机，2台，Q=</w:t>
            </w:r>
            <w:r>
              <w:rPr>
                <w:color w:val="auto"/>
                <w:sz w:val="24"/>
              </w:rPr>
              <w:t>19.82</w:t>
            </w:r>
            <w:r>
              <w:rPr>
                <w:rFonts w:hint="eastAsia"/>
                <w:color w:val="auto"/>
                <w:sz w:val="24"/>
              </w:rPr>
              <w:t>m</w:t>
            </w:r>
            <w:r>
              <w:rPr>
                <w:rFonts w:hint="eastAsia"/>
                <w:color w:val="auto"/>
                <w:sz w:val="24"/>
                <w:vertAlign w:val="superscript"/>
              </w:rPr>
              <w:t>3</w:t>
            </w:r>
            <w:r>
              <w:rPr>
                <w:rFonts w:hint="eastAsia"/>
                <w:color w:val="auto"/>
                <w:sz w:val="24"/>
              </w:rPr>
              <w:t>/min，P=5</w:t>
            </w:r>
            <w:r>
              <w:rPr>
                <w:color w:val="auto"/>
                <w:sz w:val="24"/>
              </w:rPr>
              <w:t>8.8</w:t>
            </w:r>
            <w:r>
              <w:rPr>
                <w:rFonts w:hint="eastAsia"/>
                <w:color w:val="auto"/>
                <w:sz w:val="24"/>
              </w:rPr>
              <w:t>kPa，N=30KW，一用一备。</w:t>
            </w:r>
          </w:p>
          <w:p w14:paraId="485D3914">
            <w:pPr>
              <w:spacing w:line="360" w:lineRule="auto"/>
              <w:ind w:firstLine="482" w:firstLineChars="200"/>
              <w:rPr>
                <w:b/>
                <w:color w:val="auto"/>
                <w:kern w:val="0"/>
                <w:sz w:val="24"/>
                <w:lang w:bidi="hi-IN"/>
              </w:rPr>
            </w:pPr>
            <w:r>
              <w:rPr>
                <w:rFonts w:hint="eastAsia"/>
                <w:b/>
                <w:color w:val="auto"/>
                <w:sz w:val="24"/>
              </w:rPr>
              <w:t>（</w:t>
            </w:r>
            <w:r>
              <w:rPr>
                <w:b/>
                <w:color w:val="auto"/>
                <w:sz w:val="24"/>
              </w:rPr>
              <w:t>f</w:t>
            </w:r>
            <w:r>
              <w:rPr>
                <w:rFonts w:hint="eastAsia"/>
                <w:b/>
                <w:color w:val="auto"/>
                <w:sz w:val="24"/>
              </w:rPr>
              <w:t>）二沉池</w:t>
            </w:r>
          </w:p>
          <w:p w14:paraId="346904BD">
            <w:pPr>
              <w:spacing w:line="360" w:lineRule="auto"/>
              <w:ind w:firstLine="480" w:firstLineChars="200"/>
              <w:rPr>
                <w:color w:val="auto"/>
                <w:sz w:val="24"/>
              </w:rPr>
            </w:pPr>
            <w:r>
              <w:rPr>
                <w:color w:val="auto"/>
                <w:sz w:val="24"/>
              </w:rPr>
              <w:t>结构：竖流沉淀，半地上式钢砼结构；</w:t>
            </w:r>
          </w:p>
          <w:p w14:paraId="51C6542B">
            <w:pPr>
              <w:spacing w:line="360" w:lineRule="auto"/>
              <w:ind w:firstLine="480" w:firstLineChars="200"/>
              <w:rPr>
                <w:color w:val="auto"/>
                <w:sz w:val="24"/>
              </w:rPr>
            </w:pPr>
            <w:r>
              <w:rPr>
                <w:color w:val="auto"/>
                <w:sz w:val="24"/>
              </w:rPr>
              <w:t>主要功能：泥水分离，污泥回流；</w:t>
            </w:r>
          </w:p>
          <w:p w14:paraId="7791825E">
            <w:pPr>
              <w:spacing w:line="360" w:lineRule="auto"/>
              <w:ind w:firstLine="480" w:firstLineChars="200"/>
              <w:rPr>
                <w:color w:val="auto"/>
                <w:sz w:val="24"/>
              </w:rPr>
            </w:pPr>
            <w:r>
              <w:rPr>
                <w:color w:val="auto"/>
                <w:sz w:val="24"/>
              </w:rPr>
              <w:t>设计水量：1600m</w:t>
            </w:r>
            <w:r>
              <w:rPr>
                <w:color w:val="auto"/>
                <w:sz w:val="24"/>
                <w:vertAlign w:val="superscript"/>
              </w:rPr>
              <w:t>3</w:t>
            </w:r>
            <w:r>
              <w:rPr>
                <w:color w:val="auto"/>
                <w:sz w:val="24"/>
              </w:rPr>
              <w:t>/d（80m</w:t>
            </w:r>
            <w:r>
              <w:rPr>
                <w:color w:val="auto"/>
                <w:sz w:val="24"/>
                <w:vertAlign w:val="superscript"/>
              </w:rPr>
              <w:t>3</w:t>
            </w:r>
            <w:r>
              <w:rPr>
                <w:color w:val="auto"/>
                <w:sz w:val="24"/>
              </w:rPr>
              <w:t>/h）；</w:t>
            </w:r>
          </w:p>
          <w:p w14:paraId="30619C86">
            <w:pPr>
              <w:spacing w:line="360" w:lineRule="auto"/>
              <w:ind w:firstLine="480" w:firstLineChars="200"/>
              <w:rPr>
                <w:color w:val="auto"/>
                <w:sz w:val="24"/>
              </w:rPr>
            </w:pPr>
            <w:r>
              <w:rPr>
                <w:color w:val="auto"/>
                <w:sz w:val="24"/>
              </w:rPr>
              <w:t>工艺尺寸：</w:t>
            </w:r>
            <w:r>
              <w:rPr>
                <w:rFonts w:hint="eastAsia"/>
                <w:color w:val="auto"/>
                <w:sz w:val="24"/>
              </w:rPr>
              <w:t>11.0</w:t>
            </w:r>
            <w:r>
              <w:rPr>
                <w:color w:val="auto"/>
                <w:sz w:val="24"/>
              </w:rPr>
              <w:t>m×</w:t>
            </w:r>
            <w:r>
              <w:rPr>
                <w:rFonts w:hint="eastAsia"/>
                <w:color w:val="auto"/>
                <w:sz w:val="24"/>
              </w:rPr>
              <w:t>11</w:t>
            </w:r>
            <w:r>
              <w:rPr>
                <w:color w:val="auto"/>
                <w:sz w:val="24"/>
              </w:rPr>
              <w:t>.</w:t>
            </w:r>
            <w:r>
              <w:rPr>
                <w:rFonts w:hint="eastAsia"/>
                <w:color w:val="auto"/>
                <w:sz w:val="24"/>
              </w:rPr>
              <w:t>0</w:t>
            </w:r>
            <w:r>
              <w:rPr>
                <w:color w:val="auto"/>
                <w:sz w:val="24"/>
              </w:rPr>
              <w:t>m×5.</w:t>
            </w:r>
            <w:r>
              <w:rPr>
                <w:rFonts w:hint="eastAsia"/>
                <w:color w:val="auto"/>
                <w:sz w:val="24"/>
              </w:rPr>
              <w:t>5</w:t>
            </w:r>
            <w:r>
              <w:rPr>
                <w:color w:val="auto"/>
                <w:sz w:val="24"/>
              </w:rPr>
              <w:t>m；</w:t>
            </w:r>
          </w:p>
          <w:p w14:paraId="2A17726F">
            <w:pPr>
              <w:spacing w:line="360" w:lineRule="auto"/>
              <w:ind w:firstLine="480" w:firstLineChars="200"/>
              <w:rPr>
                <w:color w:val="auto"/>
                <w:sz w:val="24"/>
              </w:rPr>
            </w:pPr>
            <w:r>
              <w:rPr>
                <w:color w:val="auto"/>
                <w:sz w:val="24"/>
              </w:rPr>
              <w:t>有效水深：5.0m；</w:t>
            </w:r>
          </w:p>
          <w:p w14:paraId="31F76A45">
            <w:pPr>
              <w:spacing w:line="360" w:lineRule="auto"/>
              <w:ind w:firstLine="480" w:firstLineChars="200"/>
              <w:rPr>
                <w:color w:val="auto"/>
                <w:sz w:val="24"/>
              </w:rPr>
            </w:pPr>
            <w:r>
              <w:rPr>
                <w:color w:val="auto"/>
                <w:sz w:val="24"/>
              </w:rPr>
              <w:t>设计表面负荷：0.8m</w:t>
            </w:r>
            <w:r>
              <w:rPr>
                <w:color w:val="auto"/>
                <w:sz w:val="24"/>
                <w:vertAlign w:val="superscript"/>
              </w:rPr>
              <w:t>3</w:t>
            </w:r>
            <w:r>
              <w:rPr>
                <w:color w:val="auto"/>
                <w:sz w:val="24"/>
              </w:rPr>
              <w:t>/m</w:t>
            </w:r>
            <w:r>
              <w:rPr>
                <w:color w:val="auto"/>
                <w:sz w:val="24"/>
                <w:vertAlign w:val="superscript"/>
              </w:rPr>
              <w:t>2</w:t>
            </w:r>
            <w:r>
              <w:rPr>
                <w:color w:val="auto"/>
                <w:sz w:val="24"/>
              </w:rPr>
              <w:t>·h；</w:t>
            </w:r>
          </w:p>
          <w:p w14:paraId="1FF468E5">
            <w:pPr>
              <w:spacing w:line="360" w:lineRule="auto"/>
              <w:ind w:firstLine="480" w:firstLineChars="200"/>
              <w:rPr>
                <w:color w:val="auto"/>
                <w:sz w:val="24"/>
              </w:rPr>
            </w:pPr>
            <w:r>
              <w:rPr>
                <w:color w:val="auto"/>
                <w:sz w:val="24"/>
              </w:rPr>
              <w:t>主要设备：1、</w:t>
            </w:r>
            <w:r>
              <w:rPr>
                <w:rFonts w:hint="eastAsia"/>
                <w:color w:val="auto"/>
                <w:sz w:val="24"/>
              </w:rPr>
              <w:t>中心传动刮泥机，1套，D=11m，碳钢防腐</w:t>
            </w:r>
            <w:r>
              <w:rPr>
                <w:color w:val="auto"/>
                <w:sz w:val="24"/>
              </w:rPr>
              <w:t>；</w:t>
            </w:r>
          </w:p>
          <w:p w14:paraId="5561C1E5">
            <w:pPr>
              <w:spacing w:line="360" w:lineRule="auto"/>
              <w:ind w:firstLine="480" w:firstLineChars="200"/>
              <w:rPr>
                <w:color w:val="auto"/>
                <w:sz w:val="24"/>
              </w:rPr>
            </w:pPr>
            <w:r>
              <w:rPr>
                <w:color w:val="auto"/>
                <w:sz w:val="24"/>
              </w:rPr>
              <w:t xml:space="preserve">          2、出水堰，L=44m，PP，</w:t>
            </w:r>
            <w:r>
              <w:rPr>
                <w:rFonts w:hint="eastAsia"/>
                <w:color w:val="auto"/>
                <w:sz w:val="24"/>
              </w:rPr>
              <w:t>1</w:t>
            </w:r>
            <w:r>
              <w:rPr>
                <w:color w:val="auto"/>
                <w:sz w:val="24"/>
              </w:rPr>
              <w:t>套；</w:t>
            </w:r>
          </w:p>
          <w:p w14:paraId="762395C1">
            <w:pPr>
              <w:spacing w:line="360" w:lineRule="auto"/>
              <w:ind w:firstLine="1680" w:firstLineChars="700"/>
              <w:rPr>
                <w:color w:val="auto"/>
                <w:sz w:val="24"/>
              </w:rPr>
            </w:pPr>
            <w:r>
              <w:rPr>
                <w:color w:val="auto"/>
                <w:sz w:val="24"/>
              </w:rPr>
              <w:t>3、污泥回流泵：304，离心泵，</w:t>
            </w:r>
            <w:r>
              <w:rPr>
                <w:rFonts w:hint="eastAsia"/>
                <w:color w:val="auto"/>
                <w:sz w:val="24"/>
              </w:rPr>
              <w:t>3</w:t>
            </w:r>
            <w:r>
              <w:rPr>
                <w:color w:val="auto"/>
                <w:sz w:val="24"/>
              </w:rPr>
              <w:t>台，</w:t>
            </w:r>
            <w:r>
              <w:rPr>
                <w:rFonts w:hint="eastAsia"/>
                <w:color w:val="auto"/>
                <w:sz w:val="24"/>
              </w:rPr>
              <w:t>两</w:t>
            </w:r>
            <w:r>
              <w:rPr>
                <w:color w:val="auto"/>
                <w:sz w:val="24"/>
              </w:rPr>
              <w:t>用</w:t>
            </w:r>
            <w:r>
              <w:rPr>
                <w:rFonts w:hint="eastAsia"/>
                <w:color w:val="auto"/>
                <w:sz w:val="24"/>
              </w:rPr>
              <w:t>一</w:t>
            </w:r>
            <w:r>
              <w:rPr>
                <w:color w:val="auto"/>
                <w:sz w:val="24"/>
              </w:rPr>
              <w:t>备，Q=30m</w:t>
            </w:r>
            <w:r>
              <w:rPr>
                <w:color w:val="auto"/>
                <w:sz w:val="24"/>
                <w:vertAlign w:val="superscript"/>
              </w:rPr>
              <w:t>3</w:t>
            </w:r>
            <w:r>
              <w:rPr>
                <w:color w:val="auto"/>
                <w:sz w:val="24"/>
              </w:rPr>
              <w:t>/h（污泥根据实际生化池污泥量进行间歇回流）；</w:t>
            </w:r>
          </w:p>
          <w:p w14:paraId="4733BF38">
            <w:pPr>
              <w:spacing w:line="360" w:lineRule="auto"/>
              <w:ind w:firstLine="480" w:firstLineChars="200"/>
              <w:rPr>
                <w:color w:val="auto"/>
                <w:sz w:val="24"/>
              </w:rPr>
            </w:pPr>
            <w:r>
              <w:rPr>
                <w:rFonts w:hint="eastAsia"/>
                <w:color w:val="auto"/>
                <w:sz w:val="24"/>
              </w:rPr>
              <w:t xml:space="preserve">          4、排泥泵：304，</w:t>
            </w:r>
            <w:r>
              <w:rPr>
                <w:color w:val="auto"/>
                <w:sz w:val="24"/>
              </w:rPr>
              <w:t>离心泵，</w:t>
            </w:r>
            <w:r>
              <w:rPr>
                <w:rFonts w:hint="eastAsia"/>
                <w:color w:val="auto"/>
                <w:sz w:val="24"/>
              </w:rPr>
              <w:t>2</w:t>
            </w:r>
            <w:r>
              <w:rPr>
                <w:color w:val="auto"/>
                <w:sz w:val="24"/>
              </w:rPr>
              <w:t>台，</w:t>
            </w:r>
            <w:r>
              <w:rPr>
                <w:rFonts w:hint="eastAsia"/>
                <w:color w:val="auto"/>
                <w:sz w:val="24"/>
              </w:rPr>
              <w:t>一</w:t>
            </w:r>
            <w:r>
              <w:rPr>
                <w:color w:val="auto"/>
                <w:sz w:val="24"/>
              </w:rPr>
              <w:t>用</w:t>
            </w:r>
            <w:r>
              <w:rPr>
                <w:rFonts w:hint="eastAsia"/>
                <w:color w:val="auto"/>
                <w:sz w:val="24"/>
              </w:rPr>
              <w:t>一</w:t>
            </w:r>
            <w:r>
              <w:rPr>
                <w:color w:val="auto"/>
                <w:sz w:val="24"/>
              </w:rPr>
              <w:t>备，Q=3</w:t>
            </w:r>
            <w:r>
              <w:rPr>
                <w:rFonts w:hint="eastAsia"/>
                <w:color w:val="auto"/>
                <w:sz w:val="24"/>
              </w:rPr>
              <w:t>0</w:t>
            </w:r>
            <w:r>
              <w:rPr>
                <w:color w:val="auto"/>
                <w:sz w:val="24"/>
              </w:rPr>
              <w:t>m</w:t>
            </w:r>
            <w:r>
              <w:rPr>
                <w:color w:val="auto"/>
                <w:sz w:val="24"/>
                <w:vertAlign w:val="superscript"/>
              </w:rPr>
              <w:t>3</w:t>
            </w:r>
            <w:r>
              <w:rPr>
                <w:color w:val="auto"/>
                <w:sz w:val="24"/>
              </w:rPr>
              <w:t>/h</w:t>
            </w:r>
            <w:r>
              <w:rPr>
                <w:rFonts w:hint="eastAsia"/>
                <w:color w:val="auto"/>
                <w:sz w:val="24"/>
              </w:rPr>
              <w:t>。</w:t>
            </w:r>
          </w:p>
          <w:p w14:paraId="6CCE252C">
            <w:pPr>
              <w:spacing w:line="360" w:lineRule="auto"/>
              <w:ind w:firstLine="482" w:firstLineChars="200"/>
              <w:rPr>
                <w:b/>
                <w:color w:val="auto"/>
                <w:kern w:val="0"/>
                <w:sz w:val="24"/>
                <w:lang w:bidi="hi-IN"/>
              </w:rPr>
            </w:pPr>
            <w:r>
              <w:rPr>
                <w:rFonts w:hint="eastAsia"/>
                <w:b/>
                <w:color w:val="auto"/>
                <w:sz w:val="24"/>
              </w:rPr>
              <w:t>（g）出水池</w:t>
            </w:r>
          </w:p>
          <w:p w14:paraId="718693E1">
            <w:pPr>
              <w:spacing w:line="360" w:lineRule="auto"/>
              <w:ind w:firstLine="480" w:firstLineChars="200"/>
              <w:rPr>
                <w:color w:val="auto"/>
                <w:sz w:val="24"/>
              </w:rPr>
            </w:pPr>
            <w:r>
              <w:rPr>
                <w:color w:val="auto"/>
                <w:sz w:val="24"/>
              </w:rPr>
              <w:t>结构：地下式钢砼结构；</w:t>
            </w:r>
          </w:p>
          <w:p w14:paraId="0D8FEE3E">
            <w:pPr>
              <w:spacing w:line="360" w:lineRule="auto"/>
              <w:ind w:firstLine="480" w:firstLineChars="200"/>
              <w:rPr>
                <w:color w:val="auto"/>
                <w:sz w:val="24"/>
              </w:rPr>
            </w:pPr>
            <w:r>
              <w:rPr>
                <w:color w:val="auto"/>
                <w:sz w:val="24"/>
              </w:rPr>
              <w:t>主要功能：暂存处理系统出水，接管至污水处理厂；</w:t>
            </w:r>
          </w:p>
          <w:p w14:paraId="5027CF14">
            <w:pPr>
              <w:spacing w:line="360" w:lineRule="auto"/>
              <w:ind w:firstLine="480" w:firstLineChars="200"/>
              <w:rPr>
                <w:color w:val="auto"/>
                <w:sz w:val="24"/>
              </w:rPr>
            </w:pPr>
            <w:r>
              <w:rPr>
                <w:color w:val="auto"/>
                <w:sz w:val="24"/>
              </w:rPr>
              <w:t>设计水量：160</w:t>
            </w:r>
            <w:r>
              <w:rPr>
                <w:rFonts w:hint="eastAsia"/>
                <w:color w:val="auto"/>
                <w:sz w:val="24"/>
              </w:rPr>
              <w:t>0</w:t>
            </w:r>
            <w:r>
              <w:rPr>
                <w:color w:val="auto"/>
                <w:sz w:val="24"/>
              </w:rPr>
              <w:t>m</w:t>
            </w:r>
            <w:r>
              <w:rPr>
                <w:color w:val="auto"/>
                <w:sz w:val="24"/>
                <w:vertAlign w:val="superscript"/>
              </w:rPr>
              <w:t>3</w:t>
            </w:r>
            <w:r>
              <w:rPr>
                <w:color w:val="auto"/>
                <w:sz w:val="24"/>
              </w:rPr>
              <w:t>/d；</w:t>
            </w:r>
          </w:p>
          <w:p w14:paraId="3FDD096D">
            <w:pPr>
              <w:spacing w:line="360" w:lineRule="auto"/>
              <w:ind w:firstLine="480" w:firstLineChars="200"/>
              <w:rPr>
                <w:color w:val="auto"/>
                <w:sz w:val="24"/>
              </w:rPr>
            </w:pPr>
            <w:r>
              <w:rPr>
                <w:color w:val="auto"/>
                <w:sz w:val="24"/>
              </w:rPr>
              <w:t>工艺尺寸：</w:t>
            </w:r>
            <w:r>
              <w:rPr>
                <w:rFonts w:hint="eastAsia"/>
                <w:color w:val="auto"/>
                <w:sz w:val="24"/>
              </w:rPr>
              <w:t>11.0</w:t>
            </w:r>
            <w:r>
              <w:rPr>
                <w:color w:val="auto"/>
                <w:sz w:val="24"/>
              </w:rPr>
              <w:t>m×</w:t>
            </w:r>
            <w:r>
              <w:rPr>
                <w:rFonts w:hint="eastAsia"/>
                <w:color w:val="auto"/>
                <w:sz w:val="24"/>
              </w:rPr>
              <w:t>2.5</w:t>
            </w:r>
            <w:r>
              <w:rPr>
                <w:color w:val="auto"/>
                <w:sz w:val="24"/>
              </w:rPr>
              <w:t>m×</w:t>
            </w:r>
            <w:r>
              <w:rPr>
                <w:rFonts w:hint="eastAsia"/>
                <w:color w:val="auto"/>
                <w:sz w:val="24"/>
              </w:rPr>
              <w:t>5.5</w:t>
            </w:r>
            <w:r>
              <w:rPr>
                <w:color w:val="auto"/>
                <w:sz w:val="24"/>
              </w:rPr>
              <w:t>m；</w:t>
            </w:r>
          </w:p>
          <w:p w14:paraId="2FB684AA">
            <w:pPr>
              <w:spacing w:line="360" w:lineRule="auto"/>
              <w:ind w:firstLine="480" w:firstLineChars="200"/>
              <w:rPr>
                <w:color w:val="auto"/>
                <w:sz w:val="24"/>
              </w:rPr>
            </w:pPr>
            <w:r>
              <w:rPr>
                <w:color w:val="auto"/>
                <w:sz w:val="24"/>
              </w:rPr>
              <w:t>有效容积：138m</w:t>
            </w:r>
            <w:r>
              <w:rPr>
                <w:color w:val="auto"/>
                <w:sz w:val="24"/>
                <w:vertAlign w:val="superscript"/>
              </w:rPr>
              <w:t>3</w:t>
            </w:r>
            <w:r>
              <w:rPr>
                <w:color w:val="auto"/>
                <w:sz w:val="24"/>
              </w:rPr>
              <w:t>；</w:t>
            </w:r>
          </w:p>
          <w:p w14:paraId="36B5C897">
            <w:pPr>
              <w:spacing w:line="360" w:lineRule="auto"/>
              <w:ind w:firstLine="480" w:firstLineChars="200"/>
              <w:rPr>
                <w:color w:val="auto"/>
                <w:sz w:val="24"/>
              </w:rPr>
            </w:pPr>
            <w:r>
              <w:rPr>
                <w:color w:val="auto"/>
                <w:sz w:val="24"/>
              </w:rPr>
              <w:t>有效水深：5.0m；</w:t>
            </w:r>
          </w:p>
          <w:p w14:paraId="7CE26FA8">
            <w:pPr>
              <w:spacing w:line="360" w:lineRule="auto"/>
              <w:ind w:firstLine="480" w:firstLineChars="200"/>
              <w:rPr>
                <w:color w:val="auto"/>
                <w:sz w:val="24"/>
              </w:rPr>
            </w:pPr>
            <w:r>
              <w:rPr>
                <w:color w:val="auto"/>
                <w:sz w:val="24"/>
              </w:rPr>
              <w:t>HRT：1.7h；</w:t>
            </w:r>
          </w:p>
          <w:p w14:paraId="349D1222">
            <w:pPr>
              <w:spacing w:line="360" w:lineRule="auto"/>
              <w:ind w:firstLine="480" w:firstLineChars="200"/>
              <w:rPr>
                <w:color w:val="auto"/>
                <w:sz w:val="24"/>
              </w:rPr>
            </w:pPr>
            <w:r>
              <w:rPr>
                <w:color w:val="auto"/>
                <w:sz w:val="24"/>
              </w:rPr>
              <w:t>主要设备：</w:t>
            </w:r>
            <w:r>
              <w:rPr>
                <w:rFonts w:hint="eastAsia"/>
                <w:color w:val="auto"/>
                <w:sz w:val="24"/>
              </w:rPr>
              <w:t>1</w:t>
            </w:r>
            <w:r>
              <w:rPr>
                <w:color w:val="auto"/>
                <w:sz w:val="24"/>
              </w:rPr>
              <w:t>、4#巴歇尔槽，1套，304，含超声波液位计1台；</w:t>
            </w:r>
          </w:p>
          <w:p w14:paraId="639C0B15">
            <w:pPr>
              <w:spacing w:line="360" w:lineRule="auto"/>
              <w:ind w:firstLine="482" w:firstLineChars="200"/>
              <w:rPr>
                <w:b/>
                <w:color w:val="auto"/>
                <w:kern w:val="0"/>
                <w:sz w:val="24"/>
                <w:lang w:bidi="hi-IN"/>
              </w:rPr>
            </w:pPr>
            <w:r>
              <w:rPr>
                <w:rFonts w:hint="eastAsia"/>
                <w:b/>
                <w:color w:val="auto"/>
                <w:sz w:val="24"/>
              </w:rPr>
              <w:t>（</w:t>
            </w:r>
            <w:r>
              <w:rPr>
                <w:b/>
                <w:color w:val="auto"/>
                <w:sz w:val="24"/>
              </w:rPr>
              <w:t>h</w:t>
            </w:r>
            <w:r>
              <w:rPr>
                <w:rFonts w:hint="eastAsia"/>
                <w:b/>
                <w:color w:val="auto"/>
                <w:sz w:val="24"/>
              </w:rPr>
              <w:t>）污泥池</w:t>
            </w:r>
          </w:p>
          <w:p w14:paraId="5444913C">
            <w:pPr>
              <w:spacing w:line="360" w:lineRule="auto"/>
              <w:ind w:firstLine="480" w:firstLineChars="200"/>
              <w:rPr>
                <w:color w:val="auto"/>
                <w:sz w:val="24"/>
              </w:rPr>
            </w:pPr>
            <w:r>
              <w:rPr>
                <w:color w:val="auto"/>
                <w:sz w:val="24"/>
              </w:rPr>
              <w:t>结构：地下式钢砼结构；</w:t>
            </w:r>
          </w:p>
          <w:p w14:paraId="2A4CA874">
            <w:pPr>
              <w:spacing w:line="360" w:lineRule="auto"/>
              <w:ind w:firstLine="480" w:firstLineChars="200"/>
              <w:rPr>
                <w:color w:val="auto"/>
                <w:sz w:val="24"/>
              </w:rPr>
            </w:pPr>
            <w:r>
              <w:rPr>
                <w:color w:val="auto"/>
                <w:sz w:val="24"/>
              </w:rPr>
              <w:t>主要功能：收集系统污泥；</w:t>
            </w:r>
          </w:p>
          <w:p w14:paraId="33AC91CA">
            <w:pPr>
              <w:spacing w:line="360" w:lineRule="auto"/>
              <w:ind w:firstLine="480" w:firstLineChars="200"/>
              <w:rPr>
                <w:color w:val="auto"/>
                <w:sz w:val="24"/>
              </w:rPr>
            </w:pPr>
            <w:r>
              <w:rPr>
                <w:color w:val="auto"/>
                <w:sz w:val="24"/>
              </w:rPr>
              <w:t>设计尺寸：</w:t>
            </w:r>
            <w:r>
              <w:rPr>
                <w:rFonts w:hint="eastAsia"/>
                <w:color w:val="auto"/>
                <w:sz w:val="24"/>
              </w:rPr>
              <w:t>5.3</w:t>
            </w:r>
            <w:r>
              <w:rPr>
                <w:color w:val="auto"/>
                <w:sz w:val="24"/>
              </w:rPr>
              <w:t>m×</w:t>
            </w:r>
            <w:r>
              <w:rPr>
                <w:rFonts w:hint="eastAsia"/>
                <w:color w:val="auto"/>
                <w:sz w:val="24"/>
              </w:rPr>
              <w:t>8.8</w:t>
            </w:r>
            <w:r>
              <w:rPr>
                <w:color w:val="auto"/>
                <w:sz w:val="24"/>
              </w:rPr>
              <w:t>m×</w:t>
            </w:r>
            <w:r>
              <w:rPr>
                <w:rFonts w:hint="eastAsia"/>
                <w:color w:val="auto"/>
                <w:sz w:val="24"/>
              </w:rPr>
              <w:t>4</w:t>
            </w:r>
            <w:r>
              <w:rPr>
                <w:color w:val="auto"/>
                <w:sz w:val="24"/>
              </w:rPr>
              <w:t>.0m；</w:t>
            </w:r>
          </w:p>
          <w:p w14:paraId="0767241F">
            <w:pPr>
              <w:spacing w:line="360" w:lineRule="auto"/>
              <w:ind w:firstLine="480" w:firstLineChars="200"/>
              <w:rPr>
                <w:color w:val="auto"/>
                <w:sz w:val="24"/>
              </w:rPr>
            </w:pPr>
            <w:r>
              <w:rPr>
                <w:color w:val="auto"/>
                <w:sz w:val="24"/>
              </w:rPr>
              <w:t>有效容积：210m</w:t>
            </w:r>
            <w:r>
              <w:rPr>
                <w:color w:val="auto"/>
                <w:sz w:val="24"/>
                <w:vertAlign w:val="superscript"/>
              </w:rPr>
              <w:t>3</w:t>
            </w:r>
            <w:r>
              <w:rPr>
                <w:color w:val="auto"/>
                <w:sz w:val="24"/>
              </w:rPr>
              <w:t>；</w:t>
            </w:r>
          </w:p>
          <w:p w14:paraId="3355CC64">
            <w:pPr>
              <w:spacing w:line="360" w:lineRule="auto"/>
              <w:ind w:firstLine="480" w:firstLineChars="200"/>
              <w:rPr>
                <w:color w:val="auto"/>
                <w:sz w:val="24"/>
              </w:rPr>
            </w:pPr>
            <w:r>
              <w:rPr>
                <w:color w:val="auto"/>
                <w:sz w:val="24"/>
              </w:rPr>
              <w:t>有效水深：4.5m；</w:t>
            </w:r>
          </w:p>
          <w:p w14:paraId="1528E4D8">
            <w:pPr>
              <w:spacing w:line="360" w:lineRule="auto"/>
              <w:ind w:firstLine="480" w:firstLineChars="200"/>
              <w:rPr>
                <w:color w:val="auto"/>
                <w:sz w:val="24"/>
              </w:rPr>
            </w:pPr>
            <w:r>
              <w:rPr>
                <w:color w:val="auto"/>
                <w:sz w:val="24"/>
              </w:rPr>
              <w:t>主要设备 ：1、气动隔膜泵，2台，一用一备，口径3寸；</w:t>
            </w:r>
          </w:p>
          <w:p w14:paraId="5EFE069F">
            <w:pPr>
              <w:spacing w:line="360" w:lineRule="auto"/>
              <w:ind w:firstLine="480" w:firstLineChars="200"/>
              <w:rPr>
                <w:color w:val="auto"/>
                <w:sz w:val="24"/>
              </w:rPr>
            </w:pPr>
            <w:r>
              <w:rPr>
                <w:color w:val="auto"/>
                <w:sz w:val="24"/>
              </w:rPr>
              <w:t xml:space="preserve">           2、空压机，1台，N=</w:t>
            </w:r>
            <w:r>
              <w:rPr>
                <w:rFonts w:hint="eastAsia"/>
                <w:color w:val="auto"/>
                <w:sz w:val="24"/>
              </w:rPr>
              <w:t>15</w:t>
            </w:r>
            <w:r>
              <w:rPr>
                <w:color w:val="auto"/>
                <w:sz w:val="24"/>
              </w:rPr>
              <w:t>kW，含1m</w:t>
            </w:r>
            <w:r>
              <w:rPr>
                <w:color w:val="auto"/>
                <w:sz w:val="24"/>
                <w:vertAlign w:val="superscript"/>
              </w:rPr>
              <w:t>3</w:t>
            </w:r>
            <w:r>
              <w:rPr>
                <w:color w:val="auto"/>
                <w:sz w:val="24"/>
              </w:rPr>
              <w:t>储气罐1台。</w:t>
            </w:r>
          </w:p>
          <w:p w14:paraId="5990B8DC">
            <w:pPr>
              <w:spacing w:line="360" w:lineRule="auto"/>
              <w:ind w:firstLine="1920" w:firstLineChars="800"/>
              <w:rPr>
                <w:color w:val="auto"/>
                <w:sz w:val="24"/>
              </w:rPr>
            </w:pPr>
            <w:r>
              <w:rPr>
                <w:color w:val="auto"/>
                <w:sz w:val="24"/>
              </w:rPr>
              <w:t>3、液下推流搅拌机，304，1台，N=</w:t>
            </w:r>
            <w:r>
              <w:rPr>
                <w:rFonts w:hint="eastAsia"/>
                <w:color w:val="auto"/>
                <w:sz w:val="24"/>
              </w:rPr>
              <w:t>2</w:t>
            </w:r>
            <w:r>
              <w:rPr>
                <w:color w:val="auto"/>
                <w:sz w:val="24"/>
              </w:rPr>
              <w:t>.5kW；</w:t>
            </w:r>
          </w:p>
          <w:p w14:paraId="269F35A7">
            <w:pPr>
              <w:spacing w:line="360" w:lineRule="auto"/>
              <w:ind w:firstLine="1920" w:firstLineChars="800"/>
              <w:rPr>
                <w:color w:val="auto"/>
                <w:sz w:val="24"/>
              </w:rPr>
            </w:pPr>
            <w:r>
              <w:rPr>
                <w:color w:val="auto"/>
                <w:sz w:val="24"/>
              </w:rPr>
              <w:t>4、</w:t>
            </w:r>
            <w:r>
              <w:rPr>
                <w:rFonts w:hint="eastAsia"/>
                <w:color w:val="auto"/>
                <w:sz w:val="24"/>
              </w:rPr>
              <w:t>12公斤隔膜式</w:t>
            </w:r>
            <w:r>
              <w:rPr>
                <w:color w:val="auto"/>
                <w:sz w:val="24"/>
              </w:rPr>
              <w:t>板框压滤机，1台，1</w:t>
            </w:r>
            <w:r>
              <w:rPr>
                <w:rFonts w:hint="eastAsia"/>
                <w:color w:val="auto"/>
                <w:sz w:val="24"/>
              </w:rPr>
              <w:t>2</w:t>
            </w:r>
            <w:r>
              <w:rPr>
                <w:color w:val="auto"/>
                <w:sz w:val="24"/>
              </w:rPr>
              <w:t>0m</w:t>
            </w:r>
            <w:r>
              <w:rPr>
                <w:color w:val="auto"/>
                <w:sz w:val="24"/>
                <w:vertAlign w:val="superscript"/>
              </w:rPr>
              <w:t>2</w:t>
            </w:r>
            <w:r>
              <w:rPr>
                <w:color w:val="auto"/>
                <w:sz w:val="24"/>
              </w:rPr>
              <w:t>滤布，配套设备含自动拉板机和接液翻板</w:t>
            </w:r>
            <w:r>
              <w:rPr>
                <w:rFonts w:hint="eastAsia"/>
                <w:color w:val="auto"/>
                <w:sz w:val="24"/>
              </w:rPr>
              <w:t>、安装底座、储泥斗、反吹系统</w:t>
            </w:r>
            <w:r>
              <w:rPr>
                <w:color w:val="auto"/>
                <w:sz w:val="24"/>
              </w:rPr>
              <w:t>。</w:t>
            </w:r>
          </w:p>
          <w:p w14:paraId="0AE0A45B">
            <w:pPr>
              <w:spacing w:line="360" w:lineRule="auto"/>
              <w:ind w:firstLine="482" w:firstLineChars="200"/>
              <w:rPr>
                <w:b/>
                <w:color w:val="auto"/>
                <w:sz w:val="24"/>
              </w:rPr>
            </w:pPr>
            <w:r>
              <w:rPr>
                <w:rFonts w:hint="eastAsia"/>
                <w:b/>
                <w:color w:val="auto"/>
                <w:sz w:val="24"/>
              </w:rPr>
              <w:t>（</w:t>
            </w:r>
            <w:r>
              <w:rPr>
                <w:b/>
                <w:color w:val="auto"/>
                <w:sz w:val="24"/>
              </w:rPr>
              <w:t>i</w:t>
            </w:r>
            <w:r>
              <w:rPr>
                <w:rFonts w:hint="eastAsia"/>
                <w:b/>
                <w:color w:val="auto"/>
                <w:sz w:val="24"/>
              </w:rPr>
              <w:t>）应急事故池</w:t>
            </w:r>
          </w:p>
          <w:p w14:paraId="69BB51B7">
            <w:pPr>
              <w:spacing w:line="360" w:lineRule="auto"/>
              <w:ind w:firstLine="480" w:firstLineChars="200"/>
              <w:rPr>
                <w:color w:val="auto"/>
                <w:sz w:val="24"/>
              </w:rPr>
            </w:pPr>
            <w:r>
              <w:rPr>
                <w:color w:val="auto"/>
                <w:sz w:val="24"/>
              </w:rPr>
              <w:t>结构：地下式钢砼结构；</w:t>
            </w:r>
          </w:p>
          <w:p w14:paraId="27AC153E">
            <w:pPr>
              <w:spacing w:line="360" w:lineRule="auto"/>
              <w:ind w:firstLine="480" w:firstLineChars="200"/>
              <w:rPr>
                <w:color w:val="auto"/>
                <w:sz w:val="24"/>
              </w:rPr>
            </w:pPr>
            <w:r>
              <w:rPr>
                <w:color w:val="auto"/>
                <w:sz w:val="24"/>
              </w:rPr>
              <w:t>主要功能：储存废水站不达标</w:t>
            </w:r>
            <w:r>
              <w:rPr>
                <w:rFonts w:hint="eastAsia"/>
                <w:color w:val="auto"/>
                <w:sz w:val="24"/>
              </w:rPr>
              <w:t>水及</w:t>
            </w:r>
            <w:r>
              <w:rPr>
                <w:color w:val="auto"/>
                <w:sz w:val="24"/>
              </w:rPr>
              <w:t>事故水，再处理；</w:t>
            </w:r>
          </w:p>
          <w:p w14:paraId="028AB9DC">
            <w:pPr>
              <w:spacing w:line="360" w:lineRule="auto"/>
              <w:ind w:firstLine="480" w:firstLineChars="200"/>
              <w:rPr>
                <w:color w:val="auto"/>
                <w:sz w:val="24"/>
              </w:rPr>
            </w:pPr>
            <w:r>
              <w:rPr>
                <w:color w:val="auto"/>
                <w:sz w:val="24"/>
              </w:rPr>
              <w:t>工艺尺寸：</w:t>
            </w:r>
            <w:r>
              <w:rPr>
                <w:rFonts w:hint="eastAsia"/>
                <w:color w:val="auto"/>
                <w:sz w:val="24"/>
              </w:rPr>
              <w:t>14.6</w:t>
            </w:r>
            <w:r>
              <w:rPr>
                <w:color w:val="auto"/>
                <w:sz w:val="24"/>
              </w:rPr>
              <w:t>m×</w:t>
            </w:r>
            <w:r>
              <w:rPr>
                <w:rFonts w:hint="eastAsia"/>
                <w:color w:val="auto"/>
                <w:sz w:val="24"/>
              </w:rPr>
              <w:t>8.8</w:t>
            </w:r>
            <w:r>
              <w:rPr>
                <w:color w:val="auto"/>
                <w:sz w:val="24"/>
              </w:rPr>
              <w:t>m×5.0m；</w:t>
            </w:r>
          </w:p>
          <w:p w14:paraId="496E0707">
            <w:pPr>
              <w:spacing w:line="360" w:lineRule="auto"/>
              <w:ind w:firstLine="480" w:firstLineChars="200"/>
              <w:rPr>
                <w:color w:val="auto"/>
                <w:sz w:val="24"/>
              </w:rPr>
            </w:pPr>
            <w:r>
              <w:rPr>
                <w:color w:val="auto"/>
                <w:sz w:val="24"/>
              </w:rPr>
              <w:t>有效水深：4.5m；</w:t>
            </w:r>
          </w:p>
          <w:p w14:paraId="252C79A8">
            <w:pPr>
              <w:spacing w:line="360" w:lineRule="auto"/>
              <w:ind w:firstLine="480" w:firstLineChars="200"/>
              <w:rPr>
                <w:color w:val="auto"/>
                <w:sz w:val="24"/>
              </w:rPr>
            </w:pPr>
            <w:r>
              <w:rPr>
                <w:color w:val="auto"/>
                <w:sz w:val="24"/>
              </w:rPr>
              <w:t>有效池容：578m</w:t>
            </w:r>
            <w:r>
              <w:rPr>
                <w:color w:val="auto"/>
                <w:sz w:val="24"/>
                <w:vertAlign w:val="superscript"/>
              </w:rPr>
              <w:t>3</w:t>
            </w:r>
            <w:r>
              <w:rPr>
                <w:color w:val="auto"/>
                <w:sz w:val="24"/>
              </w:rPr>
              <w:t>；</w:t>
            </w:r>
          </w:p>
          <w:p w14:paraId="38FA0AB0">
            <w:pPr>
              <w:spacing w:line="360" w:lineRule="auto"/>
              <w:ind w:firstLine="480" w:firstLineChars="200"/>
              <w:rPr>
                <w:color w:val="auto"/>
                <w:sz w:val="24"/>
              </w:rPr>
            </w:pPr>
            <w:r>
              <w:rPr>
                <w:color w:val="auto"/>
                <w:sz w:val="24"/>
              </w:rPr>
              <w:t>主要设备：1、提升泵：304，潜污泵，2台，一用一备，Q=100m</w:t>
            </w:r>
            <w:r>
              <w:rPr>
                <w:color w:val="auto"/>
                <w:sz w:val="24"/>
                <w:vertAlign w:val="superscript"/>
              </w:rPr>
              <w:t>3</w:t>
            </w:r>
            <w:r>
              <w:rPr>
                <w:color w:val="auto"/>
                <w:sz w:val="24"/>
              </w:rPr>
              <w:t>/h，H=15m，N=7.5</w:t>
            </w:r>
            <w:r>
              <w:rPr>
                <w:rFonts w:hint="eastAsia"/>
                <w:color w:val="auto"/>
                <w:sz w:val="24"/>
                <w:lang w:eastAsia="zh-CN"/>
              </w:rPr>
              <w:t>kW</w:t>
            </w:r>
            <w:r>
              <w:rPr>
                <w:color w:val="auto"/>
                <w:sz w:val="24"/>
              </w:rPr>
              <w:t>；</w:t>
            </w:r>
          </w:p>
          <w:p w14:paraId="7F501522">
            <w:pPr>
              <w:spacing w:line="360" w:lineRule="auto"/>
              <w:ind w:firstLine="1680" w:firstLineChars="700"/>
              <w:rPr>
                <w:color w:val="auto"/>
                <w:sz w:val="24"/>
              </w:rPr>
            </w:pPr>
            <w:r>
              <w:rPr>
                <w:color w:val="auto"/>
                <w:sz w:val="24"/>
              </w:rPr>
              <w:t>2、浮球液位计，1套；</w:t>
            </w:r>
          </w:p>
          <w:p w14:paraId="2DA990C8">
            <w:pPr>
              <w:spacing w:line="360" w:lineRule="auto"/>
              <w:ind w:firstLine="1680" w:firstLineChars="700"/>
              <w:rPr>
                <w:color w:val="auto"/>
                <w:sz w:val="24"/>
              </w:rPr>
            </w:pPr>
            <w:r>
              <w:rPr>
                <w:color w:val="auto"/>
                <w:sz w:val="24"/>
              </w:rPr>
              <w:t>3、液下推流搅拌机，2台，304，N=3.0kW</w:t>
            </w:r>
            <w:r>
              <w:rPr>
                <w:rFonts w:hint="eastAsia"/>
                <w:color w:val="auto"/>
                <w:sz w:val="24"/>
              </w:rPr>
              <w:t>；</w:t>
            </w:r>
          </w:p>
          <w:p w14:paraId="4C180EA3">
            <w:pPr>
              <w:spacing w:line="360" w:lineRule="auto"/>
              <w:ind w:firstLine="480" w:firstLineChars="200"/>
              <w:rPr>
                <w:color w:val="auto"/>
                <w:sz w:val="24"/>
              </w:rPr>
            </w:pPr>
            <w:r>
              <w:rPr>
                <w:rFonts w:hint="eastAsia"/>
                <w:color w:val="auto"/>
                <w:sz w:val="24"/>
              </w:rPr>
              <w:t xml:space="preserve">          4、电磁流量计，1套，0-</w:t>
            </w:r>
            <w:r>
              <w:rPr>
                <w:color w:val="auto"/>
                <w:sz w:val="24"/>
              </w:rPr>
              <w:t>100</w:t>
            </w:r>
            <w:r>
              <w:rPr>
                <w:rFonts w:hint="eastAsia"/>
                <w:color w:val="auto"/>
                <w:sz w:val="24"/>
              </w:rPr>
              <w:t>m</w:t>
            </w:r>
            <w:r>
              <w:rPr>
                <w:rFonts w:hint="eastAsia"/>
                <w:color w:val="auto"/>
                <w:sz w:val="24"/>
                <w:vertAlign w:val="superscript"/>
              </w:rPr>
              <w:t>3</w:t>
            </w:r>
            <w:r>
              <w:rPr>
                <w:rFonts w:hint="eastAsia"/>
                <w:color w:val="auto"/>
                <w:sz w:val="24"/>
              </w:rPr>
              <w:t>/h。</w:t>
            </w:r>
          </w:p>
          <w:p w14:paraId="29718F21">
            <w:pPr>
              <w:spacing w:line="360" w:lineRule="auto"/>
              <w:ind w:firstLine="482" w:firstLineChars="200"/>
              <w:rPr>
                <w:b/>
                <w:color w:val="auto"/>
                <w:kern w:val="0"/>
                <w:sz w:val="24"/>
                <w:lang w:bidi="hi-IN"/>
              </w:rPr>
            </w:pPr>
            <w:r>
              <w:rPr>
                <w:rFonts w:hint="eastAsia"/>
                <w:b/>
                <w:color w:val="auto"/>
                <w:sz w:val="24"/>
              </w:rPr>
              <w:t>（j）辅助用房</w:t>
            </w:r>
          </w:p>
          <w:p w14:paraId="1971F8E0">
            <w:pPr>
              <w:spacing w:line="360" w:lineRule="auto"/>
              <w:ind w:firstLine="480" w:firstLineChars="200"/>
              <w:rPr>
                <w:color w:val="auto"/>
                <w:sz w:val="24"/>
              </w:rPr>
            </w:pPr>
            <w:r>
              <w:rPr>
                <w:color w:val="auto"/>
                <w:sz w:val="24"/>
              </w:rPr>
              <w:t>辅助用房</w:t>
            </w:r>
            <w:r>
              <w:rPr>
                <w:rFonts w:hint="eastAsia"/>
                <w:color w:val="auto"/>
                <w:sz w:val="24"/>
              </w:rPr>
              <w:t>（压滤机房、中控室、气浮间、值班室、化验室、格栅间）</w:t>
            </w:r>
            <w:r>
              <w:rPr>
                <w:color w:val="auto"/>
                <w:sz w:val="24"/>
              </w:rPr>
              <w:t>建于收集系统上部</w:t>
            </w:r>
            <w:r>
              <w:rPr>
                <w:rFonts w:hint="eastAsia"/>
                <w:color w:val="auto"/>
                <w:sz w:val="24"/>
              </w:rPr>
              <w:t>（收集系统顶部加盖）</w:t>
            </w:r>
            <w:r>
              <w:rPr>
                <w:color w:val="auto"/>
                <w:sz w:val="24"/>
              </w:rPr>
              <w:t>，</w:t>
            </w:r>
            <w:r>
              <w:rPr>
                <w:rFonts w:hint="eastAsia"/>
                <w:color w:val="auto"/>
                <w:sz w:val="24"/>
              </w:rPr>
              <w:t>其余辅助用房（风机房、空压机房）位于地面，</w:t>
            </w:r>
            <w:r>
              <w:rPr>
                <w:color w:val="auto"/>
                <w:sz w:val="24"/>
              </w:rPr>
              <w:t>采用砖混或大棚结构</w:t>
            </w:r>
            <w:r>
              <w:rPr>
                <w:rFonts w:hint="eastAsia"/>
                <w:color w:val="auto"/>
                <w:sz w:val="24"/>
              </w:rPr>
              <w:t>，具体尺寸和位置可视现场情况再行确定</w:t>
            </w:r>
            <w:r>
              <w:rPr>
                <w:color w:val="auto"/>
                <w:sz w:val="24"/>
              </w:rPr>
              <w:t>。</w:t>
            </w:r>
          </w:p>
          <w:p w14:paraId="03D24E55">
            <w:pPr>
              <w:spacing w:line="360" w:lineRule="auto"/>
              <w:ind w:firstLine="480" w:firstLineChars="200"/>
              <w:jc w:val="left"/>
              <w:rPr>
                <w:b/>
                <w:color w:val="auto"/>
                <w:sz w:val="24"/>
              </w:rPr>
            </w:pPr>
            <w:r>
              <w:rPr>
                <w:color w:val="auto"/>
                <w:sz w:val="24"/>
              </w:rPr>
              <w:fldChar w:fldCharType="begin"/>
            </w:r>
            <w:r>
              <w:rPr>
                <w:color w:val="auto"/>
                <w:sz w:val="24"/>
              </w:rPr>
              <w:instrText xml:space="preserve"> </w:instrText>
            </w:r>
            <w:r>
              <w:rPr>
                <w:rFonts w:hint="eastAsia"/>
                <w:color w:val="auto"/>
                <w:sz w:val="24"/>
              </w:rPr>
              <w:instrText xml:space="preserve">= 3 \* GB3</w:instrText>
            </w:r>
            <w:r>
              <w:rPr>
                <w:color w:val="auto"/>
                <w:sz w:val="24"/>
              </w:rPr>
              <w:instrText xml:space="preserve"> </w:instrText>
            </w:r>
            <w:r>
              <w:rPr>
                <w:color w:val="auto"/>
                <w:sz w:val="24"/>
              </w:rPr>
              <w:fldChar w:fldCharType="separate"/>
            </w:r>
            <w:r>
              <w:rPr>
                <w:rFonts w:hint="eastAsia"/>
                <w:color w:val="auto"/>
                <w:sz w:val="24"/>
              </w:rPr>
              <w:t>③</w:t>
            </w:r>
            <w:r>
              <w:rPr>
                <w:color w:val="auto"/>
                <w:sz w:val="24"/>
              </w:rPr>
              <w:fldChar w:fldCharType="end"/>
            </w:r>
            <w:r>
              <w:rPr>
                <w:rFonts w:hint="eastAsia"/>
                <w:color w:val="auto"/>
                <w:sz w:val="24"/>
                <w:lang w:val="en-US" w:eastAsia="zh-CN"/>
              </w:rPr>
              <w:t>依托</w:t>
            </w:r>
            <w:r>
              <w:rPr>
                <w:rFonts w:hint="eastAsia"/>
                <w:color w:val="auto"/>
                <w:sz w:val="24"/>
              </w:rPr>
              <w:t>可行性</w:t>
            </w:r>
            <w:r>
              <w:rPr>
                <w:color w:val="auto"/>
                <w:sz w:val="24"/>
              </w:rPr>
              <w:t>分析</w:t>
            </w:r>
          </w:p>
          <w:p w14:paraId="2FE27023">
            <w:pPr>
              <w:numPr>
                <w:ilvl w:val="0"/>
                <w:numId w:val="9"/>
              </w:numPr>
              <w:spacing w:line="360" w:lineRule="auto"/>
              <w:jc w:val="left"/>
              <w:rPr>
                <w:b/>
                <w:color w:val="auto"/>
                <w:sz w:val="24"/>
              </w:rPr>
            </w:pPr>
            <w:r>
              <w:rPr>
                <w:color w:val="auto"/>
                <w:sz w:val="24"/>
              </w:rPr>
              <w:t>处理能力可行性分析</w:t>
            </w:r>
          </w:p>
          <w:p w14:paraId="35E9D1E1">
            <w:pPr>
              <w:spacing w:line="360" w:lineRule="auto"/>
              <w:ind w:firstLine="480" w:firstLineChars="200"/>
              <w:rPr>
                <w:color w:val="auto"/>
                <w:sz w:val="24"/>
              </w:rPr>
            </w:pPr>
            <w:r>
              <w:rPr>
                <w:color w:val="auto"/>
                <w:sz w:val="24"/>
              </w:rPr>
              <w:t>厂内综合污水处理站设计处理能力为1600t/d，</w:t>
            </w:r>
            <w:r>
              <w:rPr>
                <w:rFonts w:hint="eastAsia"/>
                <w:color w:val="auto"/>
                <w:sz w:val="24"/>
                <w:lang w:val="en-US" w:eastAsia="zh-CN"/>
              </w:rPr>
              <w:t>根据现有项目验收情况</w:t>
            </w:r>
            <w:r>
              <w:rPr>
                <w:color w:val="auto"/>
                <w:sz w:val="24"/>
              </w:rPr>
              <w:t>本项目排入污水处理站处理的</w:t>
            </w:r>
            <w:r>
              <w:rPr>
                <w:rFonts w:hint="eastAsia"/>
                <w:color w:val="auto"/>
                <w:sz w:val="24"/>
                <w:lang w:eastAsia="zh-CN"/>
              </w:rPr>
              <w:t>综合</w:t>
            </w:r>
            <w:r>
              <w:rPr>
                <w:color w:val="auto"/>
                <w:sz w:val="24"/>
              </w:rPr>
              <w:t>废水总计</w:t>
            </w:r>
            <w:r>
              <w:rPr>
                <w:rFonts w:hint="eastAsia"/>
                <w:color w:val="auto"/>
                <w:sz w:val="24"/>
                <w:lang w:val="en-US" w:eastAsia="zh-CN"/>
              </w:rPr>
              <w:t>148530</w:t>
            </w:r>
            <w:r>
              <w:rPr>
                <w:color w:val="auto"/>
                <w:sz w:val="24"/>
              </w:rPr>
              <w:t>t/a（</w:t>
            </w:r>
            <w:r>
              <w:rPr>
                <w:rFonts w:hint="eastAsia"/>
                <w:color w:val="auto"/>
                <w:sz w:val="24"/>
                <w:lang w:val="en-US" w:eastAsia="zh-CN"/>
              </w:rPr>
              <w:t>406.9</w:t>
            </w:r>
            <w:r>
              <w:rPr>
                <w:color w:val="auto"/>
                <w:sz w:val="24"/>
              </w:rPr>
              <w:t>t/d）。</w:t>
            </w:r>
            <w:r>
              <w:rPr>
                <w:rFonts w:hint="eastAsia"/>
                <w:color w:val="auto"/>
                <w:sz w:val="24"/>
                <w:lang w:val="en-US" w:eastAsia="zh-CN"/>
              </w:rPr>
              <w:t>剩余1193.1t/d的处理能力足够处理扩建项目每天产生的废水，据目前分析，扩建项目每天产生废水量约406.9t。</w:t>
            </w:r>
            <w:r>
              <w:rPr>
                <w:color w:val="auto"/>
                <w:sz w:val="24"/>
              </w:rPr>
              <w:t>综上，</w:t>
            </w:r>
            <w:r>
              <w:rPr>
                <w:rFonts w:hint="eastAsia"/>
                <w:color w:val="auto"/>
                <w:sz w:val="24"/>
                <w:lang w:val="en-US" w:eastAsia="zh-CN"/>
              </w:rPr>
              <w:t>扩建</w:t>
            </w:r>
            <w:r>
              <w:rPr>
                <w:color w:val="auto"/>
                <w:sz w:val="24"/>
              </w:rPr>
              <w:t>项目生产废水</w:t>
            </w:r>
            <w:r>
              <w:rPr>
                <w:rFonts w:hint="eastAsia"/>
                <w:color w:val="auto"/>
                <w:sz w:val="24"/>
                <w:lang w:val="en-US" w:eastAsia="zh-CN"/>
              </w:rPr>
              <w:t>可依托现有</w:t>
            </w:r>
            <w:r>
              <w:rPr>
                <w:color w:val="auto"/>
                <w:sz w:val="24"/>
              </w:rPr>
              <w:t>污水处理系统。</w:t>
            </w:r>
          </w:p>
          <w:p w14:paraId="61E306BD">
            <w:pPr>
              <w:numPr>
                <w:ilvl w:val="0"/>
                <w:numId w:val="9"/>
              </w:numPr>
              <w:spacing w:line="360" w:lineRule="auto"/>
              <w:rPr>
                <w:b/>
                <w:color w:val="auto"/>
                <w:sz w:val="24"/>
              </w:rPr>
            </w:pPr>
            <w:r>
              <w:rPr>
                <w:color w:val="auto"/>
                <w:sz w:val="24"/>
              </w:rPr>
              <w:t>处理工艺可行性分析</w:t>
            </w:r>
          </w:p>
          <w:p w14:paraId="61052744">
            <w:pPr>
              <w:spacing w:line="360" w:lineRule="auto"/>
              <w:ind w:firstLine="480" w:firstLineChars="200"/>
              <w:rPr>
                <w:color w:val="auto"/>
                <w:sz w:val="24"/>
              </w:rPr>
            </w:pPr>
            <w:r>
              <w:rPr>
                <w:rFonts w:hint="eastAsia"/>
                <w:color w:val="auto"/>
                <w:sz w:val="24"/>
              </w:rPr>
              <w:t>混凝气浮池：根据《污水气浮处理工程技术规范》（HJ 2007-2010）：“气浮是指通过某种方法产生大量微气泡，粘附水中悬浮和脱稳胶体颗粒，在水中上浮完成固液分离的一种过程。气浮工艺处理对象为疏水性悬浮物（SS）及脱稳胶体颗粒，原水SS浓度可以高达5000~10000mg/L。气浮出水SS一般可小于20~30mg/L。”</w:t>
            </w:r>
          </w:p>
          <w:p w14:paraId="43C8253E">
            <w:pPr>
              <w:spacing w:line="360" w:lineRule="auto"/>
              <w:ind w:firstLine="480" w:firstLineChars="200"/>
              <w:rPr>
                <w:color w:val="auto"/>
                <w:sz w:val="24"/>
              </w:rPr>
            </w:pPr>
            <w:r>
              <w:rPr>
                <w:rFonts w:hint="eastAsia"/>
                <w:color w:val="auto"/>
                <w:sz w:val="24"/>
              </w:rPr>
              <w:t>水解酸化池：根据《水解酸化反应器污水处理工程技术规范》（HJ 2047-2015）：“水解酸化是指将厌氧生物反应控制在水解和酸化阶段，利用厌氧或兼性菌在水解和酸化阶段的作用，将污水中悬浮性有机固体和难生物降解的大分子物质（包括碳水化合物、脂肪和脂类等）水解成溶解性有机物和易生物降解的小分子物质，小分子有机物再</w:t>
            </w:r>
            <w:r>
              <w:rPr>
                <w:rFonts w:hint="eastAsia"/>
                <w:color w:val="auto"/>
                <w:sz w:val="24"/>
                <w:lang w:eastAsia="zh-CN"/>
              </w:rPr>
              <w:t>在</w:t>
            </w:r>
            <w:r>
              <w:rPr>
                <w:rFonts w:hint="eastAsia"/>
                <w:color w:val="auto"/>
                <w:sz w:val="24"/>
              </w:rPr>
              <w:t>酸化菌作用下转化成挥发性脂肪酸的污水处理装置。进水水质可生化性较好，非溶解性COD比例&gt;60%时，SS去除效率可达50%~80%、COD</w:t>
            </w:r>
            <w:r>
              <w:rPr>
                <w:rFonts w:hint="eastAsia"/>
                <w:color w:val="auto"/>
                <w:sz w:val="24"/>
                <w:vertAlign w:val="subscript"/>
              </w:rPr>
              <w:t>Cr</w:t>
            </w:r>
            <w:r>
              <w:rPr>
                <w:rFonts w:hint="eastAsia"/>
                <w:color w:val="auto"/>
                <w:sz w:val="24"/>
              </w:rPr>
              <w:t>去除效率可达30%~50%、BOD5去除效率可达20%~40%；</w:t>
            </w:r>
            <w:r>
              <w:rPr>
                <w:rFonts w:hint="eastAsia"/>
                <w:color w:val="auto"/>
                <w:sz w:val="24"/>
              </w:rPr>
              <w:br w:type="textWrapping"/>
            </w:r>
            <w:r>
              <w:rPr>
                <w:rFonts w:hint="eastAsia"/>
                <w:color w:val="auto"/>
                <w:sz w:val="24"/>
              </w:rPr>
              <w:t>进水水质可生化性一般，非溶解性COD比例30%~60%时，SS去除效率可达30%~50%、COD</w:t>
            </w:r>
            <w:r>
              <w:rPr>
                <w:rFonts w:hint="eastAsia"/>
                <w:color w:val="auto"/>
                <w:sz w:val="24"/>
                <w:vertAlign w:val="subscript"/>
              </w:rPr>
              <w:t>Cr</w:t>
            </w:r>
            <w:r>
              <w:rPr>
                <w:rFonts w:hint="eastAsia"/>
                <w:color w:val="auto"/>
                <w:sz w:val="24"/>
              </w:rPr>
              <w:t>去除效率可达10%~30%、BOD</w:t>
            </w:r>
            <w:r>
              <w:rPr>
                <w:rFonts w:hint="eastAsia"/>
                <w:color w:val="auto"/>
                <w:sz w:val="24"/>
                <w:vertAlign w:val="subscript"/>
              </w:rPr>
              <w:t>5</w:t>
            </w:r>
            <w:r>
              <w:rPr>
                <w:rFonts w:hint="eastAsia"/>
                <w:color w:val="auto"/>
                <w:sz w:val="24"/>
              </w:rPr>
              <w:t>去除效率可达10%~20%；</w:t>
            </w:r>
            <w:r>
              <w:rPr>
                <w:rFonts w:hint="eastAsia"/>
                <w:color w:val="auto"/>
                <w:sz w:val="24"/>
              </w:rPr>
              <w:br w:type="textWrapping"/>
            </w:r>
            <w:r>
              <w:rPr>
                <w:rFonts w:hint="eastAsia"/>
                <w:color w:val="auto"/>
                <w:sz w:val="24"/>
              </w:rPr>
              <w:t>进水水质可生化性较差，非溶解性COD比例&lt;30%时，SS去除效率可达30%~50%、COD</w:t>
            </w:r>
            <w:r>
              <w:rPr>
                <w:rFonts w:hint="eastAsia"/>
                <w:color w:val="auto"/>
                <w:sz w:val="24"/>
                <w:vertAlign w:val="subscript"/>
              </w:rPr>
              <w:t>Cr</w:t>
            </w:r>
            <w:r>
              <w:rPr>
                <w:rFonts w:hint="eastAsia"/>
                <w:color w:val="auto"/>
                <w:sz w:val="24"/>
              </w:rPr>
              <w:t>去除效率10%以下、BOD</w:t>
            </w:r>
            <w:r>
              <w:rPr>
                <w:rFonts w:hint="eastAsia"/>
                <w:color w:val="auto"/>
                <w:sz w:val="24"/>
                <w:vertAlign w:val="subscript"/>
              </w:rPr>
              <w:t>5</w:t>
            </w:r>
            <w:r>
              <w:rPr>
                <w:rFonts w:hint="eastAsia"/>
                <w:color w:val="auto"/>
                <w:sz w:val="24"/>
              </w:rPr>
              <w:t>去除效率10%以下。”</w:t>
            </w:r>
          </w:p>
          <w:p w14:paraId="0D5A7B2F">
            <w:pPr>
              <w:spacing w:line="360" w:lineRule="auto"/>
              <w:ind w:firstLine="480" w:firstLineChars="200"/>
              <w:rPr>
                <w:color w:val="auto"/>
                <w:sz w:val="24"/>
              </w:rPr>
            </w:pPr>
            <w:r>
              <w:rPr>
                <w:rFonts w:hint="eastAsia"/>
                <w:color w:val="auto"/>
                <w:sz w:val="24"/>
              </w:rPr>
              <w:t>接触氧化池：根据《生物接触氧化法污水处理工程技术规范》（H</w:t>
            </w:r>
            <w:r>
              <w:rPr>
                <w:color w:val="auto"/>
                <w:sz w:val="24"/>
              </w:rPr>
              <w:t>J2009-2011</w:t>
            </w:r>
            <w:r>
              <w:rPr>
                <w:rFonts w:hint="eastAsia"/>
                <w:color w:val="auto"/>
                <w:sz w:val="24"/>
              </w:rPr>
              <w:t>）:“生物接触氧化法指一种好氧生物膜污水处理方法，该系统浸没于污水中的填料、填料表面的生物膜、曝气系统和池体构成。在有氧条件下，污水与固着在填料表面的生物膜充分接触，通过生物降解作用去除污水中的有机物、营养盐等，使污水得到净化。处理城镇污水时污染物去除效率分别为：COD</w:t>
            </w:r>
            <w:r>
              <w:rPr>
                <w:rFonts w:hint="eastAsia"/>
                <w:color w:val="auto"/>
                <w:sz w:val="24"/>
                <w:vertAlign w:val="subscript"/>
              </w:rPr>
              <w:t>Cr</w:t>
            </w:r>
            <w:r>
              <w:rPr>
                <w:color w:val="auto"/>
                <w:sz w:val="24"/>
              </w:rPr>
              <w:t>80</w:t>
            </w:r>
            <w:r>
              <w:rPr>
                <w:rFonts w:hint="eastAsia"/>
                <w:color w:val="auto"/>
                <w:sz w:val="24"/>
              </w:rPr>
              <w:t>~90%、BOD</w:t>
            </w:r>
            <w:r>
              <w:rPr>
                <w:rFonts w:hint="eastAsia"/>
                <w:color w:val="auto"/>
                <w:sz w:val="24"/>
                <w:vertAlign w:val="subscript"/>
              </w:rPr>
              <w:t>5</w:t>
            </w:r>
            <w:r>
              <w:rPr>
                <w:rFonts w:hint="eastAsia"/>
                <w:color w:val="auto"/>
                <w:sz w:val="24"/>
              </w:rPr>
              <w:t>为80~95%、SS为</w:t>
            </w:r>
            <w:r>
              <w:rPr>
                <w:color w:val="auto"/>
                <w:sz w:val="24"/>
              </w:rPr>
              <w:t>70</w:t>
            </w:r>
            <w:r>
              <w:rPr>
                <w:rFonts w:hint="eastAsia"/>
                <w:color w:val="auto"/>
                <w:sz w:val="24"/>
              </w:rPr>
              <w:t>~9</w:t>
            </w:r>
            <w:r>
              <w:rPr>
                <w:color w:val="auto"/>
                <w:sz w:val="24"/>
              </w:rPr>
              <w:t>0</w:t>
            </w:r>
            <w:r>
              <w:rPr>
                <w:rFonts w:hint="eastAsia"/>
                <w:color w:val="auto"/>
                <w:sz w:val="24"/>
              </w:rPr>
              <w:t>%、氨氮为</w:t>
            </w:r>
            <w:r>
              <w:rPr>
                <w:color w:val="auto"/>
                <w:sz w:val="24"/>
              </w:rPr>
              <w:t>60</w:t>
            </w:r>
            <w:r>
              <w:rPr>
                <w:rFonts w:hint="eastAsia"/>
                <w:color w:val="auto"/>
                <w:sz w:val="24"/>
              </w:rPr>
              <w:t>~9</w:t>
            </w:r>
            <w:r>
              <w:rPr>
                <w:color w:val="auto"/>
                <w:sz w:val="24"/>
              </w:rPr>
              <w:t>0</w:t>
            </w:r>
            <w:r>
              <w:rPr>
                <w:rFonts w:hint="eastAsia"/>
                <w:color w:val="auto"/>
                <w:sz w:val="24"/>
              </w:rPr>
              <w:t>%、总氮为</w:t>
            </w:r>
            <w:r>
              <w:rPr>
                <w:color w:val="auto"/>
                <w:sz w:val="24"/>
              </w:rPr>
              <w:t>50</w:t>
            </w:r>
            <w:r>
              <w:rPr>
                <w:rFonts w:hint="eastAsia"/>
                <w:color w:val="auto"/>
                <w:sz w:val="24"/>
              </w:rPr>
              <w:t>~8</w:t>
            </w:r>
            <w:r>
              <w:rPr>
                <w:color w:val="auto"/>
                <w:sz w:val="24"/>
              </w:rPr>
              <w:t>0</w:t>
            </w:r>
            <w:r>
              <w:rPr>
                <w:rFonts w:hint="eastAsia"/>
                <w:color w:val="auto"/>
                <w:sz w:val="24"/>
              </w:rPr>
              <w:t>%；处理工业污水时污染物去除效率分别为：COD</w:t>
            </w:r>
            <w:r>
              <w:rPr>
                <w:rFonts w:hint="eastAsia"/>
                <w:color w:val="auto"/>
                <w:sz w:val="24"/>
                <w:vertAlign w:val="subscript"/>
              </w:rPr>
              <w:t>Cr</w:t>
            </w:r>
            <w:r>
              <w:rPr>
                <w:color w:val="auto"/>
                <w:sz w:val="24"/>
              </w:rPr>
              <w:t>6</w:t>
            </w:r>
            <w:r>
              <w:rPr>
                <w:rFonts w:hint="eastAsia"/>
                <w:color w:val="auto"/>
                <w:sz w:val="24"/>
              </w:rPr>
              <w:t>0~90%、BOD</w:t>
            </w:r>
            <w:r>
              <w:rPr>
                <w:rFonts w:hint="eastAsia"/>
                <w:color w:val="auto"/>
                <w:sz w:val="24"/>
                <w:vertAlign w:val="subscript"/>
              </w:rPr>
              <w:t>5</w:t>
            </w:r>
            <w:r>
              <w:rPr>
                <w:rFonts w:hint="eastAsia"/>
                <w:color w:val="auto"/>
                <w:sz w:val="24"/>
              </w:rPr>
              <w:t>为70~9</w:t>
            </w:r>
            <w:r>
              <w:rPr>
                <w:color w:val="auto"/>
                <w:sz w:val="24"/>
              </w:rPr>
              <w:t>5</w:t>
            </w:r>
            <w:r>
              <w:rPr>
                <w:rFonts w:hint="eastAsia"/>
                <w:color w:val="auto"/>
                <w:sz w:val="24"/>
              </w:rPr>
              <w:t>%、SS为70~90%、氨氮为</w:t>
            </w:r>
            <w:r>
              <w:rPr>
                <w:color w:val="auto"/>
                <w:sz w:val="24"/>
              </w:rPr>
              <w:t>50</w:t>
            </w:r>
            <w:r>
              <w:rPr>
                <w:rFonts w:hint="eastAsia"/>
                <w:color w:val="auto"/>
                <w:sz w:val="24"/>
              </w:rPr>
              <w:t>~</w:t>
            </w:r>
            <w:r>
              <w:rPr>
                <w:color w:val="auto"/>
                <w:sz w:val="24"/>
              </w:rPr>
              <w:t>80</w:t>
            </w:r>
            <w:r>
              <w:rPr>
                <w:rFonts w:hint="eastAsia"/>
                <w:color w:val="auto"/>
                <w:sz w:val="24"/>
              </w:rPr>
              <w:t>%、总氮为</w:t>
            </w:r>
            <w:r>
              <w:rPr>
                <w:color w:val="auto"/>
                <w:sz w:val="24"/>
              </w:rPr>
              <w:t>4</w:t>
            </w:r>
            <w:r>
              <w:rPr>
                <w:rFonts w:hint="eastAsia"/>
                <w:color w:val="auto"/>
                <w:sz w:val="24"/>
              </w:rPr>
              <w:t>0~80%。”</w:t>
            </w:r>
          </w:p>
          <w:p w14:paraId="1ECEB9DD">
            <w:pPr>
              <w:spacing w:line="360" w:lineRule="auto"/>
              <w:ind w:firstLine="480" w:firstLineChars="200"/>
              <w:rPr>
                <w:b/>
                <w:color w:val="auto"/>
                <w:sz w:val="24"/>
              </w:rPr>
            </w:pPr>
            <w:r>
              <w:rPr>
                <w:color w:val="auto"/>
                <w:sz w:val="24"/>
              </w:rPr>
              <w:t>厂内污水处理站处理工艺分级处理效率详见表4-1</w:t>
            </w:r>
            <w:r>
              <w:rPr>
                <w:rFonts w:hint="eastAsia"/>
                <w:color w:val="auto"/>
                <w:sz w:val="24"/>
                <w:lang w:val="en-US" w:eastAsia="zh-CN"/>
              </w:rPr>
              <w:t>5</w:t>
            </w:r>
            <w:r>
              <w:rPr>
                <w:color w:val="auto"/>
                <w:sz w:val="24"/>
              </w:rPr>
              <w:t>。</w:t>
            </w:r>
          </w:p>
          <w:p w14:paraId="007BD92A">
            <w:pPr>
              <w:jc w:val="center"/>
              <w:rPr>
                <w:b/>
                <w:color w:val="auto"/>
                <w:sz w:val="24"/>
              </w:rPr>
            </w:pPr>
            <w:r>
              <w:rPr>
                <w:b/>
                <w:color w:val="auto"/>
                <w:sz w:val="24"/>
              </w:rPr>
              <w:t>表4-1</w:t>
            </w:r>
            <w:r>
              <w:rPr>
                <w:rFonts w:hint="eastAsia"/>
                <w:b/>
                <w:color w:val="auto"/>
                <w:sz w:val="24"/>
                <w:lang w:val="en-US" w:eastAsia="zh-CN"/>
              </w:rPr>
              <w:t>5</w:t>
            </w:r>
            <w:r>
              <w:rPr>
                <w:b/>
                <w:color w:val="auto"/>
                <w:sz w:val="24"/>
              </w:rPr>
              <w:t xml:space="preserve"> 污水处理系统工艺分级处理情况一览表</w:t>
            </w:r>
          </w:p>
          <w:tbl>
            <w:tblPr>
              <w:tblStyle w:val="32"/>
              <w:tblW w:w="819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88"/>
              <w:gridCol w:w="1142"/>
              <w:gridCol w:w="956"/>
              <w:gridCol w:w="792"/>
              <w:gridCol w:w="769"/>
              <w:gridCol w:w="726"/>
              <w:gridCol w:w="638"/>
              <w:gridCol w:w="667"/>
              <w:gridCol w:w="638"/>
              <w:gridCol w:w="638"/>
              <w:gridCol w:w="638"/>
            </w:tblGrid>
            <w:tr w14:paraId="65BF26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359" w:type="pct"/>
                  <w:tcBorders>
                    <w:top w:val="single" w:color="auto" w:sz="12" w:space="0"/>
                    <w:bottom w:val="single" w:color="auto" w:sz="12" w:space="0"/>
                  </w:tcBorders>
                  <w:shd w:val="clear" w:color="auto" w:fill="auto"/>
                  <w:noWrap/>
                  <w:vAlign w:val="center"/>
                </w:tcPr>
                <w:p w14:paraId="4BB1475E">
                  <w:pPr>
                    <w:widowControl/>
                    <w:jc w:val="center"/>
                    <w:rPr>
                      <w:b/>
                      <w:bCs/>
                      <w:color w:val="auto"/>
                      <w:kern w:val="0"/>
                      <w:szCs w:val="21"/>
                    </w:rPr>
                  </w:pPr>
                  <w:r>
                    <w:rPr>
                      <w:b/>
                      <w:bCs/>
                      <w:color w:val="auto"/>
                      <w:kern w:val="0"/>
                      <w:szCs w:val="21"/>
                    </w:rPr>
                    <w:t>序号</w:t>
                  </w:r>
                </w:p>
              </w:tc>
              <w:tc>
                <w:tcPr>
                  <w:tcW w:w="697" w:type="pct"/>
                  <w:tcBorders>
                    <w:top w:val="single" w:color="auto" w:sz="12" w:space="0"/>
                    <w:bottom w:val="single" w:color="auto" w:sz="12" w:space="0"/>
                  </w:tcBorders>
                  <w:shd w:val="clear" w:color="auto" w:fill="auto"/>
                  <w:noWrap/>
                  <w:vAlign w:val="center"/>
                </w:tcPr>
                <w:p w14:paraId="2D311CBB">
                  <w:pPr>
                    <w:widowControl/>
                    <w:jc w:val="center"/>
                    <w:rPr>
                      <w:b/>
                      <w:bCs/>
                      <w:color w:val="auto"/>
                      <w:kern w:val="0"/>
                      <w:szCs w:val="21"/>
                    </w:rPr>
                  </w:pPr>
                  <w:r>
                    <w:rPr>
                      <w:b/>
                      <w:bCs/>
                      <w:color w:val="auto"/>
                      <w:kern w:val="0"/>
                      <w:szCs w:val="21"/>
                    </w:rPr>
                    <w:t>设施名称</w:t>
                  </w:r>
                </w:p>
              </w:tc>
              <w:tc>
                <w:tcPr>
                  <w:tcW w:w="583" w:type="pct"/>
                  <w:tcBorders>
                    <w:top w:val="single" w:color="auto" w:sz="12" w:space="0"/>
                    <w:bottom w:val="single" w:color="auto" w:sz="12" w:space="0"/>
                  </w:tcBorders>
                  <w:shd w:val="clear" w:color="auto" w:fill="auto"/>
                  <w:noWrap/>
                  <w:vAlign w:val="center"/>
                </w:tcPr>
                <w:p w14:paraId="5B457632">
                  <w:pPr>
                    <w:widowControl/>
                    <w:jc w:val="center"/>
                    <w:rPr>
                      <w:b/>
                      <w:bCs/>
                      <w:color w:val="auto"/>
                      <w:kern w:val="0"/>
                      <w:szCs w:val="21"/>
                    </w:rPr>
                  </w:pPr>
                  <w:r>
                    <w:rPr>
                      <w:b/>
                      <w:bCs/>
                      <w:color w:val="auto"/>
                      <w:kern w:val="0"/>
                      <w:szCs w:val="21"/>
                    </w:rPr>
                    <w:t>项目</w:t>
                  </w:r>
                </w:p>
              </w:tc>
              <w:tc>
                <w:tcPr>
                  <w:tcW w:w="483" w:type="pct"/>
                  <w:tcBorders>
                    <w:top w:val="single" w:color="auto" w:sz="12" w:space="0"/>
                    <w:bottom w:val="single" w:color="auto" w:sz="12" w:space="0"/>
                  </w:tcBorders>
                  <w:vAlign w:val="center"/>
                </w:tcPr>
                <w:p w14:paraId="77131254">
                  <w:pPr>
                    <w:widowControl/>
                    <w:jc w:val="center"/>
                    <w:rPr>
                      <w:b/>
                      <w:bCs/>
                      <w:color w:val="auto"/>
                      <w:kern w:val="0"/>
                      <w:szCs w:val="21"/>
                    </w:rPr>
                  </w:pPr>
                  <w:r>
                    <w:rPr>
                      <w:b/>
                      <w:bCs/>
                      <w:color w:val="auto"/>
                      <w:kern w:val="0"/>
                      <w:szCs w:val="21"/>
                    </w:rPr>
                    <w:t>CODcr</w:t>
                  </w:r>
                </w:p>
                <w:p w14:paraId="661CED48">
                  <w:pPr>
                    <w:widowControl/>
                    <w:jc w:val="center"/>
                    <w:rPr>
                      <w:b/>
                      <w:bCs/>
                      <w:color w:val="auto"/>
                      <w:kern w:val="0"/>
                      <w:szCs w:val="21"/>
                    </w:rPr>
                  </w:pPr>
                  <w:r>
                    <w:rPr>
                      <w:b/>
                      <w:bCs/>
                      <w:color w:val="auto"/>
                      <w:kern w:val="0"/>
                      <w:szCs w:val="21"/>
                    </w:rPr>
                    <w:t>mg/L</w:t>
                  </w:r>
                </w:p>
              </w:tc>
              <w:tc>
                <w:tcPr>
                  <w:tcW w:w="469" w:type="pct"/>
                  <w:tcBorders>
                    <w:top w:val="single" w:color="auto" w:sz="12" w:space="0"/>
                    <w:bottom w:val="single" w:color="auto" w:sz="12" w:space="0"/>
                  </w:tcBorders>
                  <w:vAlign w:val="center"/>
                </w:tcPr>
                <w:p w14:paraId="1B0A82E4">
                  <w:pPr>
                    <w:widowControl/>
                    <w:jc w:val="center"/>
                    <w:rPr>
                      <w:b/>
                      <w:bCs/>
                      <w:color w:val="auto"/>
                      <w:kern w:val="0"/>
                      <w:szCs w:val="21"/>
                    </w:rPr>
                  </w:pPr>
                  <w:r>
                    <w:rPr>
                      <w:b/>
                      <w:bCs/>
                      <w:color w:val="auto"/>
                      <w:kern w:val="0"/>
                      <w:szCs w:val="21"/>
                    </w:rPr>
                    <w:t>BOD</w:t>
                  </w:r>
                  <w:r>
                    <w:rPr>
                      <w:b/>
                      <w:bCs/>
                      <w:color w:val="auto"/>
                      <w:kern w:val="0"/>
                      <w:szCs w:val="21"/>
                      <w:vertAlign w:val="subscript"/>
                    </w:rPr>
                    <w:t>5</w:t>
                  </w:r>
                </w:p>
                <w:p w14:paraId="51A4E5C9">
                  <w:pPr>
                    <w:widowControl/>
                    <w:jc w:val="center"/>
                    <w:rPr>
                      <w:b/>
                      <w:bCs/>
                      <w:color w:val="auto"/>
                      <w:kern w:val="0"/>
                      <w:szCs w:val="21"/>
                    </w:rPr>
                  </w:pPr>
                  <w:r>
                    <w:rPr>
                      <w:b/>
                      <w:bCs/>
                      <w:color w:val="auto"/>
                      <w:kern w:val="0"/>
                      <w:szCs w:val="21"/>
                    </w:rPr>
                    <w:t>mg/L</w:t>
                  </w:r>
                </w:p>
              </w:tc>
              <w:tc>
                <w:tcPr>
                  <w:tcW w:w="443" w:type="pct"/>
                  <w:tcBorders>
                    <w:top w:val="single" w:color="auto" w:sz="12" w:space="0"/>
                    <w:bottom w:val="single" w:color="auto" w:sz="12" w:space="0"/>
                  </w:tcBorders>
                  <w:shd w:val="clear" w:color="auto" w:fill="auto"/>
                  <w:vAlign w:val="center"/>
                </w:tcPr>
                <w:p w14:paraId="51E359E1">
                  <w:pPr>
                    <w:widowControl/>
                    <w:jc w:val="center"/>
                    <w:rPr>
                      <w:b/>
                      <w:bCs/>
                      <w:color w:val="auto"/>
                      <w:kern w:val="0"/>
                      <w:szCs w:val="21"/>
                    </w:rPr>
                  </w:pPr>
                  <w:r>
                    <w:rPr>
                      <w:b/>
                      <w:bCs/>
                      <w:color w:val="auto"/>
                      <w:kern w:val="0"/>
                      <w:szCs w:val="21"/>
                    </w:rPr>
                    <w:t>SS</w:t>
                  </w:r>
                </w:p>
                <w:p w14:paraId="7F4ADDA1">
                  <w:pPr>
                    <w:widowControl/>
                    <w:jc w:val="center"/>
                    <w:rPr>
                      <w:b/>
                      <w:bCs/>
                      <w:color w:val="auto"/>
                      <w:kern w:val="0"/>
                      <w:szCs w:val="21"/>
                    </w:rPr>
                  </w:pPr>
                  <w:r>
                    <w:rPr>
                      <w:b/>
                      <w:bCs/>
                      <w:color w:val="auto"/>
                      <w:kern w:val="0"/>
                      <w:szCs w:val="21"/>
                    </w:rPr>
                    <w:t>mg/L</w:t>
                  </w:r>
                </w:p>
              </w:tc>
              <w:tc>
                <w:tcPr>
                  <w:tcW w:w="389" w:type="pct"/>
                  <w:tcBorders>
                    <w:top w:val="single" w:color="auto" w:sz="12" w:space="0"/>
                    <w:bottom w:val="single" w:color="auto" w:sz="12" w:space="0"/>
                  </w:tcBorders>
                  <w:shd w:val="clear" w:color="auto" w:fill="auto"/>
                  <w:vAlign w:val="center"/>
                </w:tcPr>
                <w:p w14:paraId="16EA8EF7">
                  <w:pPr>
                    <w:widowControl/>
                    <w:jc w:val="center"/>
                    <w:rPr>
                      <w:b/>
                      <w:bCs/>
                      <w:color w:val="auto"/>
                      <w:kern w:val="0"/>
                      <w:szCs w:val="21"/>
                    </w:rPr>
                  </w:pPr>
                  <w:r>
                    <w:rPr>
                      <w:b/>
                      <w:bCs/>
                      <w:color w:val="auto"/>
                      <w:kern w:val="0"/>
                      <w:szCs w:val="21"/>
                    </w:rPr>
                    <w:t>氨氮</w:t>
                  </w:r>
                </w:p>
                <w:p w14:paraId="2882DFF7">
                  <w:pPr>
                    <w:widowControl/>
                    <w:jc w:val="center"/>
                    <w:rPr>
                      <w:b/>
                      <w:bCs/>
                      <w:color w:val="auto"/>
                      <w:kern w:val="0"/>
                      <w:szCs w:val="21"/>
                    </w:rPr>
                  </w:pPr>
                  <w:r>
                    <w:rPr>
                      <w:b/>
                      <w:bCs/>
                      <w:color w:val="auto"/>
                      <w:kern w:val="0"/>
                      <w:szCs w:val="21"/>
                    </w:rPr>
                    <w:t>mg/L</w:t>
                  </w:r>
                </w:p>
              </w:tc>
              <w:tc>
                <w:tcPr>
                  <w:tcW w:w="407" w:type="pct"/>
                  <w:tcBorders>
                    <w:top w:val="single" w:color="auto" w:sz="12" w:space="0"/>
                    <w:bottom w:val="single" w:color="auto" w:sz="12" w:space="0"/>
                  </w:tcBorders>
                  <w:shd w:val="clear" w:color="auto" w:fill="auto"/>
                  <w:vAlign w:val="center"/>
                </w:tcPr>
                <w:p w14:paraId="29DA58CB">
                  <w:pPr>
                    <w:widowControl/>
                    <w:jc w:val="center"/>
                    <w:rPr>
                      <w:b/>
                      <w:bCs/>
                      <w:color w:val="auto"/>
                      <w:kern w:val="0"/>
                      <w:szCs w:val="21"/>
                    </w:rPr>
                  </w:pPr>
                  <w:r>
                    <w:rPr>
                      <w:b/>
                      <w:bCs/>
                      <w:color w:val="auto"/>
                      <w:kern w:val="0"/>
                      <w:szCs w:val="21"/>
                    </w:rPr>
                    <w:t>总氮mg/L</w:t>
                  </w:r>
                </w:p>
              </w:tc>
              <w:tc>
                <w:tcPr>
                  <w:tcW w:w="389" w:type="pct"/>
                  <w:tcBorders>
                    <w:top w:val="single" w:color="auto" w:sz="12" w:space="0"/>
                    <w:bottom w:val="single" w:color="auto" w:sz="12" w:space="0"/>
                  </w:tcBorders>
                  <w:shd w:val="clear" w:color="auto" w:fill="auto"/>
                  <w:vAlign w:val="center"/>
                </w:tcPr>
                <w:p w14:paraId="2B21F048">
                  <w:pPr>
                    <w:widowControl/>
                    <w:jc w:val="center"/>
                    <w:rPr>
                      <w:b/>
                      <w:bCs/>
                      <w:color w:val="auto"/>
                      <w:kern w:val="0"/>
                      <w:szCs w:val="21"/>
                    </w:rPr>
                  </w:pPr>
                  <w:r>
                    <w:rPr>
                      <w:b/>
                      <w:bCs/>
                      <w:color w:val="auto"/>
                      <w:kern w:val="0"/>
                      <w:szCs w:val="21"/>
                    </w:rPr>
                    <w:t>总磷</w:t>
                  </w:r>
                </w:p>
                <w:p w14:paraId="4C0E391A">
                  <w:pPr>
                    <w:widowControl/>
                    <w:jc w:val="center"/>
                    <w:rPr>
                      <w:b/>
                      <w:bCs/>
                      <w:color w:val="auto"/>
                      <w:kern w:val="0"/>
                      <w:szCs w:val="21"/>
                    </w:rPr>
                  </w:pPr>
                  <w:r>
                    <w:rPr>
                      <w:b/>
                      <w:bCs/>
                      <w:color w:val="auto"/>
                      <w:kern w:val="0"/>
                      <w:szCs w:val="21"/>
                    </w:rPr>
                    <w:t>mg/L</w:t>
                  </w:r>
                </w:p>
              </w:tc>
              <w:tc>
                <w:tcPr>
                  <w:tcW w:w="389" w:type="pct"/>
                  <w:tcBorders>
                    <w:top w:val="single" w:color="auto" w:sz="12" w:space="0"/>
                    <w:bottom w:val="single" w:color="auto" w:sz="12" w:space="0"/>
                  </w:tcBorders>
                  <w:vAlign w:val="center"/>
                </w:tcPr>
                <w:p w14:paraId="277DD557">
                  <w:pPr>
                    <w:widowControl/>
                    <w:jc w:val="center"/>
                    <w:rPr>
                      <w:b/>
                      <w:bCs/>
                      <w:color w:val="auto"/>
                      <w:kern w:val="0"/>
                      <w:szCs w:val="21"/>
                    </w:rPr>
                  </w:pPr>
                  <w:r>
                    <w:rPr>
                      <w:b/>
                      <w:bCs/>
                      <w:color w:val="auto"/>
                      <w:kern w:val="0"/>
                      <w:szCs w:val="21"/>
                    </w:rPr>
                    <w:t>动植物油</w:t>
                  </w:r>
                </w:p>
                <w:p w14:paraId="175F87A9">
                  <w:pPr>
                    <w:widowControl/>
                    <w:jc w:val="center"/>
                    <w:rPr>
                      <w:b/>
                      <w:bCs/>
                      <w:color w:val="auto"/>
                      <w:kern w:val="0"/>
                      <w:szCs w:val="21"/>
                    </w:rPr>
                  </w:pPr>
                  <w:r>
                    <w:rPr>
                      <w:b/>
                      <w:bCs/>
                      <w:color w:val="auto"/>
                      <w:kern w:val="0"/>
                      <w:szCs w:val="21"/>
                    </w:rPr>
                    <w:t>mg/L</w:t>
                  </w:r>
                </w:p>
              </w:tc>
              <w:tc>
                <w:tcPr>
                  <w:tcW w:w="389" w:type="pct"/>
                  <w:tcBorders>
                    <w:top w:val="single" w:color="auto" w:sz="12" w:space="0"/>
                    <w:bottom w:val="single" w:color="auto" w:sz="12" w:space="0"/>
                  </w:tcBorders>
                  <w:shd w:val="clear" w:color="auto" w:fill="auto"/>
                  <w:vAlign w:val="center"/>
                </w:tcPr>
                <w:p w14:paraId="01635BB5">
                  <w:pPr>
                    <w:widowControl/>
                    <w:jc w:val="center"/>
                    <w:rPr>
                      <w:b/>
                      <w:bCs/>
                      <w:color w:val="auto"/>
                      <w:kern w:val="0"/>
                      <w:szCs w:val="21"/>
                    </w:rPr>
                  </w:pPr>
                  <w:r>
                    <w:rPr>
                      <w:b/>
                      <w:bCs/>
                      <w:color w:val="auto"/>
                      <w:kern w:val="0"/>
                      <w:szCs w:val="21"/>
                    </w:rPr>
                    <w:t>LAS</w:t>
                  </w:r>
                </w:p>
                <w:p w14:paraId="10A1A5FB">
                  <w:pPr>
                    <w:widowControl/>
                    <w:jc w:val="center"/>
                    <w:rPr>
                      <w:b/>
                      <w:bCs/>
                      <w:color w:val="auto"/>
                      <w:kern w:val="0"/>
                      <w:szCs w:val="21"/>
                    </w:rPr>
                  </w:pPr>
                  <w:r>
                    <w:rPr>
                      <w:b/>
                      <w:bCs/>
                      <w:color w:val="auto"/>
                      <w:kern w:val="0"/>
                      <w:szCs w:val="21"/>
                    </w:rPr>
                    <w:t>mg/L</w:t>
                  </w:r>
                </w:p>
              </w:tc>
            </w:tr>
            <w:tr w14:paraId="634A15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359" w:type="pct"/>
                  <w:vMerge w:val="restart"/>
                  <w:tcBorders>
                    <w:top w:val="single" w:color="auto" w:sz="12" w:space="0"/>
                  </w:tcBorders>
                  <w:shd w:val="clear" w:color="auto" w:fill="auto"/>
                  <w:noWrap/>
                  <w:vAlign w:val="center"/>
                </w:tcPr>
                <w:p w14:paraId="10398F2C">
                  <w:pPr>
                    <w:widowControl/>
                    <w:jc w:val="center"/>
                    <w:rPr>
                      <w:color w:val="auto"/>
                      <w:kern w:val="0"/>
                      <w:szCs w:val="21"/>
                    </w:rPr>
                  </w:pPr>
                  <w:r>
                    <w:rPr>
                      <w:color w:val="auto"/>
                      <w:kern w:val="0"/>
                      <w:szCs w:val="21"/>
                    </w:rPr>
                    <w:t>1</w:t>
                  </w:r>
                </w:p>
              </w:tc>
              <w:tc>
                <w:tcPr>
                  <w:tcW w:w="697" w:type="pct"/>
                  <w:vMerge w:val="restart"/>
                  <w:tcBorders>
                    <w:top w:val="single" w:color="auto" w:sz="12" w:space="0"/>
                  </w:tcBorders>
                  <w:shd w:val="clear" w:color="auto" w:fill="auto"/>
                  <w:noWrap/>
                  <w:vAlign w:val="center"/>
                </w:tcPr>
                <w:p w14:paraId="4267BF3E">
                  <w:pPr>
                    <w:widowControl/>
                    <w:jc w:val="center"/>
                    <w:rPr>
                      <w:color w:val="auto"/>
                      <w:kern w:val="0"/>
                      <w:szCs w:val="21"/>
                    </w:rPr>
                  </w:pPr>
                  <w:r>
                    <w:rPr>
                      <w:color w:val="auto"/>
                      <w:kern w:val="0"/>
                      <w:szCs w:val="21"/>
                    </w:rPr>
                    <w:t>混凝气浮池</w:t>
                  </w:r>
                </w:p>
              </w:tc>
              <w:tc>
                <w:tcPr>
                  <w:tcW w:w="583" w:type="pct"/>
                  <w:tcBorders>
                    <w:top w:val="single" w:color="auto" w:sz="12" w:space="0"/>
                  </w:tcBorders>
                  <w:shd w:val="clear" w:color="auto" w:fill="auto"/>
                  <w:noWrap/>
                  <w:vAlign w:val="center"/>
                </w:tcPr>
                <w:p w14:paraId="06100111">
                  <w:pPr>
                    <w:widowControl/>
                    <w:jc w:val="center"/>
                    <w:rPr>
                      <w:color w:val="auto"/>
                      <w:kern w:val="0"/>
                      <w:szCs w:val="21"/>
                    </w:rPr>
                  </w:pPr>
                  <w:r>
                    <w:rPr>
                      <w:color w:val="auto"/>
                      <w:kern w:val="0"/>
                      <w:szCs w:val="21"/>
                    </w:rPr>
                    <w:t>进水浓度</w:t>
                  </w:r>
                </w:p>
              </w:tc>
              <w:tc>
                <w:tcPr>
                  <w:tcW w:w="483" w:type="pct"/>
                  <w:tcBorders>
                    <w:top w:val="single" w:color="auto" w:sz="12" w:space="0"/>
                  </w:tcBorders>
                  <w:vAlign w:val="center"/>
                </w:tcPr>
                <w:p w14:paraId="42C64002">
                  <w:pPr>
                    <w:widowControl/>
                    <w:jc w:val="center"/>
                    <w:rPr>
                      <w:rFonts w:eastAsia="等线"/>
                      <w:color w:val="auto"/>
                      <w:szCs w:val="21"/>
                    </w:rPr>
                  </w:pPr>
                  <w:r>
                    <w:rPr>
                      <w:rFonts w:hint="eastAsia" w:eastAsia="等线"/>
                      <w:color w:val="auto"/>
                      <w:szCs w:val="21"/>
                    </w:rPr>
                    <w:t>491.81</w:t>
                  </w:r>
                </w:p>
              </w:tc>
              <w:tc>
                <w:tcPr>
                  <w:tcW w:w="469" w:type="pct"/>
                  <w:tcBorders>
                    <w:top w:val="single" w:color="auto" w:sz="12" w:space="0"/>
                  </w:tcBorders>
                  <w:vAlign w:val="center"/>
                </w:tcPr>
                <w:p w14:paraId="6E92BD48">
                  <w:pPr>
                    <w:widowControl/>
                    <w:jc w:val="center"/>
                    <w:rPr>
                      <w:rFonts w:eastAsia="等线"/>
                      <w:color w:val="auto"/>
                      <w:szCs w:val="21"/>
                    </w:rPr>
                  </w:pPr>
                  <w:r>
                    <w:rPr>
                      <w:rFonts w:hint="eastAsia" w:eastAsia="等线"/>
                      <w:color w:val="auto"/>
                      <w:szCs w:val="21"/>
                    </w:rPr>
                    <w:t>299.98</w:t>
                  </w:r>
                </w:p>
              </w:tc>
              <w:tc>
                <w:tcPr>
                  <w:tcW w:w="443" w:type="pct"/>
                  <w:tcBorders>
                    <w:top w:val="single" w:color="auto" w:sz="12" w:space="0"/>
                  </w:tcBorders>
                  <w:shd w:val="clear" w:color="auto" w:fill="auto"/>
                  <w:noWrap/>
                  <w:vAlign w:val="center"/>
                </w:tcPr>
                <w:p w14:paraId="7DC01FF3">
                  <w:pPr>
                    <w:jc w:val="center"/>
                    <w:rPr>
                      <w:rFonts w:eastAsia="等线"/>
                      <w:color w:val="auto"/>
                      <w:szCs w:val="21"/>
                    </w:rPr>
                  </w:pPr>
                  <w:r>
                    <w:rPr>
                      <w:rFonts w:hint="eastAsia" w:eastAsia="等线"/>
                      <w:color w:val="auto"/>
                      <w:szCs w:val="21"/>
                    </w:rPr>
                    <w:t>498.54</w:t>
                  </w:r>
                </w:p>
              </w:tc>
              <w:tc>
                <w:tcPr>
                  <w:tcW w:w="389" w:type="pct"/>
                  <w:tcBorders>
                    <w:top w:val="single" w:color="auto" w:sz="12" w:space="0"/>
                  </w:tcBorders>
                  <w:shd w:val="clear" w:color="auto" w:fill="auto"/>
                  <w:noWrap/>
                  <w:vAlign w:val="center"/>
                </w:tcPr>
                <w:p w14:paraId="27EB773A">
                  <w:pPr>
                    <w:jc w:val="center"/>
                    <w:rPr>
                      <w:rFonts w:eastAsia="等线"/>
                      <w:color w:val="auto"/>
                      <w:szCs w:val="21"/>
                    </w:rPr>
                  </w:pPr>
                  <w:r>
                    <w:rPr>
                      <w:rFonts w:hint="eastAsia" w:eastAsia="等线"/>
                      <w:color w:val="auto"/>
                      <w:szCs w:val="21"/>
                    </w:rPr>
                    <w:t>7.00</w:t>
                  </w:r>
                </w:p>
              </w:tc>
              <w:tc>
                <w:tcPr>
                  <w:tcW w:w="407" w:type="pct"/>
                  <w:tcBorders>
                    <w:top w:val="single" w:color="auto" w:sz="12" w:space="0"/>
                  </w:tcBorders>
                  <w:shd w:val="clear" w:color="auto" w:fill="auto"/>
                  <w:noWrap/>
                  <w:vAlign w:val="center"/>
                </w:tcPr>
                <w:p w14:paraId="186F0C15">
                  <w:pPr>
                    <w:jc w:val="center"/>
                    <w:rPr>
                      <w:rFonts w:eastAsia="等线"/>
                      <w:color w:val="auto"/>
                      <w:szCs w:val="21"/>
                    </w:rPr>
                  </w:pPr>
                  <w:r>
                    <w:rPr>
                      <w:rFonts w:hint="eastAsia" w:eastAsia="等线"/>
                      <w:color w:val="auto"/>
                      <w:szCs w:val="21"/>
                    </w:rPr>
                    <w:t>14.73</w:t>
                  </w:r>
                </w:p>
              </w:tc>
              <w:tc>
                <w:tcPr>
                  <w:tcW w:w="389" w:type="pct"/>
                  <w:tcBorders>
                    <w:top w:val="single" w:color="auto" w:sz="12" w:space="0"/>
                  </w:tcBorders>
                  <w:shd w:val="clear" w:color="auto" w:fill="auto"/>
                  <w:vAlign w:val="center"/>
                </w:tcPr>
                <w:p w14:paraId="54C68D0A">
                  <w:pPr>
                    <w:jc w:val="center"/>
                    <w:rPr>
                      <w:rFonts w:eastAsia="等线"/>
                      <w:color w:val="auto"/>
                      <w:szCs w:val="21"/>
                    </w:rPr>
                  </w:pPr>
                  <w:r>
                    <w:rPr>
                      <w:rFonts w:hint="eastAsia" w:eastAsia="等线"/>
                      <w:color w:val="auto"/>
                      <w:szCs w:val="21"/>
                    </w:rPr>
                    <w:t>3.09</w:t>
                  </w:r>
                </w:p>
              </w:tc>
              <w:tc>
                <w:tcPr>
                  <w:tcW w:w="389" w:type="pct"/>
                  <w:tcBorders>
                    <w:top w:val="single" w:color="auto" w:sz="12" w:space="0"/>
                  </w:tcBorders>
                  <w:vAlign w:val="center"/>
                </w:tcPr>
                <w:p w14:paraId="40E8F128">
                  <w:pPr>
                    <w:jc w:val="center"/>
                    <w:rPr>
                      <w:rFonts w:eastAsia="等线"/>
                      <w:color w:val="auto"/>
                      <w:szCs w:val="21"/>
                    </w:rPr>
                  </w:pPr>
                  <w:r>
                    <w:rPr>
                      <w:rFonts w:hint="eastAsia" w:eastAsia="等线"/>
                      <w:color w:val="auto"/>
                      <w:szCs w:val="21"/>
                    </w:rPr>
                    <w:t>1.12</w:t>
                  </w:r>
                </w:p>
              </w:tc>
              <w:tc>
                <w:tcPr>
                  <w:tcW w:w="389" w:type="pct"/>
                  <w:tcBorders>
                    <w:top w:val="single" w:color="auto" w:sz="12" w:space="0"/>
                  </w:tcBorders>
                  <w:shd w:val="clear" w:color="auto" w:fill="auto"/>
                  <w:noWrap/>
                  <w:vAlign w:val="center"/>
                </w:tcPr>
                <w:p w14:paraId="4A160D67">
                  <w:pPr>
                    <w:jc w:val="center"/>
                    <w:rPr>
                      <w:rFonts w:eastAsia="等线"/>
                      <w:color w:val="auto"/>
                      <w:szCs w:val="21"/>
                    </w:rPr>
                  </w:pPr>
                  <w:r>
                    <w:rPr>
                      <w:rFonts w:hint="eastAsia" w:eastAsia="等线"/>
                      <w:color w:val="auto"/>
                      <w:szCs w:val="21"/>
                    </w:rPr>
                    <w:t>2.82</w:t>
                  </w:r>
                </w:p>
              </w:tc>
            </w:tr>
            <w:tr w14:paraId="049DCC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359" w:type="pct"/>
                  <w:vMerge w:val="continue"/>
                  <w:vAlign w:val="center"/>
                </w:tcPr>
                <w:p w14:paraId="768CE6E9">
                  <w:pPr>
                    <w:widowControl/>
                    <w:jc w:val="center"/>
                    <w:rPr>
                      <w:color w:val="auto"/>
                      <w:kern w:val="0"/>
                      <w:szCs w:val="21"/>
                    </w:rPr>
                  </w:pPr>
                </w:p>
              </w:tc>
              <w:tc>
                <w:tcPr>
                  <w:tcW w:w="697" w:type="pct"/>
                  <w:vMerge w:val="continue"/>
                  <w:vAlign w:val="center"/>
                </w:tcPr>
                <w:p w14:paraId="5C513A9E">
                  <w:pPr>
                    <w:widowControl/>
                    <w:jc w:val="center"/>
                    <w:rPr>
                      <w:color w:val="auto"/>
                      <w:kern w:val="0"/>
                      <w:szCs w:val="21"/>
                    </w:rPr>
                  </w:pPr>
                </w:p>
              </w:tc>
              <w:tc>
                <w:tcPr>
                  <w:tcW w:w="583" w:type="pct"/>
                  <w:shd w:val="clear" w:color="auto" w:fill="auto"/>
                  <w:noWrap/>
                  <w:vAlign w:val="center"/>
                </w:tcPr>
                <w:p w14:paraId="7B4B857A">
                  <w:pPr>
                    <w:widowControl/>
                    <w:jc w:val="center"/>
                    <w:rPr>
                      <w:color w:val="auto"/>
                      <w:kern w:val="0"/>
                      <w:szCs w:val="21"/>
                    </w:rPr>
                  </w:pPr>
                  <w:r>
                    <w:rPr>
                      <w:color w:val="auto"/>
                      <w:kern w:val="0"/>
                      <w:szCs w:val="21"/>
                    </w:rPr>
                    <w:t>出水浓度</w:t>
                  </w:r>
                </w:p>
              </w:tc>
              <w:tc>
                <w:tcPr>
                  <w:tcW w:w="483" w:type="pct"/>
                  <w:vAlign w:val="center"/>
                </w:tcPr>
                <w:p w14:paraId="5F19B097">
                  <w:pPr>
                    <w:widowControl/>
                    <w:jc w:val="center"/>
                    <w:rPr>
                      <w:rFonts w:eastAsia="等线"/>
                      <w:color w:val="auto"/>
                      <w:szCs w:val="21"/>
                    </w:rPr>
                  </w:pPr>
                  <w:r>
                    <w:rPr>
                      <w:rFonts w:hint="eastAsia" w:eastAsia="等线"/>
                      <w:color w:val="auto"/>
                      <w:szCs w:val="21"/>
                    </w:rPr>
                    <w:t>418.04</w:t>
                  </w:r>
                </w:p>
              </w:tc>
              <w:tc>
                <w:tcPr>
                  <w:tcW w:w="469" w:type="pct"/>
                  <w:vAlign w:val="center"/>
                </w:tcPr>
                <w:p w14:paraId="4F4577DE">
                  <w:pPr>
                    <w:widowControl/>
                    <w:jc w:val="center"/>
                    <w:rPr>
                      <w:rFonts w:eastAsia="等线"/>
                      <w:color w:val="auto"/>
                      <w:szCs w:val="21"/>
                    </w:rPr>
                  </w:pPr>
                  <w:r>
                    <w:rPr>
                      <w:rFonts w:hint="eastAsia" w:eastAsia="等线"/>
                      <w:color w:val="auto"/>
                      <w:szCs w:val="21"/>
                    </w:rPr>
                    <w:t>269.98</w:t>
                  </w:r>
                </w:p>
              </w:tc>
              <w:tc>
                <w:tcPr>
                  <w:tcW w:w="443" w:type="pct"/>
                  <w:shd w:val="clear" w:color="auto" w:fill="auto"/>
                  <w:noWrap/>
                  <w:vAlign w:val="center"/>
                </w:tcPr>
                <w:p w14:paraId="5EE31929">
                  <w:pPr>
                    <w:jc w:val="center"/>
                    <w:rPr>
                      <w:rFonts w:eastAsia="等线"/>
                      <w:color w:val="auto"/>
                      <w:szCs w:val="21"/>
                    </w:rPr>
                  </w:pPr>
                  <w:r>
                    <w:rPr>
                      <w:rFonts w:hint="eastAsia" w:eastAsia="等线"/>
                      <w:color w:val="auto"/>
                      <w:szCs w:val="21"/>
                    </w:rPr>
                    <w:t>99.71</w:t>
                  </w:r>
                </w:p>
              </w:tc>
              <w:tc>
                <w:tcPr>
                  <w:tcW w:w="389" w:type="pct"/>
                  <w:shd w:val="clear" w:color="auto" w:fill="auto"/>
                  <w:noWrap/>
                  <w:vAlign w:val="center"/>
                </w:tcPr>
                <w:p w14:paraId="1BE3ED0C">
                  <w:pPr>
                    <w:jc w:val="center"/>
                    <w:rPr>
                      <w:rFonts w:eastAsia="等线"/>
                      <w:color w:val="auto"/>
                      <w:szCs w:val="21"/>
                    </w:rPr>
                  </w:pPr>
                  <w:r>
                    <w:rPr>
                      <w:rFonts w:hint="eastAsia" w:eastAsia="等线"/>
                      <w:color w:val="auto"/>
                      <w:szCs w:val="21"/>
                    </w:rPr>
                    <w:t>7.00</w:t>
                  </w:r>
                </w:p>
              </w:tc>
              <w:tc>
                <w:tcPr>
                  <w:tcW w:w="407" w:type="pct"/>
                  <w:shd w:val="clear" w:color="auto" w:fill="auto"/>
                  <w:noWrap/>
                  <w:vAlign w:val="center"/>
                </w:tcPr>
                <w:p w14:paraId="1D0714CD">
                  <w:pPr>
                    <w:jc w:val="center"/>
                    <w:rPr>
                      <w:rFonts w:eastAsia="等线"/>
                      <w:color w:val="auto"/>
                      <w:szCs w:val="21"/>
                    </w:rPr>
                  </w:pPr>
                  <w:r>
                    <w:rPr>
                      <w:rFonts w:hint="eastAsia" w:eastAsia="等线"/>
                      <w:color w:val="auto"/>
                      <w:szCs w:val="21"/>
                    </w:rPr>
                    <w:t>14.73</w:t>
                  </w:r>
                </w:p>
              </w:tc>
              <w:tc>
                <w:tcPr>
                  <w:tcW w:w="389" w:type="pct"/>
                  <w:shd w:val="clear" w:color="auto" w:fill="auto"/>
                  <w:vAlign w:val="center"/>
                </w:tcPr>
                <w:p w14:paraId="28A5BA0F">
                  <w:pPr>
                    <w:jc w:val="center"/>
                    <w:rPr>
                      <w:rFonts w:eastAsia="等线"/>
                      <w:color w:val="auto"/>
                      <w:szCs w:val="21"/>
                    </w:rPr>
                  </w:pPr>
                  <w:r>
                    <w:rPr>
                      <w:rFonts w:hint="eastAsia" w:eastAsia="等线"/>
                      <w:color w:val="auto"/>
                      <w:szCs w:val="21"/>
                    </w:rPr>
                    <w:t>1.24</w:t>
                  </w:r>
                </w:p>
              </w:tc>
              <w:tc>
                <w:tcPr>
                  <w:tcW w:w="389" w:type="pct"/>
                  <w:vAlign w:val="center"/>
                </w:tcPr>
                <w:p w14:paraId="49CC9B32">
                  <w:pPr>
                    <w:jc w:val="center"/>
                    <w:rPr>
                      <w:rFonts w:eastAsia="等线"/>
                      <w:color w:val="auto"/>
                      <w:szCs w:val="21"/>
                    </w:rPr>
                  </w:pPr>
                  <w:r>
                    <w:rPr>
                      <w:rFonts w:hint="eastAsia" w:eastAsia="等线"/>
                      <w:color w:val="auto"/>
                      <w:szCs w:val="21"/>
                    </w:rPr>
                    <w:t>0.22</w:t>
                  </w:r>
                </w:p>
              </w:tc>
              <w:tc>
                <w:tcPr>
                  <w:tcW w:w="389" w:type="pct"/>
                  <w:shd w:val="clear" w:color="auto" w:fill="auto"/>
                  <w:noWrap/>
                  <w:vAlign w:val="center"/>
                </w:tcPr>
                <w:p w14:paraId="5B9946A4">
                  <w:pPr>
                    <w:jc w:val="center"/>
                    <w:rPr>
                      <w:rFonts w:eastAsia="等线"/>
                      <w:color w:val="auto"/>
                      <w:szCs w:val="21"/>
                    </w:rPr>
                  </w:pPr>
                  <w:r>
                    <w:rPr>
                      <w:rFonts w:hint="eastAsia" w:eastAsia="等线"/>
                      <w:color w:val="auto"/>
                      <w:szCs w:val="21"/>
                    </w:rPr>
                    <w:t>0.56</w:t>
                  </w:r>
                </w:p>
              </w:tc>
            </w:tr>
            <w:tr w14:paraId="4FE770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359" w:type="pct"/>
                  <w:vMerge w:val="continue"/>
                  <w:vAlign w:val="center"/>
                </w:tcPr>
                <w:p w14:paraId="24A70E30">
                  <w:pPr>
                    <w:widowControl/>
                    <w:jc w:val="center"/>
                    <w:rPr>
                      <w:color w:val="auto"/>
                      <w:kern w:val="0"/>
                      <w:szCs w:val="21"/>
                    </w:rPr>
                  </w:pPr>
                </w:p>
              </w:tc>
              <w:tc>
                <w:tcPr>
                  <w:tcW w:w="697" w:type="pct"/>
                  <w:vMerge w:val="continue"/>
                  <w:vAlign w:val="center"/>
                </w:tcPr>
                <w:p w14:paraId="7B6D3CFB">
                  <w:pPr>
                    <w:widowControl/>
                    <w:jc w:val="center"/>
                    <w:rPr>
                      <w:color w:val="auto"/>
                      <w:kern w:val="0"/>
                      <w:szCs w:val="21"/>
                    </w:rPr>
                  </w:pPr>
                </w:p>
              </w:tc>
              <w:tc>
                <w:tcPr>
                  <w:tcW w:w="583" w:type="pct"/>
                  <w:shd w:val="clear" w:color="auto" w:fill="auto"/>
                  <w:noWrap/>
                  <w:vAlign w:val="center"/>
                </w:tcPr>
                <w:p w14:paraId="281054F5">
                  <w:pPr>
                    <w:widowControl/>
                    <w:jc w:val="center"/>
                    <w:rPr>
                      <w:color w:val="auto"/>
                      <w:kern w:val="0"/>
                      <w:szCs w:val="21"/>
                    </w:rPr>
                  </w:pPr>
                  <w:r>
                    <w:rPr>
                      <w:color w:val="auto"/>
                      <w:kern w:val="0"/>
                      <w:szCs w:val="21"/>
                    </w:rPr>
                    <w:t>去除率</w:t>
                  </w:r>
                </w:p>
              </w:tc>
              <w:tc>
                <w:tcPr>
                  <w:tcW w:w="483" w:type="pct"/>
                  <w:vAlign w:val="center"/>
                </w:tcPr>
                <w:p w14:paraId="07D53290">
                  <w:pPr>
                    <w:widowControl/>
                    <w:jc w:val="center"/>
                    <w:rPr>
                      <w:rFonts w:eastAsia="等线"/>
                      <w:color w:val="auto"/>
                      <w:szCs w:val="21"/>
                    </w:rPr>
                  </w:pPr>
                  <w:r>
                    <w:rPr>
                      <w:rFonts w:eastAsia="等线"/>
                      <w:color w:val="auto"/>
                      <w:szCs w:val="21"/>
                    </w:rPr>
                    <w:t>15</w:t>
                  </w:r>
                  <w:r>
                    <w:rPr>
                      <w:rFonts w:hint="eastAsia" w:eastAsia="等线"/>
                      <w:color w:val="auto"/>
                      <w:szCs w:val="21"/>
                    </w:rPr>
                    <w:t>%</w:t>
                  </w:r>
                </w:p>
              </w:tc>
              <w:tc>
                <w:tcPr>
                  <w:tcW w:w="469" w:type="pct"/>
                  <w:vAlign w:val="center"/>
                </w:tcPr>
                <w:p w14:paraId="2241B996">
                  <w:pPr>
                    <w:widowControl/>
                    <w:jc w:val="center"/>
                    <w:rPr>
                      <w:rFonts w:eastAsia="等线"/>
                      <w:color w:val="auto"/>
                      <w:szCs w:val="21"/>
                    </w:rPr>
                  </w:pPr>
                  <w:r>
                    <w:rPr>
                      <w:rFonts w:hint="eastAsia" w:eastAsia="等线"/>
                      <w:color w:val="auto"/>
                      <w:szCs w:val="21"/>
                    </w:rPr>
                    <w:t>1</w:t>
                  </w:r>
                  <w:r>
                    <w:rPr>
                      <w:rFonts w:eastAsia="等线"/>
                      <w:color w:val="auto"/>
                      <w:szCs w:val="21"/>
                    </w:rPr>
                    <w:t>0</w:t>
                  </w:r>
                  <w:r>
                    <w:rPr>
                      <w:rFonts w:hint="eastAsia" w:eastAsia="等线"/>
                      <w:color w:val="auto"/>
                      <w:szCs w:val="21"/>
                    </w:rPr>
                    <w:t>%</w:t>
                  </w:r>
                </w:p>
              </w:tc>
              <w:tc>
                <w:tcPr>
                  <w:tcW w:w="443" w:type="pct"/>
                  <w:shd w:val="clear" w:color="auto" w:fill="auto"/>
                  <w:noWrap/>
                  <w:vAlign w:val="center"/>
                </w:tcPr>
                <w:p w14:paraId="2619C1D1">
                  <w:pPr>
                    <w:widowControl/>
                    <w:jc w:val="center"/>
                    <w:rPr>
                      <w:rFonts w:eastAsia="等线"/>
                      <w:color w:val="auto"/>
                      <w:szCs w:val="21"/>
                    </w:rPr>
                  </w:pPr>
                  <w:r>
                    <w:rPr>
                      <w:rFonts w:eastAsia="等线"/>
                      <w:color w:val="auto"/>
                      <w:szCs w:val="21"/>
                    </w:rPr>
                    <w:t>80</w:t>
                  </w:r>
                  <w:r>
                    <w:rPr>
                      <w:rFonts w:hint="eastAsia" w:eastAsia="等线"/>
                      <w:color w:val="auto"/>
                      <w:szCs w:val="21"/>
                    </w:rPr>
                    <w:t>%</w:t>
                  </w:r>
                </w:p>
              </w:tc>
              <w:tc>
                <w:tcPr>
                  <w:tcW w:w="389" w:type="pct"/>
                  <w:shd w:val="clear" w:color="auto" w:fill="auto"/>
                  <w:noWrap/>
                  <w:vAlign w:val="center"/>
                </w:tcPr>
                <w:p w14:paraId="08A17510">
                  <w:pPr>
                    <w:widowControl/>
                    <w:jc w:val="center"/>
                    <w:rPr>
                      <w:rFonts w:eastAsia="等线"/>
                      <w:color w:val="auto"/>
                      <w:szCs w:val="21"/>
                    </w:rPr>
                  </w:pPr>
                  <w:r>
                    <w:rPr>
                      <w:rFonts w:eastAsia="等线"/>
                      <w:color w:val="auto"/>
                      <w:szCs w:val="21"/>
                    </w:rPr>
                    <w:t>-</w:t>
                  </w:r>
                </w:p>
              </w:tc>
              <w:tc>
                <w:tcPr>
                  <w:tcW w:w="407" w:type="pct"/>
                  <w:shd w:val="clear" w:color="auto" w:fill="auto"/>
                  <w:noWrap/>
                  <w:vAlign w:val="center"/>
                </w:tcPr>
                <w:p w14:paraId="7E10A3B1">
                  <w:pPr>
                    <w:widowControl/>
                    <w:jc w:val="center"/>
                    <w:rPr>
                      <w:rFonts w:eastAsia="等线"/>
                      <w:color w:val="auto"/>
                      <w:szCs w:val="21"/>
                    </w:rPr>
                  </w:pPr>
                  <w:r>
                    <w:rPr>
                      <w:rFonts w:eastAsia="等线"/>
                      <w:color w:val="auto"/>
                      <w:szCs w:val="21"/>
                    </w:rPr>
                    <w:t>-</w:t>
                  </w:r>
                </w:p>
              </w:tc>
              <w:tc>
                <w:tcPr>
                  <w:tcW w:w="389" w:type="pct"/>
                  <w:shd w:val="clear" w:color="auto" w:fill="auto"/>
                  <w:vAlign w:val="center"/>
                </w:tcPr>
                <w:p w14:paraId="7EA1B7FF">
                  <w:pPr>
                    <w:widowControl/>
                    <w:jc w:val="center"/>
                    <w:rPr>
                      <w:rFonts w:eastAsia="等线"/>
                      <w:color w:val="auto"/>
                      <w:szCs w:val="21"/>
                    </w:rPr>
                  </w:pPr>
                  <w:r>
                    <w:rPr>
                      <w:rFonts w:eastAsia="等线"/>
                      <w:color w:val="auto"/>
                      <w:szCs w:val="21"/>
                    </w:rPr>
                    <w:t>60</w:t>
                  </w:r>
                  <w:r>
                    <w:rPr>
                      <w:rFonts w:hint="eastAsia" w:eastAsia="等线"/>
                      <w:color w:val="auto"/>
                      <w:szCs w:val="21"/>
                    </w:rPr>
                    <w:t>%</w:t>
                  </w:r>
                </w:p>
              </w:tc>
              <w:tc>
                <w:tcPr>
                  <w:tcW w:w="389" w:type="pct"/>
                  <w:vAlign w:val="center"/>
                </w:tcPr>
                <w:p w14:paraId="05E65EB1">
                  <w:pPr>
                    <w:widowControl/>
                    <w:jc w:val="center"/>
                    <w:rPr>
                      <w:rFonts w:eastAsia="等线"/>
                      <w:color w:val="auto"/>
                      <w:szCs w:val="21"/>
                    </w:rPr>
                  </w:pPr>
                  <w:r>
                    <w:rPr>
                      <w:rFonts w:eastAsia="等线"/>
                      <w:color w:val="auto"/>
                      <w:szCs w:val="21"/>
                    </w:rPr>
                    <w:t>80</w:t>
                  </w:r>
                  <w:r>
                    <w:rPr>
                      <w:rFonts w:hint="eastAsia" w:eastAsia="等线"/>
                      <w:color w:val="auto"/>
                      <w:szCs w:val="21"/>
                    </w:rPr>
                    <w:t>%</w:t>
                  </w:r>
                </w:p>
              </w:tc>
              <w:tc>
                <w:tcPr>
                  <w:tcW w:w="389" w:type="pct"/>
                  <w:shd w:val="clear" w:color="auto" w:fill="auto"/>
                  <w:noWrap/>
                  <w:vAlign w:val="center"/>
                </w:tcPr>
                <w:p w14:paraId="4BE50F00">
                  <w:pPr>
                    <w:widowControl/>
                    <w:jc w:val="center"/>
                    <w:rPr>
                      <w:rFonts w:eastAsia="等线"/>
                      <w:color w:val="auto"/>
                      <w:szCs w:val="21"/>
                    </w:rPr>
                  </w:pPr>
                  <w:r>
                    <w:rPr>
                      <w:rFonts w:eastAsia="等线"/>
                      <w:color w:val="auto"/>
                      <w:szCs w:val="21"/>
                    </w:rPr>
                    <w:t>80</w:t>
                  </w:r>
                  <w:r>
                    <w:rPr>
                      <w:rFonts w:hint="eastAsia" w:eastAsia="等线"/>
                      <w:color w:val="auto"/>
                      <w:szCs w:val="21"/>
                    </w:rPr>
                    <w:t>%</w:t>
                  </w:r>
                </w:p>
              </w:tc>
            </w:tr>
            <w:tr w14:paraId="35602F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359" w:type="pct"/>
                  <w:vMerge w:val="restart"/>
                  <w:vAlign w:val="center"/>
                </w:tcPr>
                <w:p w14:paraId="30415461">
                  <w:pPr>
                    <w:widowControl/>
                    <w:jc w:val="center"/>
                    <w:rPr>
                      <w:color w:val="auto"/>
                      <w:kern w:val="0"/>
                      <w:szCs w:val="21"/>
                    </w:rPr>
                  </w:pPr>
                  <w:r>
                    <w:rPr>
                      <w:color w:val="auto"/>
                      <w:kern w:val="0"/>
                      <w:szCs w:val="21"/>
                    </w:rPr>
                    <w:t>2</w:t>
                  </w:r>
                </w:p>
              </w:tc>
              <w:tc>
                <w:tcPr>
                  <w:tcW w:w="697" w:type="pct"/>
                  <w:vMerge w:val="restart"/>
                  <w:vAlign w:val="center"/>
                </w:tcPr>
                <w:p w14:paraId="167DD736">
                  <w:pPr>
                    <w:widowControl/>
                    <w:jc w:val="center"/>
                    <w:rPr>
                      <w:color w:val="auto"/>
                      <w:kern w:val="0"/>
                      <w:szCs w:val="21"/>
                    </w:rPr>
                  </w:pPr>
                  <w:r>
                    <w:rPr>
                      <w:color w:val="auto"/>
                      <w:kern w:val="0"/>
                      <w:szCs w:val="21"/>
                    </w:rPr>
                    <w:t>水解酸化池</w:t>
                  </w:r>
                </w:p>
              </w:tc>
              <w:tc>
                <w:tcPr>
                  <w:tcW w:w="583" w:type="pct"/>
                  <w:shd w:val="clear" w:color="auto" w:fill="auto"/>
                  <w:noWrap/>
                  <w:vAlign w:val="center"/>
                </w:tcPr>
                <w:p w14:paraId="051F7A2A">
                  <w:pPr>
                    <w:widowControl/>
                    <w:jc w:val="center"/>
                    <w:rPr>
                      <w:color w:val="auto"/>
                      <w:kern w:val="0"/>
                      <w:szCs w:val="21"/>
                    </w:rPr>
                  </w:pPr>
                  <w:r>
                    <w:rPr>
                      <w:color w:val="auto"/>
                      <w:kern w:val="0"/>
                      <w:szCs w:val="21"/>
                    </w:rPr>
                    <w:t>进水浓度</w:t>
                  </w:r>
                </w:p>
              </w:tc>
              <w:tc>
                <w:tcPr>
                  <w:tcW w:w="483" w:type="pct"/>
                  <w:vAlign w:val="center"/>
                </w:tcPr>
                <w:p w14:paraId="1044E9A0">
                  <w:pPr>
                    <w:widowControl/>
                    <w:jc w:val="center"/>
                    <w:rPr>
                      <w:rFonts w:eastAsia="等线"/>
                      <w:color w:val="auto"/>
                      <w:szCs w:val="21"/>
                    </w:rPr>
                  </w:pPr>
                  <w:r>
                    <w:rPr>
                      <w:rFonts w:hint="eastAsia" w:eastAsia="等线"/>
                      <w:color w:val="auto"/>
                      <w:szCs w:val="21"/>
                    </w:rPr>
                    <w:t>418.04</w:t>
                  </w:r>
                </w:p>
              </w:tc>
              <w:tc>
                <w:tcPr>
                  <w:tcW w:w="469" w:type="pct"/>
                  <w:vAlign w:val="center"/>
                </w:tcPr>
                <w:p w14:paraId="291B25FE">
                  <w:pPr>
                    <w:widowControl/>
                    <w:jc w:val="center"/>
                    <w:rPr>
                      <w:rFonts w:eastAsia="等线"/>
                      <w:color w:val="auto"/>
                      <w:szCs w:val="21"/>
                    </w:rPr>
                  </w:pPr>
                  <w:r>
                    <w:rPr>
                      <w:rFonts w:hint="eastAsia" w:eastAsia="等线"/>
                      <w:color w:val="auto"/>
                      <w:szCs w:val="21"/>
                    </w:rPr>
                    <w:t>269.98</w:t>
                  </w:r>
                </w:p>
              </w:tc>
              <w:tc>
                <w:tcPr>
                  <w:tcW w:w="443" w:type="pct"/>
                  <w:shd w:val="clear" w:color="auto" w:fill="auto"/>
                  <w:noWrap/>
                  <w:vAlign w:val="center"/>
                </w:tcPr>
                <w:p w14:paraId="6E88A273">
                  <w:pPr>
                    <w:jc w:val="center"/>
                    <w:rPr>
                      <w:rFonts w:eastAsia="等线"/>
                      <w:color w:val="auto"/>
                      <w:szCs w:val="21"/>
                    </w:rPr>
                  </w:pPr>
                  <w:r>
                    <w:rPr>
                      <w:rFonts w:hint="eastAsia" w:eastAsia="等线"/>
                      <w:color w:val="auto"/>
                      <w:szCs w:val="21"/>
                    </w:rPr>
                    <w:t>99.71</w:t>
                  </w:r>
                </w:p>
              </w:tc>
              <w:tc>
                <w:tcPr>
                  <w:tcW w:w="389" w:type="pct"/>
                  <w:shd w:val="clear" w:color="auto" w:fill="auto"/>
                  <w:noWrap/>
                  <w:vAlign w:val="center"/>
                </w:tcPr>
                <w:p w14:paraId="456CF216">
                  <w:pPr>
                    <w:jc w:val="center"/>
                    <w:rPr>
                      <w:rFonts w:eastAsia="等线"/>
                      <w:color w:val="auto"/>
                      <w:szCs w:val="21"/>
                    </w:rPr>
                  </w:pPr>
                  <w:r>
                    <w:rPr>
                      <w:rFonts w:hint="eastAsia" w:eastAsia="等线"/>
                      <w:color w:val="auto"/>
                      <w:szCs w:val="21"/>
                    </w:rPr>
                    <w:t>7.00</w:t>
                  </w:r>
                </w:p>
              </w:tc>
              <w:tc>
                <w:tcPr>
                  <w:tcW w:w="407" w:type="pct"/>
                  <w:shd w:val="clear" w:color="auto" w:fill="auto"/>
                  <w:noWrap/>
                  <w:vAlign w:val="center"/>
                </w:tcPr>
                <w:p w14:paraId="74F8B700">
                  <w:pPr>
                    <w:jc w:val="center"/>
                    <w:rPr>
                      <w:rFonts w:eastAsia="等线"/>
                      <w:color w:val="auto"/>
                      <w:szCs w:val="21"/>
                    </w:rPr>
                  </w:pPr>
                  <w:r>
                    <w:rPr>
                      <w:rFonts w:hint="eastAsia" w:eastAsia="等线"/>
                      <w:color w:val="auto"/>
                      <w:szCs w:val="21"/>
                    </w:rPr>
                    <w:t>14.73</w:t>
                  </w:r>
                </w:p>
              </w:tc>
              <w:tc>
                <w:tcPr>
                  <w:tcW w:w="389" w:type="pct"/>
                  <w:shd w:val="clear" w:color="auto" w:fill="auto"/>
                  <w:vAlign w:val="center"/>
                </w:tcPr>
                <w:p w14:paraId="17049D66">
                  <w:pPr>
                    <w:jc w:val="center"/>
                    <w:rPr>
                      <w:rFonts w:eastAsia="等线"/>
                      <w:color w:val="auto"/>
                      <w:szCs w:val="21"/>
                    </w:rPr>
                  </w:pPr>
                  <w:r>
                    <w:rPr>
                      <w:rFonts w:hint="eastAsia" w:eastAsia="等线"/>
                      <w:color w:val="auto"/>
                      <w:szCs w:val="21"/>
                    </w:rPr>
                    <w:t>1.24</w:t>
                  </w:r>
                </w:p>
              </w:tc>
              <w:tc>
                <w:tcPr>
                  <w:tcW w:w="389" w:type="pct"/>
                  <w:vAlign w:val="center"/>
                </w:tcPr>
                <w:p w14:paraId="20A8AAB4">
                  <w:pPr>
                    <w:jc w:val="center"/>
                    <w:rPr>
                      <w:rFonts w:eastAsia="等线"/>
                      <w:color w:val="auto"/>
                      <w:szCs w:val="21"/>
                    </w:rPr>
                  </w:pPr>
                  <w:r>
                    <w:rPr>
                      <w:rFonts w:hint="eastAsia" w:eastAsia="等线"/>
                      <w:color w:val="auto"/>
                      <w:szCs w:val="21"/>
                    </w:rPr>
                    <w:t>0.22</w:t>
                  </w:r>
                </w:p>
              </w:tc>
              <w:tc>
                <w:tcPr>
                  <w:tcW w:w="389" w:type="pct"/>
                  <w:shd w:val="clear" w:color="auto" w:fill="auto"/>
                  <w:noWrap/>
                  <w:vAlign w:val="center"/>
                </w:tcPr>
                <w:p w14:paraId="06D4507C">
                  <w:pPr>
                    <w:jc w:val="center"/>
                    <w:rPr>
                      <w:rFonts w:eastAsia="等线"/>
                      <w:color w:val="auto"/>
                      <w:szCs w:val="21"/>
                    </w:rPr>
                  </w:pPr>
                  <w:r>
                    <w:rPr>
                      <w:rFonts w:hint="eastAsia" w:eastAsia="等线"/>
                      <w:color w:val="auto"/>
                      <w:szCs w:val="21"/>
                    </w:rPr>
                    <w:t>0.56</w:t>
                  </w:r>
                </w:p>
              </w:tc>
            </w:tr>
            <w:tr w14:paraId="1FB72B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359" w:type="pct"/>
                  <w:vMerge w:val="continue"/>
                  <w:vAlign w:val="center"/>
                </w:tcPr>
                <w:p w14:paraId="31A263DD">
                  <w:pPr>
                    <w:widowControl/>
                    <w:jc w:val="center"/>
                    <w:rPr>
                      <w:color w:val="auto"/>
                      <w:kern w:val="0"/>
                      <w:szCs w:val="21"/>
                    </w:rPr>
                  </w:pPr>
                </w:p>
              </w:tc>
              <w:tc>
                <w:tcPr>
                  <w:tcW w:w="697" w:type="pct"/>
                  <w:vMerge w:val="continue"/>
                  <w:vAlign w:val="center"/>
                </w:tcPr>
                <w:p w14:paraId="6A3289E8">
                  <w:pPr>
                    <w:widowControl/>
                    <w:jc w:val="center"/>
                    <w:rPr>
                      <w:color w:val="auto"/>
                      <w:kern w:val="0"/>
                      <w:szCs w:val="21"/>
                    </w:rPr>
                  </w:pPr>
                </w:p>
              </w:tc>
              <w:tc>
                <w:tcPr>
                  <w:tcW w:w="583" w:type="pct"/>
                  <w:shd w:val="clear" w:color="auto" w:fill="auto"/>
                  <w:noWrap/>
                  <w:vAlign w:val="center"/>
                </w:tcPr>
                <w:p w14:paraId="1DFB3E40">
                  <w:pPr>
                    <w:widowControl/>
                    <w:jc w:val="center"/>
                    <w:rPr>
                      <w:color w:val="auto"/>
                      <w:kern w:val="0"/>
                      <w:szCs w:val="21"/>
                    </w:rPr>
                  </w:pPr>
                  <w:r>
                    <w:rPr>
                      <w:color w:val="auto"/>
                      <w:kern w:val="0"/>
                      <w:szCs w:val="21"/>
                    </w:rPr>
                    <w:t>出水浓度</w:t>
                  </w:r>
                </w:p>
              </w:tc>
              <w:tc>
                <w:tcPr>
                  <w:tcW w:w="483" w:type="pct"/>
                  <w:vAlign w:val="center"/>
                </w:tcPr>
                <w:p w14:paraId="7DA9C2CE">
                  <w:pPr>
                    <w:widowControl/>
                    <w:jc w:val="center"/>
                    <w:rPr>
                      <w:rFonts w:eastAsia="等线"/>
                      <w:color w:val="auto"/>
                      <w:szCs w:val="21"/>
                    </w:rPr>
                  </w:pPr>
                  <w:r>
                    <w:rPr>
                      <w:rFonts w:hint="eastAsia" w:eastAsia="等线"/>
                      <w:color w:val="auto"/>
                      <w:szCs w:val="21"/>
                    </w:rPr>
                    <w:t>334.43</w:t>
                  </w:r>
                </w:p>
              </w:tc>
              <w:tc>
                <w:tcPr>
                  <w:tcW w:w="469" w:type="pct"/>
                  <w:vAlign w:val="center"/>
                </w:tcPr>
                <w:p w14:paraId="5F420FC9">
                  <w:pPr>
                    <w:widowControl/>
                    <w:jc w:val="center"/>
                    <w:rPr>
                      <w:rFonts w:eastAsia="等线"/>
                      <w:color w:val="auto"/>
                      <w:szCs w:val="21"/>
                    </w:rPr>
                  </w:pPr>
                  <w:r>
                    <w:rPr>
                      <w:rFonts w:hint="eastAsia" w:eastAsia="等线"/>
                      <w:color w:val="auto"/>
                      <w:szCs w:val="21"/>
                    </w:rPr>
                    <w:t>242.99</w:t>
                  </w:r>
                </w:p>
              </w:tc>
              <w:tc>
                <w:tcPr>
                  <w:tcW w:w="443" w:type="pct"/>
                  <w:shd w:val="clear" w:color="auto" w:fill="auto"/>
                  <w:noWrap/>
                  <w:vAlign w:val="center"/>
                </w:tcPr>
                <w:p w14:paraId="05C3E170">
                  <w:pPr>
                    <w:jc w:val="center"/>
                    <w:rPr>
                      <w:rFonts w:eastAsia="等线"/>
                      <w:color w:val="auto"/>
                      <w:szCs w:val="21"/>
                    </w:rPr>
                  </w:pPr>
                  <w:r>
                    <w:rPr>
                      <w:rFonts w:hint="eastAsia" w:eastAsia="等线"/>
                      <w:color w:val="auto"/>
                      <w:szCs w:val="21"/>
                    </w:rPr>
                    <w:t>99.71</w:t>
                  </w:r>
                </w:p>
              </w:tc>
              <w:tc>
                <w:tcPr>
                  <w:tcW w:w="389" w:type="pct"/>
                  <w:shd w:val="clear" w:color="auto" w:fill="auto"/>
                  <w:noWrap/>
                  <w:vAlign w:val="center"/>
                </w:tcPr>
                <w:p w14:paraId="281DBF67">
                  <w:pPr>
                    <w:jc w:val="center"/>
                    <w:rPr>
                      <w:rFonts w:eastAsia="等线"/>
                      <w:color w:val="auto"/>
                      <w:szCs w:val="21"/>
                    </w:rPr>
                  </w:pPr>
                  <w:r>
                    <w:rPr>
                      <w:rFonts w:hint="eastAsia" w:eastAsia="等线"/>
                      <w:color w:val="auto"/>
                      <w:szCs w:val="21"/>
                    </w:rPr>
                    <w:t>7.00</w:t>
                  </w:r>
                </w:p>
              </w:tc>
              <w:tc>
                <w:tcPr>
                  <w:tcW w:w="407" w:type="pct"/>
                  <w:shd w:val="clear" w:color="auto" w:fill="auto"/>
                  <w:noWrap/>
                  <w:vAlign w:val="center"/>
                </w:tcPr>
                <w:p w14:paraId="35234986">
                  <w:pPr>
                    <w:jc w:val="center"/>
                    <w:rPr>
                      <w:rFonts w:eastAsia="等线"/>
                      <w:color w:val="auto"/>
                      <w:szCs w:val="21"/>
                    </w:rPr>
                  </w:pPr>
                  <w:r>
                    <w:rPr>
                      <w:rFonts w:hint="eastAsia" w:eastAsia="等线"/>
                      <w:color w:val="auto"/>
                      <w:szCs w:val="21"/>
                    </w:rPr>
                    <w:t>13.25</w:t>
                  </w:r>
                </w:p>
              </w:tc>
              <w:tc>
                <w:tcPr>
                  <w:tcW w:w="389" w:type="pct"/>
                  <w:shd w:val="clear" w:color="auto" w:fill="auto"/>
                  <w:vAlign w:val="center"/>
                </w:tcPr>
                <w:p w14:paraId="689F2491">
                  <w:pPr>
                    <w:jc w:val="center"/>
                    <w:rPr>
                      <w:rFonts w:eastAsia="等线"/>
                      <w:color w:val="auto"/>
                      <w:szCs w:val="21"/>
                    </w:rPr>
                  </w:pPr>
                  <w:r>
                    <w:rPr>
                      <w:rFonts w:hint="eastAsia" w:eastAsia="等线"/>
                      <w:color w:val="auto"/>
                      <w:szCs w:val="21"/>
                    </w:rPr>
                    <w:t>1.24</w:t>
                  </w:r>
                </w:p>
              </w:tc>
              <w:tc>
                <w:tcPr>
                  <w:tcW w:w="389" w:type="pct"/>
                  <w:vAlign w:val="center"/>
                </w:tcPr>
                <w:p w14:paraId="4B768032">
                  <w:pPr>
                    <w:jc w:val="center"/>
                    <w:rPr>
                      <w:rFonts w:eastAsia="等线"/>
                      <w:color w:val="auto"/>
                      <w:szCs w:val="21"/>
                    </w:rPr>
                  </w:pPr>
                  <w:r>
                    <w:rPr>
                      <w:rFonts w:hint="eastAsia" w:eastAsia="等线"/>
                      <w:color w:val="auto"/>
                      <w:szCs w:val="21"/>
                    </w:rPr>
                    <w:t>0.22</w:t>
                  </w:r>
                </w:p>
              </w:tc>
              <w:tc>
                <w:tcPr>
                  <w:tcW w:w="389" w:type="pct"/>
                  <w:shd w:val="clear" w:color="auto" w:fill="auto"/>
                  <w:noWrap/>
                  <w:vAlign w:val="center"/>
                </w:tcPr>
                <w:p w14:paraId="409EB8CC">
                  <w:pPr>
                    <w:jc w:val="center"/>
                    <w:rPr>
                      <w:rFonts w:eastAsia="等线"/>
                      <w:color w:val="auto"/>
                      <w:szCs w:val="21"/>
                    </w:rPr>
                  </w:pPr>
                  <w:r>
                    <w:rPr>
                      <w:rFonts w:hint="eastAsia" w:eastAsia="等线"/>
                      <w:color w:val="auto"/>
                      <w:szCs w:val="21"/>
                    </w:rPr>
                    <w:t>0.56</w:t>
                  </w:r>
                </w:p>
              </w:tc>
            </w:tr>
            <w:tr w14:paraId="43B14E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359" w:type="pct"/>
                  <w:vMerge w:val="continue"/>
                  <w:vAlign w:val="center"/>
                </w:tcPr>
                <w:p w14:paraId="7E53B0E9">
                  <w:pPr>
                    <w:widowControl/>
                    <w:jc w:val="center"/>
                    <w:rPr>
                      <w:color w:val="auto"/>
                      <w:kern w:val="0"/>
                      <w:szCs w:val="21"/>
                    </w:rPr>
                  </w:pPr>
                </w:p>
              </w:tc>
              <w:tc>
                <w:tcPr>
                  <w:tcW w:w="697" w:type="pct"/>
                  <w:vMerge w:val="continue"/>
                  <w:vAlign w:val="center"/>
                </w:tcPr>
                <w:p w14:paraId="12427A7F">
                  <w:pPr>
                    <w:widowControl/>
                    <w:jc w:val="center"/>
                    <w:rPr>
                      <w:color w:val="auto"/>
                      <w:kern w:val="0"/>
                      <w:szCs w:val="21"/>
                    </w:rPr>
                  </w:pPr>
                </w:p>
              </w:tc>
              <w:tc>
                <w:tcPr>
                  <w:tcW w:w="583" w:type="pct"/>
                  <w:shd w:val="clear" w:color="auto" w:fill="auto"/>
                  <w:noWrap/>
                  <w:vAlign w:val="center"/>
                </w:tcPr>
                <w:p w14:paraId="5FD5311B">
                  <w:pPr>
                    <w:widowControl/>
                    <w:jc w:val="center"/>
                    <w:rPr>
                      <w:color w:val="auto"/>
                      <w:kern w:val="0"/>
                      <w:szCs w:val="21"/>
                    </w:rPr>
                  </w:pPr>
                  <w:r>
                    <w:rPr>
                      <w:color w:val="auto"/>
                      <w:kern w:val="0"/>
                      <w:szCs w:val="21"/>
                    </w:rPr>
                    <w:t>去除率</w:t>
                  </w:r>
                </w:p>
              </w:tc>
              <w:tc>
                <w:tcPr>
                  <w:tcW w:w="483" w:type="pct"/>
                  <w:vAlign w:val="center"/>
                </w:tcPr>
                <w:p w14:paraId="05BE97CB">
                  <w:pPr>
                    <w:widowControl/>
                    <w:jc w:val="center"/>
                    <w:rPr>
                      <w:rFonts w:eastAsia="等线"/>
                      <w:color w:val="auto"/>
                      <w:szCs w:val="21"/>
                    </w:rPr>
                  </w:pPr>
                  <w:r>
                    <w:rPr>
                      <w:rFonts w:eastAsia="等线"/>
                      <w:color w:val="auto"/>
                      <w:szCs w:val="21"/>
                    </w:rPr>
                    <w:t>20</w:t>
                  </w:r>
                  <w:r>
                    <w:rPr>
                      <w:rFonts w:hint="eastAsia" w:eastAsia="等线"/>
                      <w:color w:val="auto"/>
                      <w:szCs w:val="21"/>
                    </w:rPr>
                    <w:t>%</w:t>
                  </w:r>
                </w:p>
              </w:tc>
              <w:tc>
                <w:tcPr>
                  <w:tcW w:w="469" w:type="pct"/>
                  <w:vAlign w:val="center"/>
                </w:tcPr>
                <w:p w14:paraId="5BE2C09A">
                  <w:pPr>
                    <w:widowControl/>
                    <w:jc w:val="center"/>
                    <w:rPr>
                      <w:rFonts w:eastAsia="等线"/>
                      <w:color w:val="auto"/>
                      <w:szCs w:val="21"/>
                    </w:rPr>
                  </w:pPr>
                  <w:r>
                    <w:rPr>
                      <w:rFonts w:eastAsia="等线"/>
                      <w:color w:val="auto"/>
                      <w:szCs w:val="21"/>
                    </w:rPr>
                    <w:t>10</w:t>
                  </w:r>
                  <w:r>
                    <w:rPr>
                      <w:rFonts w:hint="eastAsia" w:eastAsia="等线"/>
                      <w:color w:val="auto"/>
                      <w:szCs w:val="21"/>
                    </w:rPr>
                    <w:t>%</w:t>
                  </w:r>
                </w:p>
              </w:tc>
              <w:tc>
                <w:tcPr>
                  <w:tcW w:w="443" w:type="pct"/>
                  <w:shd w:val="clear" w:color="auto" w:fill="auto"/>
                  <w:noWrap/>
                  <w:vAlign w:val="center"/>
                </w:tcPr>
                <w:p w14:paraId="5CC5C32C">
                  <w:pPr>
                    <w:widowControl/>
                    <w:jc w:val="center"/>
                    <w:rPr>
                      <w:rFonts w:eastAsia="等线"/>
                      <w:color w:val="auto"/>
                      <w:szCs w:val="21"/>
                    </w:rPr>
                  </w:pPr>
                  <w:r>
                    <w:rPr>
                      <w:rFonts w:eastAsia="等线"/>
                      <w:color w:val="auto"/>
                      <w:szCs w:val="21"/>
                    </w:rPr>
                    <w:t>-</w:t>
                  </w:r>
                </w:p>
              </w:tc>
              <w:tc>
                <w:tcPr>
                  <w:tcW w:w="389" w:type="pct"/>
                  <w:shd w:val="clear" w:color="auto" w:fill="auto"/>
                  <w:noWrap/>
                  <w:vAlign w:val="center"/>
                </w:tcPr>
                <w:p w14:paraId="39CDF709">
                  <w:pPr>
                    <w:widowControl/>
                    <w:jc w:val="center"/>
                    <w:rPr>
                      <w:rFonts w:eastAsia="等线"/>
                      <w:color w:val="auto"/>
                      <w:szCs w:val="21"/>
                    </w:rPr>
                  </w:pPr>
                  <w:r>
                    <w:rPr>
                      <w:rFonts w:eastAsia="等线"/>
                      <w:color w:val="auto"/>
                      <w:szCs w:val="21"/>
                    </w:rPr>
                    <w:t>-</w:t>
                  </w:r>
                </w:p>
              </w:tc>
              <w:tc>
                <w:tcPr>
                  <w:tcW w:w="407" w:type="pct"/>
                  <w:shd w:val="clear" w:color="auto" w:fill="auto"/>
                  <w:noWrap/>
                  <w:vAlign w:val="center"/>
                </w:tcPr>
                <w:p w14:paraId="18AE08F7">
                  <w:pPr>
                    <w:widowControl/>
                    <w:jc w:val="center"/>
                    <w:rPr>
                      <w:rFonts w:eastAsia="等线"/>
                      <w:color w:val="auto"/>
                      <w:szCs w:val="21"/>
                    </w:rPr>
                  </w:pPr>
                  <w:r>
                    <w:rPr>
                      <w:rFonts w:eastAsia="等线"/>
                      <w:color w:val="auto"/>
                      <w:szCs w:val="21"/>
                    </w:rPr>
                    <w:t>10</w:t>
                  </w:r>
                  <w:r>
                    <w:rPr>
                      <w:rFonts w:hint="eastAsia" w:eastAsia="等线"/>
                      <w:color w:val="auto"/>
                      <w:szCs w:val="21"/>
                    </w:rPr>
                    <w:t>%</w:t>
                  </w:r>
                </w:p>
              </w:tc>
              <w:tc>
                <w:tcPr>
                  <w:tcW w:w="389" w:type="pct"/>
                  <w:shd w:val="clear" w:color="auto" w:fill="auto"/>
                  <w:vAlign w:val="center"/>
                </w:tcPr>
                <w:p w14:paraId="65752716">
                  <w:pPr>
                    <w:widowControl/>
                    <w:jc w:val="center"/>
                    <w:rPr>
                      <w:rFonts w:eastAsia="等线"/>
                      <w:color w:val="auto"/>
                      <w:szCs w:val="21"/>
                    </w:rPr>
                  </w:pPr>
                  <w:r>
                    <w:rPr>
                      <w:rFonts w:eastAsia="等线"/>
                      <w:color w:val="auto"/>
                      <w:szCs w:val="21"/>
                    </w:rPr>
                    <w:t>-</w:t>
                  </w:r>
                </w:p>
              </w:tc>
              <w:tc>
                <w:tcPr>
                  <w:tcW w:w="389" w:type="pct"/>
                  <w:vAlign w:val="center"/>
                </w:tcPr>
                <w:p w14:paraId="4B356EAD">
                  <w:pPr>
                    <w:widowControl/>
                    <w:jc w:val="center"/>
                    <w:rPr>
                      <w:rFonts w:eastAsia="等线"/>
                      <w:color w:val="auto"/>
                      <w:szCs w:val="21"/>
                    </w:rPr>
                  </w:pPr>
                  <w:r>
                    <w:rPr>
                      <w:rFonts w:eastAsia="等线"/>
                      <w:color w:val="auto"/>
                      <w:szCs w:val="21"/>
                    </w:rPr>
                    <w:t>-</w:t>
                  </w:r>
                </w:p>
              </w:tc>
              <w:tc>
                <w:tcPr>
                  <w:tcW w:w="389" w:type="pct"/>
                  <w:shd w:val="clear" w:color="auto" w:fill="auto"/>
                  <w:noWrap/>
                  <w:vAlign w:val="center"/>
                </w:tcPr>
                <w:p w14:paraId="628E94BE">
                  <w:pPr>
                    <w:widowControl/>
                    <w:jc w:val="center"/>
                    <w:rPr>
                      <w:rFonts w:eastAsia="等线"/>
                      <w:color w:val="auto"/>
                      <w:szCs w:val="21"/>
                    </w:rPr>
                  </w:pPr>
                  <w:r>
                    <w:rPr>
                      <w:rFonts w:eastAsia="等线"/>
                      <w:color w:val="auto"/>
                      <w:szCs w:val="21"/>
                    </w:rPr>
                    <w:t>-</w:t>
                  </w:r>
                </w:p>
              </w:tc>
            </w:tr>
            <w:tr w14:paraId="7479DB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359" w:type="pct"/>
                  <w:vMerge w:val="restart"/>
                  <w:shd w:val="clear" w:color="auto" w:fill="auto"/>
                  <w:noWrap/>
                  <w:vAlign w:val="center"/>
                </w:tcPr>
                <w:p w14:paraId="7C89E44D">
                  <w:pPr>
                    <w:widowControl/>
                    <w:jc w:val="center"/>
                    <w:rPr>
                      <w:color w:val="auto"/>
                      <w:kern w:val="0"/>
                      <w:szCs w:val="21"/>
                    </w:rPr>
                  </w:pPr>
                  <w:r>
                    <w:rPr>
                      <w:color w:val="auto"/>
                      <w:kern w:val="0"/>
                      <w:szCs w:val="21"/>
                    </w:rPr>
                    <w:t>3</w:t>
                  </w:r>
                </w:p>
              </w:tc>
              <w:tc>
                <w:tcPr>
                  <w:tcW w:w="697" w:type="pct"/>
                  <w:vMerge w:val="restart"/>
                  <w:shd w:val="clear" w:color="auto" w:fill="auto"/>
                  <w:noWrap/>
                  <w:vAlign w:val="center"/>
                </w:tcPr>
                <w:p w14:paraId="32103881">
                  <w:pPr>
                    <w:widowControl/>
                    <w:jc w:val="center"/>
                    <w:rPr>
                      <w:color w:val="auto"/>
                      <w:kern w:val="0"/>
                      <w:szCs w:val="21"/>
                    </w:rPr>
                  </w:pPr>
                  <w:r>
                    <w:rPr>
                      <w:color w:val="auto"/>
                      <w:kern w:val="0"/>
                      <w:szCs w:val="21"/>
                    </w:rPr>
                    <w:t>接触氧化池</w:t>
                  </w:r>
                </w:p>
              </w:tc>
              <w:tc>
                <w:tcPr>
                  <w:tcW w:w="583" w:type="pct"/>
                  <w:shd w:val="clear" w:color="auto" w:fill="auto"/>
                  <w:noWrap/>
                  <w:vAlign w:val="center"/>
                </w:tcPr>
                <w:p w14:paraId="45B88024">
                  <w:pPr>
                    <w:widowControl/>
                    <w:jc w:val="center"/>
                    <w:rPr>
                      <w:color w:val="auto"/>
                      <w:kern w:val="0"/>
                      <w:szCs w:val="21"/>
                    </w:rPr>
                  </w:pPr>
                  <w:r>
                    <w:rPr>
                      <w:color w:val="auto"/>
                      <w:kern w:val="0"/>
                      <w:szCs w:val="21"/>
                    </w:rPr>
                    <w:t>进水</w:t>
                  </w:r>
                </w:p>
              </w:tc>
              <w:tc>
                <w:tcPr>
                  <w:tcW w:w="483" w:type="pct"/>
                  <w:vAlign w:val="center"/>
                </w:tcPr>
                <w:p w14:paraId="5091143D">
                  <w:pPr>
                    <w:widowControl/>
                    <w:jc w:val="center"/>
                    <w:rPr>
                      <w:rFonts w:eastAsia="等线"/>
                      <w:color w:val="auto"/>
                      <w:szCs w:val="21"/>
                    </w:rPr>
                  </w:pPr>
                  <w:r>
                    <w:rPr>
                      <w:rFonts w:hint="eastAsia" w:eastAsia="等线"/>
                      <w:color w:val="auto"/>
                      <w:szCs w:val="21"/>
                    </w:rPr>
                    <w:t>334.43</w:t>
                  </w:r>
                </w:p>
              </w:tc>
              <w:tc>
                <w:tcPr>
                  <w:tcW w:w="469" w:type="pct"/>
                  <w:vAlign w:val="center"/>
                </w:tcPr>
                <w:p w14:paraId="507C4508">
                  <w:pPr>
                    <w:widowControl/>
                    <w:jc w:val="center"/>
                    <w:rPr>
                      <w:rFonts w:eastAsia="等线"/>
                      <w:color w:val="auto"/>
                      <w:szCs w:val="21"/>
                    </w:rPr>
                  </w:pPr>
                  <w:r>
                    <w:rPr>
                      <w:rFonts w:hint="eastAsia" w:eastAsia="等线"/>
                      <w:color w:val="auto"/>
                      <w:szCs w:val="21"/>
                    </w:rPr>
                    <w:t>242.99</w:t>
                  </w:r>
                </w:p>
              </w:tc>
              <w:tc>
                <w:tcPr>
                  <w:tcW w:w="443" w:type="pct"/>
                  <w:shd w:val="clear" w:color="auto" w:fill="auto"/>
                  <w:noWrap/>
                  <w:vAlign w:val="center"/>
                </w:tcPr>
                <w:p w14:paraId="1C114355">
                  <w:pPr>
                    <w:jc w:val="center"/>
                    <w:rPr>
                      <w:rFonts w:eastAsia="等线"/>
                      <w:color w:val="auto"/>
                      <w:szCs w:val="21"/>
                    </w:rPr>
                  </w:pPr>
                  <w:r>
                    <w:rPr>
                      <w:rFonts w:hint="eastAsia" w:eastAsia="等线"/>
                      <w:color w:val="auto"/>
                      <w:szCs w:val="21"/>
                    </w:rPr>
                    <w:t>99.71</w:t>
                  </w:r>
                </w:p>
              </w:tc>
              <w:tc>
                <w:tcPr>
                  <w:tcW w:w="389" w:type="pct"/>
                  <w:shd w:val="clear" w:color="auto" w:fill="auto"/>
                  <w:noWrap/>
                  <w:vAlign w:val="center"/>
                </w:tcPr>
                <w:p w14:paraId="2ED7E51A">
                  <w:pPr>
                    <w:jc w:val="center"/>
                    <w:rPr>
                      <w:rFonts w:eastAsia="等线"/>
                      <w:color w:val="auto"/>
                      <w:szCs w:val="21"/>
                    </w:rPr>
                  </w:pPr>
                  <w:r>
                    <w:rPr>
                      <w:rFonts w:hint="eastAsia" w:eastAsia="等线"/>
                      <w:color w:val="auto"/>
                      <w:szCs w:val="21"/>
                    </w:rPr>
                    <w:t>7.00</w:t>
                  </w:r>
                </w:p>
              </w:tc>
              <w:tc>
                <w:tcPr>
                  <w:tcW w:w="407" w:type="pct"/>
                  <w:shd w:val="clear" w:color="auto" w:fill="auto"/>
                  <w:noWrap/>
                  <w:vAlign w:val="center"/>
                </w:tcPr>
                <w:p w14:paraId="08BD301F">
                  <w:pPr>
                    <w:jc w:val="center"/>
                    <w:rPr>
                      <w:rFonts w:eastAsia="等线"/>
                      <w:color w:val="auto"/>
                      <w:szCs w:val="21"/>
                    </w:rPr>
                  </w:pPr>
                  <w:r>
                    <w:rPr>
                      <w:rFonts w:hint="eastAsia" w:eastAsia="等线"/>
                      <w:color w:val="auto"/>
                      <w:szCs w:val="21"/>
                    </w:rPr>
                    <w:t>13.25</w:t>
                  </w:r>
                </w:p>
              </w:tc>
              <w:tc>
                <w:tcPr>
                  <w:tcW w:w="389" w:type="pct"/>
                  <w:shd w:val="clear" w:color="auto" w:fill="auto"/>
                  <w:vAlign w:val="center"/>
                </w:tcPr>
                <w:p w14:paraId="129A45D7">
                  <w:pPr>
                    <w:jc w:val="center"/>
                    <w:rPr>
                      <w:rFonts w:eastAsia="等线"/>
                      <w:color w:val="auto"/>
                      <w:szCs w:val="21"/>
                    </w:rPr>
                  </w:pPr>
                  <w:r>
                    <w:rPr>
                      <w:rFonts w:hint="eastAsia" w:eastAsia="等线"/>
                      <w:color w:val="auto"/>
                      <w:szCs w:val="21"/>
                    </w:rPr>
                    <w:t>1.24</w:t>
                  </w:r>
                </w:p>
              </w:tc>
              <w:tc>
                <w:tcPr>
                  <w:tcW w:w="389" w:type="pct"/>
                  <w:vAlign w:val="center"/>
                </w:tcPr>
                <w:p w14:paraId="2D657ACC">
                  <w:pPr>
                    <w:jc w:val="center"/>
                    <w:rPr>
                      <w:rFonts w:eastAsia="等线"/>
                      <w:color w:val="auto"/>
                      <w:szCs w:val="21"/>
                    </w:rPr>
                  </w:pPr>
                  <w:r>
                    <w:rPr>
                      <w:rFonts w:hint="eastAsia" w:eastAsia="等线"/>
                      <w:color w:val="auto"/>
                      <w:szCs w:val="21"/>
                    </w:rPr>
                    <w:t>0.22</w:t>
                  </w:r>
                </w:p>
              </w:tc>
              <w:tc>
                <w:tcPr>
                  <w:tcW w:w="389" w:type="pct"/>
                  <w:shd w:val="clear" w:color="auto" w:fill="auto"/>
                  <w:noWrap/>
                  <w:vAlign w:val="center"/>
                </w:tcPr>
                <w:p w14:paraId="43CCC536">
                  <w:pPr>
                    <w:jc w:val="center"/>
                    <w:rPr>
                      <w:rFonts w:eastAsia="等线"/>
                      <w:color w:val="auto"/>
                      <w:szCs w:val="21"/>
                    </w:rPr>
                  </w:pPr>
                  <w:r>
                    <w:rPr>
                      <w:rFonts w:hint="eastAsia" w:eastAsia="等线"/>
                      <w:color w:val="auto"/>
                      <w:szCs w:val="21"/>
                    </w:rPr>
                    <w:t>0.56</w:t>
                  </w:r>
                </w:p>
              </w:tc>
            </w:tr>
            <w:tr w14:paraId="68F2C1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359" w:type="pct"/>
                  <w:vMerge w:val="continue"/>
                  <w:vAlign w:val="center"/>
                </w:tcPr>
                <w:p w14:paraId="09946752">
                  <w:pPr>
                    <w:widowControl/>
                    <w:jc w:val="center"/>
                    <w:rPr>
                      <w:color w:val="auto"/>
                      <w:kern w:val="0"/>
                      <w:szCs w:val="21"/>
                    </w:rPr>
                  </w:pPr>
                </w:p>
              </w:tc>
              <w:tc>
                <w:tcPr>
                  <w:tcW w:w="697" w:type="pct"/>
                  <w:vMerge w:val="continue"/>
                  <w:vAlign w:val="center"/>
                </w:tcPr>
                <w:p w14:paraId="0E84EEED">
                  <w:pPr>
                    <w:widowControl/>
                    <w:jc w:val="center"/>
                    <w:rPr>
                      <w:color w:val="auto"/>
                      <w:kern w:val="0"/>
                      <w:szCs w:val="21"/>
                    </w:rPr>
                  </w:pPr>
                </w:p>
              </w:tc>
              <w:tc>
                <w:tcPr>
                  <w:tcW w:w="583" w:type="pct"/>
                  <w:shd w:val="clear" w:color="auto" w:fill="auto"/>
                  <w:noWrap/>
                  <w:vAlign w:val="center"/>
                </w:tcPr>
                <w:p w14:paraId="28F36480">
                  <w:pPr>
                    <w:widowControl/>
                    <w:jc w:val="center"/>
                    <w:rPr>
                      <w:color w:val="auto"/>
                      <w:kern w:val="0"/>
                      <w:szCs w:val="21"/>
                    </w:rPr>
                  </w:pPr>
                  <w:r>
                    <w:rPr>
                      <w:color w:val="auto"/>
                      <w:kern w:val="0"/>
                      <w:szCs w:val="21"/>
                    </w:rPr>
                    <w:t>出水</w:t>
                  </w:r>
                </w:p>
              </w:tc>
              <w:tc>
                <w:tcPr>
                  <w:tcW w:w="483" w:type="pct"/>
                  <w:vAlign w:val="center"/>
                </w:tcPr>
                <w:p w14:paraId="3627AEEE">
                  <w:pPr>
                    <w:widowControl/>
                    <w:jc w:val="center"/>
                    <w:rPr>
                      <w:rFonts w:eastAsia="等线"/>
                      <w:color w:val="auto"/>
                      <w:szCs w:val="21"/>
                    </w:rPr>
                  </w:pPr>
                  <w:r>
                    <w:rPr>
                      <w:rFonts w:hint="eastAsia" w:eastAsia="等线"/>
                      <w:color w:val="auto"/>
                      <w:szCs w:val="21"/>
                    </w:rPr>
                    <w:t>133.77</w:t>
                  </w:r>
                </w:p>
              </w:tc>
              <w:tc>
                <w:tcPr>
                  <w:tcW w:w="469" w:type="pct"/>
                  <w:vAlign w:val="center"/>
                </w:tcPr>
                <w:p w14:paraId="252C0131">
                  <w:pPr>
                    <w:widowControl/>
                    <w:jc w:val="center"/>
                    <w:rPr>
                      <w:rFonts w:eastAsia="等线"/>
                      <w:color w:val="auto"/>
                      <w:szCs w:val="21"/>
                    </w:rPr>
                  </w:pPr>
                  <w:r>
                    <w:rPr>
                      <w:rFonts w:hint="eastAsia" w:eastAsia="等线"/>
                      <w:color w:val="auto"/>
                      <w:szCs w:val="21"/>
                    </w:rPr>
                    <w:t>85.05</w:t>
                  </w:r>
                </w:p>
              </w:tc>
              <w:tc>
                <w:tcPr>
                  <w:tcW w:w="443" w:type="pct"/>
                  <w:shd w:val="clear" w:color="auto" w:fill="auto"/>
                  <w:noWrap/>
                  <w:vAlign w:val="center"/>
                </w:tcPr>
                <w:p w14:paraId="358E316C">
                  <w:pPr>
                    <w:jc w:val="center"/>
                    <w:rPr>
                      <w:rFonts w:eastAsia="等线"/>
                      <w:color w:val="auto"/>
                      <w:szCs w:val="21"/>
                    </w:rPr>
                  </w:pPr>
                  <w:r>
                    <w:rPr>
                      <w:rFonts w:hint="eastAsia" w:eastAsia="等线"/>
                      <w:color w:val="auto"/>
                      <w:szCs w:val="21"/>
                    </w:rPr>
                    <w:t>99.71</w:t>
                  </w:r>
                </w:p>
              </w:tc>
              <w:tc>
                <w:tcPr>
                  <w:tcW w:w="389" w:type="pct"/>
                  <w:shd w:val="clear" w:color="auto" w:fill="auto"/>
                  <w:noWrap/>
                  <w:vAlign w:val="center"/>
                </w:tcPr>
                <w:p w14:paraId="5BCB8516">
                  <w:pPr>
                    <w:jc w:val="center"/>
                    <w:rPr>
                      <w:rFonts w:eastAsia="等线"/>
                      <w:color w:val="auto"/>
                      <w:szCs w:val="21"/>
                    </w:rPr>
                  </w:pPr>
                  <w:r>
                    <w:rPr>
                      <w:rFonts w:hint="eastAsia" w:eastAsia="等线"/>
                      <w:color w:val="auto"/>
                      <w:szCs w:val="21"/>
                    </w:rPr>
                    <w:t>2.80</w:t>
                  </w:r>
                </w:p>
              </w:tc>
              <w:tc>
                <w:tcPr>
                  <w:tcW w:w="407" w:type="pct"/>
                  <w:shd w:val="clear" w:color="auto" w:fill="auto"/>
                  <w:noWrap/>
                  <w:vAlign w:val="center"/>
                </w:tcPr>
                <w:p w14:paraId="574BEE04">
                  <w:pPr>
                    <w:jc w:val="center"/>
                    <w:rPr>
                      <w:rFonts w:eastAsia="等线"/>
                      <w:color w:val="auto"/>
                      <w:szCs w:val="21"/>
                    </w:rPr>
                  </w:pPr>
                  <w:r>
                    <w:rPr>
                      <w:rFonts w:hint="eastAsia" w:eastAsia="等线"/>
                      <w:color w:val="auto"/>
                      <w:szCs w:val="21"/>
                    </w:rPr>
                    <w:t>5.30</w:t>
                  </w:r>
                </w:p>
              </w:tc>
              <w:tc>
                <w:tcPr>
                  <w:tcW w:w="389" w:type="pct"/>
                  <w:shd w:val="clear" w:color="auto" w:fill="auto"/>
                  <w:vAlign w:val="center"/>
                </w:tcPr>
                <w:p w14:paraId="6B933112">
                  <w:pPr>
                    <w:jc w:val="center"/>
                    <w:rPr>
                      <w:rFonts w:eastAsia="等线"/>
                      <w:color w:val="auto"/>
                      <w:szCs w:val="21"/>
                    </w:rPr>
                  </w:pPr>
                  <w:r>
                    <w:rPr>
                      <w:rFonts w:hint="eastAsia" w:eastAsia="等线"/>
                      <w:color w:val="auto"/>
                      <w:szCs w:val="21"/>
                    </w:rPr>
                    <w:t>1.24</w:t>
                  </w:r>
                </w:p>
              </w:tc>
              <w:tc>
                <w:tcPr>
                  <w:tcW w:w="389" w:type="pct"/>
                  <w:vAlign w:val="center"/>
                </w:tcPr>
                <w:p w14:paraId="5CC2D20E">
                  <w:pPr>
                    <w:jc w:val="center"/>
                    <w:rPr>
                      <w:rFonts w:eastAsia="等线"/>
                      <w:color w:val="auto"/>
                      <w:szCs w:val="21"/>
                    </w:rPr>
                  </w:pPr>
                  <w:r>
                    <w:rPr>
                      <w:rFonts w:hint="eastAsia" w:eastAsia="等线"/>
                      <w:color w:val="auto"/>
                      <w:szCs w:val="21"/>
                    </w:rPr>
                    <w:t>0.20</w:t>
                  </w:r>
                </w:p>
              </w:tc>
              <w:tc>
                <w:tcPr>
                  <w:tcW w:w="389" w:type="pct"/>
                  <w:shd w:val="clear" w:color="auto" w:fill="auto"/>
                  <w:noWrap/>
                  <w:vAlign w:val="center"/>
                </w:tcPr>
                <w:p w14:paraId="0F5C3891">
                  <w:pPr>
                    <w:jc w:val="center"/>
                    <w:rPr>
                      <w:rFonts w:eastAsia="等线"/>
                      <w:color w:val="auto"/>
                      <w:szCs w:val="21"/>
                    </w:rPr>
                  </w:pPr>
                  <w:r>
                    <w:rPr>
                      <w:rFonts w:hint="eastAsia" w:eastAsia="等线"/>
                      <w:color w:val="auto"/>
                      <w:szCs w:val="21"/>
                    </w:rPr>
                    <w:t>0.51</w:t>
                  </w:r>
                </w:p>
              </w:tc>
            </w:tr>
            <w:tr w14:paraId="2A3169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359" w:type="pct"/>
                  <w:vMerge w:val="continue"/>
                  <w:vAlign w:val="center"/>
                </w:tcPr>
                <w:p w14:paraId="13F36069">
                  <w:pPr>
                    <w:widowControl/>
                    <w:jc w:val="center"/>
                    <w:rPr>
                      <w:color w:val="auto"/>
                      <w:kern w:val="0"/>
                      <w:szCs w:val="21"/>
                    </w:rPr>
                  </w:pPr>
                </w:p>
              </w:tc>
              <w:tc>
                <w:tcPr>
                  <w:tcW w:w="697" w:type="pct"/>
                  <w:vMerge w:val="continue"/>
                  <w:vAlign w:val="center"/>
                </w:tcPr>
                <w:p w14:paraId="76956766">
                  <w:pPr>
                    <w:widowControl/>
                    <w:jc w:val="center"/>
                    <w:rPr>
                      <w:color w:val="auto"/>
                      <w:kern w:val="0"/>
                      <w:szCs w:val="21"/>
                    </w:rPr>
                  </w:pPr>
                </w:p>
              </w:tc>
              <w:tc>
                <w:tcPr>
                  <w:tcW w:w="583" w:type="pct"/>
                  <w:shd w:val="clear" w:color="auto" w:fill="auto"/>
                  <w:noWrap/>
                  <w:vAlign w:val="center"/>
                </w:tcPr>
                <w:p w14:paraId="03F54982">
                  <w:pPr>
                    <w:widowControl/>
                    <w:jc w:val="center"/>
                    <w:rPr>
                      <w:color w:val="auto"/>
                      <w:kern w:val="0"/>
                      <w:szCs w:val="21"/>
                    </w:rPr>
                  </w:pPr>
                  <w:r>
                    <w:rPr>
                      <w:color w:val="auto"/>
                      <w:kern w:val="0"/>
                      <w:szCs w:val="21"/>
                    </w:rPr>
                    <w:t>去除率</w:t>
                  </w:r>
                </w:p>
              </w:tc>
              <w:tc>
                <w:tcPr>
                  <w:tcW w:w="483" w:type="pct"/>
                  <w:vAlign w:val="center"/>
                </w:tcPr>
                <w:p w14:paraId="3B33C9D3">
                  <w:pPr>
                    <w:widowControl/>
                    <w:jc w:val="center"/>
                    <w:rPr>
                      <w:rFonts w:eastAsia="等线"/>
                      <w:color w:val="auto"/>
                      <w:szCs w:val="21"/>
                    </w:rPr>
                  </w:pPr>
                  <w:r>
                    <w:rPr>
                      <w:rFonts w:eastAsia="等线"/>
                      <w:color w:val="auto"/>
                      <w:szCs w:val="21"/>
                    </w:rPr>
                    <w:t>60</w:t>
                  </w:r>
                  <w:r>
                    <w:rPr>
                      <w:rFonts w:hint="eastAsia" w:eastAsia="等线"/>
                      <w:color w:val="auto"/>
                      <w:szCs w:val="21"/>
                    </w:rPr>
                    <w:t>%</w:t>
                  </w:r>
                </w:p>
              </w:tc>
              <w:tc>
                <w:tcPr>
                  <w:tcW w:w="469" w:type="pct"/>
                  <w:vAlign w:val="center"/>
                </w:tcPr>
                <w:p w14:paraId="4F6C906E">
                  <w:pPr>
                    <w:widowControl/>
                    <w:jc w:val="center"/>
                    <w:rPr>
                      <w:rFonts w:eastAsia="等线"/>
                      <w:color w:val="auto"/>
                      <w:szCs w:val="21"/>
                    </w:rPr>
                  </w:pPr>
                  <w:r>
                    <w:rPr>
                      <w:rFonts w:eastAsia="等线"/>
                      <w:color w:val="auto"/>
                      <w:szCs w:val="21"/>
                    </w:rPr>
                    <w:t>65</w:t>
                  </w:r>
                  <w:r>
                    <w:rPr>
                      <w:rFonts w:hint="eastAsia" w:eastAsia="等线"/>
                      <w:color w:val="auto"/>
                      <w:szCs w:val="21"/>
                    </w:rPr>
                    <w:t>%</w:t>
                  </w:r>
                </w:p>
              </w:tc>
              <w:tc>
                <w:tcPr>
                  <w:tcW w:w="443" w:type="pct"/>
                  <w:shd w:val="clear" w:color="auto" w:fill="auto"/>
                  <w:noWrap/>
                  <w:vAlign w:val="center"/>
                </w:tcPr>
                <w:p w14:paraId="05E81DB1">
                  <w:pPr>
                    <w:widowControl/>
                    <w:jc w:val="center"/>
                    <w:rPr>
                      <w:rFonts w:eastAsia="等线"/>
                      <w:color w:val="auto"/>
                      <w:szCs w:val="21"/>
                    </w:rPr>
                  </w:pPr>
                  <w:r>
                    <w:rPr>
                      <w:rFonts w:eastAsia="等线"/>
                      <w:color w:val="auto"/>
                      <w:szCs w:val="21"/>
                    </w:rPr>
                    <w:t>-</w:t>
                  </w:r>
                </w:p>
              </w:tc>
              <w:tc>
                <w:tcPr>
                  <w:tcW w:w="389" w:type="pct"/>
                  <w:shd w:val="clear" w:color="auto" w:fill="auto"/>
                  <w:noWrap/>
                  <w:vAlign w:val="center"/>
                </w:tcPr>
                <w:p w14:paraId="2254556F">
                  <w:pPr>
                    <w:widowControl/>
                    <w:jc w:val="center"/>
                    <w:rPr>
                      <w:rFonts w:eastAsia="等线"/>
                      <w:color w:val="auto"/>
                      <w:szCs w:val="21"/>
                    </w:rPr>
                  </w:pPr>
                  <w:r>
                    <w:rPr>
                      <w:rFonts w:eastAsia="等线"/>
                      <w:color w:val="auto"/>
                      <w:szCs w:val="21"/>
                    </w:rPr>
                    <w:t>60</w:t>
                  </w:r>
                  <w:r>
                    <w:rPr>
                      <w:rFonts w:hint="eastAsia" w:eastAsia="等线"/>
                      <w:color w:val="auto"/>
                      <w:szCs w:val="21"/>
                    </w:rPr>
                    <w:t>%</w:t>
                  </w:r>
                </w:p>
              </w:tc>
              <w:tc>
                <w:tcPr>
                  <w:tcW w:w="407" w:type="pct"/>
                  <w:shd w:val="clear" w:color="auto" w:fill="auto"/>
                  <w:noWrap/>
                  <w:vAlign w:val="center"/>
                </w:tcPr>
                <w:p w14:paraId="78FABB55">
                  <w:pPr>
                    <w:widowControl/>
                    <w:jc w:val="center"/>
                    <w:rPr>
                      <w:rFonts w:eastAsia="等线"/>
                      <w:color w:val="auto"/>
                      <w:szCs w:val="21"/>
                    </w:rPr>
                  </w:pPr>
                  <w:r>
                    <w:rPr>
                      <w:rFonts w:eastAsia="等线"/>
                      <w:color w:val="auto"/>
                      <w:szCs w:val="21"/>
                    </w:rPr>
                    <w:t>60</w:t>
                  </w:r>
                  <w:r>
                    <w:rPr>
                      <w:rFonts w:hint="eastAsia" w:eastAsia="等线"/>
                      <w:color w:val="auto"/>
                      <w:szCs w:val="21"/>
                    </w:rPr>
                    <w:t>%</w:t>
                  </w:r>
                </w:p>
              </w:tc>
              <w:tc>
                <w:tcPr>
                  <w:tcW w:w="389" w:type="pct"/>
                  <w:shd w:val="clear" w:color="auto" w:fill="auto"/>
                  <w:vAlign w:val="center"/>
                </w:tcPr>
                <w:p w14:paraId="6ECF097C">
                  <w:pPr>
                    <w:widowControl/>
                    <w:jc w:val="center"/>
                    <w:rPr>
                      <w:rFonts w:eastAsia="等线"/>
                      <w:color w:val="auto"/>
                      <w:szCs w:val="21"/>
                    </w:rPr>
                  </w:pPr>
                  <w:r>
                    <w:rPr>
                      <w:rFonts w:eastAsia="等线"/>
                      <w:color w:val="auto"/>
                      <w:szCs w:val="21"/>
                    </w:rPr>
                    <w:t>-</w:t>
                  </w:r>
                </w:p>
              </w:tc>
              <w:tc>
                <w:tcPr>
                  <w:tcW w:w="389" w:type="pct"/>
                  <w:vAlign w:val="center"/>
                </w:tcPr>
                <w:p w14:paraId="79EE575C">
                  <w:pPr>
                    <w:widowControl/>
                    <w:jc w:val="center"/>
                    <w:rPr>
                      <w:rFonts w:eastAsia="等线"/>
                      <w:color w:val="auto"/>
                      <w:szCs w:val="21"/>
                    </w:rPr>
                  </w:pPr>
                  <w:r>
                    <w:rPr>
                      <w:rFonts w:eastAsia="等线"/>
                      <w:color w:val="auto"/>
                      <w:szCs w:val="21"/>
                    </w:rPr>
                    <w:t>10</w:t>
                  </w:r>
                  <w:r>
                    <w:rPr>
                      <w:rFonts w:hint="eastAsia" w:eastAsia="等线"/>
                      <w:color w:val="auto"/>
                      <w:szCs w:val="21"/>
                    </w:rPr>
                    <w:t>%</w:t>
                  </w:r>
                </w:p>
              </w:tc>
              <w:tc>
                <w:tcPr>
                  <w:tcW w:w="389" w:type="pct"/>
                  <w:shd w:val="clear" w:color="auto" w:fill="auto"/>
                  <w:noWrap/>
                  <w:vAlign w:val="center"/>
                </w:tcPr>
                <w:p w14:paraId="4EF3FF48">
                  <w:pPr>
                    <w:widowControl/>
                    <w:jc w:val="center"/>
                    <w:rPr>
                      <w:rFonts w:eastAsia="等线"/>
                      <w:color w:val="auto"/>
                      <w:szCs w:val="21"/>
                    </w:rPr>
                  </w:pPr>
                  <w:r>
                    <w:rPr>
                      <w:rFonts w:eastAsia="等线"/>
                      <w:color w:val="auto"/>
                      <w:szCs w:val="21"/>
                    </w:rPr>
                    <w:t>10</w:t>
                  </w:r>
                  <w:r>
                    <w:rPr>
                      <w:rFonts w:hint="eastAsia" w:eastAsia="等线"/>
                      <w:color w:val="auto"/>
                      <w:szCs w:val="21"/>
                    </w:rPr>
                    <w:t>%</w:t>
                  </w:r>
                </w:p>
              </w:tc>
            </w:tr>
            <w:tr w14:paraId="20CEF1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359" w:type="pct"/>
                  <w:vMerge w:val="restart"/>
                  <w:shd w:val="clear" w:color="auto" w:fill="auto"/>
                  <w:noWrap/>
                  <w:vAlign w:val="center"/>
                </w:tcPr>
                <w:p w14:paraId="0495157E">
                  <w:pPr>
                    <w:widowControl/>
                    <w:jc w:val="center"/>
                    <w:rPr>
                      <w:color w:val="auto"/>
                      <w:kern w:val="0"/>
                      <w:szCs w:val="21"/>
                    </w:rPr>
                  </w:pPr>
                  <w:r>
                    <w:rPr>
                      <w:color w:val="auto"/>
                      <w:kern w:val="0"/>
                      <w:szCs w:val="21"/>
                    </w:rPr>
                    <w:t>4</w:t>
                  </w:r>
                </w:p>
              </w:tc>
              <w:tc>
                <w:tcPr>
                  <w:tcW w:w="697" w:type="pct"/>
                  <w:vMerge w:val="restart"/>
                  <w:shd w:val="clear" w:color="auto" w:fill="auto"/>
                  <w:noWrap/>
                  <w:vAlign w:val="center"/>
                </w:tcPr>
                <w:p w14:paraId="341EB2BA">
                  <w:pPr>
                    <w:widowControl/>
                    <w:jc w:val="center"/>
                    <w:rPr>
                      <w:color w:val="auto"/>
                      <w:kern w:val="0"/>
                      <w:szCs w:val="21"/>
                    </w:rPr>
                  </w:pPr>
                  <w:r>
                    <w:rPr>
                      <w:color w:val="auto"/>
                      <w:kern w:val="0"/>
                      <w:szCs w:val="21"/>
                    </w:rPr>
                    <w:t>二沉池</w:t>
                  </w:r>
                </w:p>
              </w:tc>
              <w:tc>
                <w:tcPr>
                  <w:tcW w:w="583" w:type="pct"/>
                  <w:shd w:val="clear" w:color="auto" w:fill="auto"/>
                  <w:noWrap/>
                  <w:vAlign w:val="center"/>
                </w:tcPr>
                <w:p w14:paraId="43429EDB">
                  <w:pPr>
                    <w:widowControl/>
                    <w:jc w:val="center"/>
                    <w:rPr>
                      <w:color w:val="auto"/>
                      <w:kern w:val="0"/>
                      <w:szCs w:val="21"/>
                    </w:rPr>
                  </w:pPr>
                  <w:r>
                    <w:rPr>
                      <w:color w:val="auto"/>
                      <w:kern w:val="0"/>
                      <w:szCs w:val="21"/>
                    </w:rPr>
                    <w:t>进水</w:t>
                  </w:r>
                </w:p>
              </w:tc>
              <w:tc>
                <w:tcPr>
                  <w:tcW w:w="483" w:type="pct"/>
                  <w:vAlign w:val="center"/>
                </w:tcPr>
                <w:p w14:paraId="2A0909A3">
                  <w:pPr>
                    <w:widowControl/>
                    <w:jc w:val="center"/>
                    <w:rPr>
                      <w:rFonts w:eastAsia="等线"/>
                      <w:color w:val="auto"/>
                      <w:szCs w:val="21"/>
                    </w:rPr>
                  </w:pPr>
                  <w:r>
                    <w:rPr>
                      <w:rFonts w:hint="eastAsia" w:eastAsia="等线"/>
                      <w:color w:val="auto"/>
                      <w:szCs w:val="21"/>
                    </w:rPr>
                    <w:t>133.77</w:t>
                  </w:r>
                </w:p>
              </w:tc>
              <w:tc>
                <w:tcPr>
                  <w:tcW w:w="469" w:type="pct"/>
                  <w:vAlign w:val="center"/>
                </w:tcPr>
                <w:p w14:paraId="6580272E">
                  <w:pPr>
                    <w:widowControl/>
                    <w:jc w:val="center"/>
                    <w:rPr>
                      <w:rFonts w:eastAsia="等线"/>
                      <w:color w:val="auto"/>
                      <w:szCs w:val="21"/>
                    </w:rPr>
                  </w:pPr>
                  <w:r>
                    <w:rPr>
                      <w:rFonts w:hint="eastAsia" w:eastAsia="等线"/>
                      <w:color w:val="auto"/>
                      <w:szCs w:val="21"/>
                    </w:rPr>
                    <w:t>85.05</w:t>
                  </w:r>
                </w:p>
              </w:tc>
              <w:tc>
                <w:tcPr>
                  <w:tcW w:w="443" w:type="pct"/>
                  <w:shd w:val="clear" w:color="auto" w:fill="auto"/>
                  <w:noWrap/>
                  <w:vAlign w:val="center"/>
                </w:tcPr>
                <w:p w14:paraId="2D679043">
                  <w:pPr>
                    <w:jc w:val="center"/>
                    <w:rPr>
                      <w:rFonts w:eastAsia="等线"/>
                      <w:color w:val="auto"/>
                      <w:szCs w:val="21"/>
                    </w:rPr>
                  </w:pPr>
                  <w:r>
                    <w:rPr>
                      <w:rFonts w:hint="eastAsia" w:eastAsia="等线"/>
                      <w:color w:val="auto"/>
                      <w:szCs w:val="21"/>
                    </w:rPr>
                    <w:t>99.71</w:t>
                  </w:r>
                </w:p>
              </w:tc>
              <w:tc>
                <w:tcPr>
                  <w:tcW w:w="389" w:type="pct"/>
                  <w:shd w:val="clear" w:color="auto" w:fill="auto"/>
                  <w:noWrap/>
                  <w:vAlign w:val="center"/>
                </w:tcPr>
                <w:p w14:paraId="24734D8C">
                  <w:pPr>
                    <w:jc w:val="center"/>
                    <w:rPr>
                      <w:rFonts w:eastAsia="等线"/>
                      <w:color w:val="auto"/>
                      <w:szCs w:val="21"/>
                    </w:rPr>
                  </w:pPr>
                  <w:r>
                    <w:rPr>
                      <w:rFonts w:hint="eastAsia" w:eastAsia="等线"/>
                      <w:color w:val="auto"/>
                      <w:szCs w:val="21"/>
                    </w:rPr>
                    <w:t>2.80</w:t>
                  </w:r>
                </w:p>
              </w:tc>
              <w:tc>
                <w:tcPr>
                  <w:tcW w:w="407" w:type="pct"/>
                  <w:shd w:val="clear" w:color="auto" w:fill="auto"/>
                  <w:noWrap/>
                  <w:vAlign w:val="center"/>
                </w:tcPr>
                <w:p w14:paraId="49C1F693">
                  <w:pPr>
                    <w:jc w:val="center"/>
                    <w:rPr>
                      <w:rFonts w:eastAsia="等线"/>
                      <w:color w:val="auto"/>
                      <w:szCs w:val="21"/>
                    </w:rPr>
                  </w:pPr>
                  <w:r>
                    <w:rPr>
                      <w:rFonts w:hint="eastAsia" w:eastAsia="等线"/>
                      <w:color w:val="auto"/>
                      <w:szCs w:val="21"/>
                    </w:rPr>
                    <w:t>5.30</w:t>
                  </w:r>
                </w:p>
              </w:tc>
              <w:tc>
                <w:tcPr>
                  <w:tcW w:w="389" w:type="pct"/>
                  <w:shd w:val="clear" w:color="auto" w:fill="auto"/>
                  <w:vAlign w:val="center"/>
                </w:tcPr>
                <w:p w14:paraId="00AD39C4">
                  <w:pPr>
                    <w:jc w:val="center"/>
                    <w:rPr>
                      <w:rFonts w:eastAsia="等线"/>
                      <w:color w:val="auto"/>
                      <w:szCs w:val="21"/>
                    </w:rPr>
                  </w:pPr>
                  <w:r>
                    <w:rPr>
                      <w:rFonts w:hint="eastAsia" w:eastAsia="等线"/>
                      <w:color w:val="auto"/>
                      <w:szCs w:val="21"/>
                    </w:rPr>
                    <w:t>1.24</w:t>
                  </w:r>
                </w:p>
              </w:tc>
              <w:tc>
                <w:tcPr>
                  <w:tcW w:w="389" w:type="pct"/>
                  <w:vAlign w:val="center"/>
                </w:tcPr>
                <w:p w14:paraId="72D65A65">
                  <w:pPr>
                    <w:jc w:val="center"/>
                    <w:rPr>
                      <w:rFonts w:eastAsia="等线"/>
                      <w:color w:val="auto"/>
                      <w:szCs w:val="21"/>
                    </w:rPr>
                  </w:pPr>
                  <w:r>
                    <w:rPr>
                      <w:rFonts w:hint="eastAsia" w:eastAsia="等线"/>
                      <w:color w:val="auto"/>
                      <w:szCs w:val="21"/>
                    </w:rPr>
                    <w:t>0.20</w:t>
                  </w:r>
                </w:p>
              </w:tc>
              <w:tc>
                <w:tcPr>
                  <w:tcW w:w="389" w:type="pct"/>
                  <w:shd w:val="clear" w:color="auto" w:fill="auto"/>
                  <w:noWrap/>
                  <w:vAlign w:val="center"/>
                </w:tcPr>
                <w:p w14:paraId="33000FB9">
                  <w:pPr>
                    <w:jc w:val="center"/>
                    <w:rPr>
                      <w:rFonts w:eastAsia="等线"/>
                      <w:color w:val="auto"/>
                      <w:szCs w:val="21"/>
                    </w:rPr>
                  </w:pPr>
                  <w:r>
                    <w:rPr>
                      <w:rFonts w:hint="eastAsia" w:eastAsia="等线"/>
                      <w:color w:val="auto"/>
                      <w:szCs w:val="21"/>
                    </w:rPr>
                    <w:t>0.51</w:t>
                  </w:r>
                </w:p>
              </w:tc>
            </w:tr>
            <w:tr w14:paraId="2BE280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359" w:type="pct"/>
                  <w:vMerge w:val="continue"/>
                  <w:shd w:val="clear" w:color="auto" w:fill="auto"/>
                  <w:noWrap/>
                  <w:vAlign w:val="center"/>
                </w:tcPr>
                <w:p w14:paraId="05678E81">
                  <w:pPr>
                    <w:widowControl/>
                    <w:jc w:val="center"/>
                    <w:rPr>
                      <w:color w:val="auto"/>
                      <w:kern w:val="0"/>
                      <w:szCs w:val="21"/>
                    </w:rPr>
                  </w:pPr>
                </w:p>
              </w:tc>
              <w:tc>
                <w:tcPr>
                  <w:tcW w:w="697" w:type="pct"/>
                  <w:vMerge w:val="continue"/>
                  <w:shd w:val="clear" w:color="auto" w:fill="auto"/>
                  <w:noWrap/>
                  <w:vAlign w:val="center"/>
                </w:tcPr>
                <w:p w14:paraId="7715960B">
                  <w:pPr>
                    <w:widowControl/>
                    <w:jc w:val="center"/>
                    <w:rPr>
                      <w:color w:val="auto"/>
                      <w:kern w:val="0"/>
                      <w:szCs w:val="21"/>
                    </w:rPr>
                  </w:pPr>
                </w:p>
              </w:tc>
              <w:tc>
                <w:tcPr>
                  <w:tcW w:w="583" w:type="pct"/>
                  <w:shd w:val="clear" w:color="auto" w:fill="auto"/>
                  <w:noWrap/>
                  <w:vAlign w:val="center"/>
                </w:tcPr>
                <w:p w14:paraId="6A447152">
                  <w:pPr>
                    <w:widowControl/>
                    <w:jc w:val="center"/>
                    <w:rPr>
                      <w:color w:val="auto"/>
                      <w:kern w:val="0"/>
                      <w:szCs w:val="21"/>
                    </w:rPr>
                  </w:pPr>
                  <w:r>
                    <w:rPr>
                      <w:color w:val="auto"/>
                      <w:kern w:val="0"/>
                      <w:szCs w:val="21"/>
                    </w:rPr>
                    <w:t>出水</w:t>
                  </w:r>
                </w:p>
              </w:tc>
              <w:tc>
                <w:tcPr>
                  <w:tcW w:w="483" w:type="pct"/>
                  <w:vAlign w:val="center"/>
                </w:tcPr>
                <w:p w14:paraId="6F767B8A">
                  <w:pPr>
                    <w:widowControl/>
                    <w:jc w:val="center"/>
                    <w:rPr>
                      <w:rFonts w:eastAsia="等线"/>
                      <w:color w:val="auto"/>
                      <w:szCs w:val="21"/>
                    </w:rPr>
                  </w:pPr>
                  <w:r>
                    <w:rPr>
                      <w:rFonts w:hint="eastAsia" w:eastAsia="等线"/>
                      <w:color w:val="auto"/>
                      <w:szCs w:val="21"/>
                    </w:rPr>
                    <w:t>133.77</w:t>
                  </w:r>
                </w:p>
              </w:tc>
              <w:tc>
                <w:tcPr>
                  <w:tcW w:w="469" w:type="pct"/>
                  <w:vAlign w:val="center"/>
                </w:tcPr>
                <w:p w14:paraId="7C3C94C1">
                  <w:pPr>
                    <w:widowControl/>
                    <w:jc w:val="center"/>
                    <w:rPr>
                      <w:rFonts w:eastAsia="等线"/>
                      <w:color w:val="auto"/>
                      <w:szCs w:val="21"/>
                    </w:rPr>
                  </w:pPr>
                  <w:r>
                    <w:rPr>
                      <w:rFonts w:hint="eastAsia" w:eastAsia="等线"/>
                      <w:color w:val="auto"/>
                      <w:szCs w:val="21"/>
                    </w:rPr>
                    <w:t>85.05</w:t>
                  </w:r>
                </w:p>
              </w:tc>
              <w:tc>
                <w:tcPr>
                  <w:tcW w:w="443" w:type="pct"/>
                  <w:shd w:val="clear" w:color="auto" w:fill="auto"/>
                  <w:noWrap/>
                  <w:vAlign w:val="center"/>
                </w:tcPr>
                <w:p w14:paraId="102F2C60">
                  <w:pPr>
                    <w:jc w:val="center"/>
                    <w:rPr>
                      <w:rFonts w:eastAsia="等线"/>
                      <w:color w:val="auto"/>
                      <w:szCs w:val="21"/>
                    </w:rPr>
                  </w:pPr>
                  <w:r>
                    <w:rPr>
                      <w:rFonts w:hint="eastAsia" w:eastAsia="等线"/>
                      <w:color w:val="auto"/>
                      <w:szCs w:val="21"/>
                    </w:rPr>
                    <w:t>39.88</w:t>
                  </w:r>
                </w:p>
              </w:tc>
              <w:tc>
                <w:tcPr>
                  <w:tcW w:w="389" w:type="pct"/>
                  <w:shd w:val="clear" w:color="auto" w:fill="auto"/>
                  <w:noWrap/>
                  <w:vAlign w:val="center"/>
                </w:tcPr>
                <w:p w14:paraId="58995C08">
                  <w:pPr>
                    <w:jc w:val="center"/>
                    <w:rPr>
                      <w:rFonts w:eastAsia="等线"/>
                      <w:color w:val="auto"/>
                      <w:szCs w:val="21"/>
                    </w:rPr>
                  </w:pPr>
                  <w:r>
                    <w:rPr>
                      <w:rFonts w:hint="eastAsia" w:eastAsia="等线"/>
                      <w:color w:val="auto"/>
                      <w:szCs w:val="21"/>
                    </w:rPr>
                    <w:t>2.80</w:t>
                  </w:r>
                </w:p>
              </w:tc>
              <w:tc>
                <w:tcPr>
                  <w:tcW w:w="407" w:type="pct"/>
                  <w:shd w:val="clear" w:color="auto" w:fill="auto"/>
                  <w:noWrap/>
                  <w:vAlign w:val="center"/>
                </w:tcPr>
                <w:p w14:paraId="33D22243">
                  <w:pPr>
                    <w:jc w:val="center"/>
                    <w:rPr>
                      <w:rFonts w:eastAsia="等线"/>
                      <w:color w:val="auto"/>
                      <w:szCs w:val="21"/>
                    </w:rPr>
                  </w:pPr>
                  <w:r>
                    <w:rPr>
                      <w:rFonts w:hint="eastAsia" w:eastAsia="等线"/>
                      <w:color w:val="auto"/>
                      <w:szCs w:val="21"/>
                    </w:rPr>
                    <w:t>5.30</w:t>
                  </w:r>
                </w:p>
              </w:tc>
              <w:tc>
                <w:tcPr>
                  <w:tcW w:w="389" w:type="pct"/>
                  <w:shd w:val="clear" w:color="auto" w:fill="auto"/>
                  <w:vAlign w:val="center"/>
                </w:tcPr>
                <w:p w14:paraId="7F6487DC">
                  <w:pPr>
                    <w:jc w:val="center"/>
                    <w:rPr>
                      <w:rFonts w:eastAsia="等线"/>
                      <w:color w:val="auto"/>
                      <w:szCs w:val="21"/>
                    </w:rPr>
                  </w:pPr>
                  <w:r>
                    <w:rPr>
                      <w:rFonts w:hint="eastAsia" w:eastAsia="等线"/>
                      <w:color w:val="auto"/>
                      <w:szCs w:val="21"/>
                    </w:rPr>
                    <w:t>0.49</w:t>
                  </w:r>
                </w:p>
              </w:tc>
              <w:tc>
                <w:tcPr>
                  <w:tcW w:w="389" w:type="pct"/>
                  <w:vAlign w:val="center"/>
                </w:tcPr>
                <w:p w14:paraId="4A6985D0">
                  <w:pPr>
                    <w:jc w:val="center"/>
                    <w:rPr>
                      <w:rFonts w:eastAsia="等线"/>
                      <w:color w:val="auto"/>
                      <w:szCs w:val="21"/>
                    </w:rPr>
                  </w:pPr>
                  <w:r>
                    <w:rPr>
                      <w:rFonts w:hint="eastAsia" w:eastAsia="等线"/>
                      <w:color w:val="auto"/>
                      <w:szCs w:val="21"/>
                    </w:rPr>
                    <w:t>0.20</w:t>
                  </w:r>
                </w:p>
              </w:tc>
              <w:tc>
                <w:tcPr>
                  <w:tcW w:w="389" w:type="pct"/>
                  <w:shd w:val="clear" w:color="auto" w:fill="auto"/>
                  <w:noWrap/>
                  <w:vAlign w:val="center"/>
                </w:tcPr>
                <w:p w14:paraId="2E43F11D">
                  <w:pPr>
                    <w:jc w:val="center"/>
                    <w:rPr>
                      <w:rFonts w:eastAsia="等线"/>
                      <w:color w:val="auto"/>
                      <w:szCs w:val="21"/>
                    </w:rPr>
                  </w:pPr>
                  <w:r>
                    <w:rPr>
                      <w:rFonts w:hint="eastAsia" w:eastAsia="等线"/>
                      <w:color w:val="auto"/>
                      <w:szCs w:val="21"/>
                    </w:rPr>
                    <w:t>0.51</w:t>
                  </w:r>
                </w:p>
              </w:tc>
            </w:tr>
            <w:tr w14:paraId="36BFB6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359" w:type="pct"/>
                  <w:vMerge w:val="continue"/>
                  <w:shd w:val="clear" w:color="auto" w:fill="auto"/>
                  <w:noWrap/>
                  <w:vAlign w:val="center"/>
                </w:tcPr>
                <w:p w14:paraId="520E7367">
                  <w:pPr>
                    <w:widowControl/>
                    <w:jc w:val="center"/>
                    <w:rPr>
                      <w:color w:val="auto"/>
                      <w:kern w:val="0"/>
                      <w:szCs w:val="21"/>
                    </w:rPr>
                  </w:pPr>
                </w:p>
              </w:tc>
              <w:tc>
                <w:tcPr>
                  <w:tcW w:w="697" w:type="pct"/>
                  <w:vMerge w:val="continue"/>
                  <w:shd w:val="clear" w:color="auto" w:fill="auto"/>
                  <w:noWrap/>
                  <w:vAlign w:val="center"/>
                </w:tcPr>
                <w:p w14:paraId="3A825521">
                  <w:pPr>
                    <w:widowControl/>
                    <w:jc w:val="center"/>
                    <w:rPr>
                      <w:color w:val="auto"/>
                      <w:kern w:val="0"/>
                      <w:szCs w:val="21"/>
                    </w:rPr>
                  </w:pPr>
                </w:p>
              </w:tc>
              <w:tc>
                <w:tcPr>
                  <w:tcW w:w="583" w:type="pct"/>
                  <w:shd w:val="clear" w:color="auto" w:fill="auto"/>
                  <w:noWrap/>
                  <w:vAlign w:val="center"/>
                </w:tcPr>
                <w:p w14:paraId="508DBCBE">
                  <w:pPr>
                    <w:widowControl/>
                    <w:jc w:val="center"/>
                    <w:rPr>
                      <w:color w:val="auto"/>
                      <w:kern w:val="0"/>
                      <w:szCs w:val="21"/>
                    </w:rPr>
                  </w:pPr>
                  <w:r>
                    <w:rPr>
                      <w:color w:val="auto"/>
                      <w:kern w:val="0"/>
                      <w:szCs w:val="21"/>
                    </w:rPr>
                    <w:t>去除率</w:t>
                  </w:r>
                </w:p>
              </w:tc>
              <w:tc>
                <w:tcPr>
                  <w:tcW w:w="483" w:type="pct"/>
                  <w:vAlign w:val="center"/>
                </w:tcPr>
                <w:p w14:paraId="442D192C">
                  <w:pPr>
                    <w:widowControl/>
                    <w:jc w:val="center"/>
                    <w:rPr>
                      <w:rFonts w:eastAsia="等线"/>
                      <w:color w:val="auto"/>
                      <w:szCs w:val="21"/>
                    </w:rPr>
                  </w:pPr>
                  <w:r>
                    <w:rPr>
                      <w:rFonts w:eastAsia="等线"/>
                      <w:color w:val="auto"/>
                      <w:szCs w:val="21"/>
                    </w:rPr>
                    <w:t>-</w:t>
                  </w:r>
                </w:p>
              </w:tc>
              <w:tc>
                <w:tcPr>
                  <w:tcW w:w="469" w:type="pct"/>
                  <w:vAlign w:val="center"/>
                </w:tcPr>
                <w:p w14:paraId="075C82E2">
                  <w:pPr>
                    <w:widowControl/>
                    <w:jc w:val="center"/>
                    <w:rPr>
                      <w:rFonts w:eastAsia="等线"/>
                      <w:color w:val="auto"/>
                      <w:szCs w:val="21"/>
                    </w:rPr>
                  </w:pPr>
                  <w:r>
                    <w:rPr>
                      <w:rFonts w:hint="eastAsia" w:eastAsia="等线"/>
                      <w:color w:val="auto"/>
                      <w:szCs w:val="21"/>
                    </w:rPr>
                    <w:t>-</w:t>
                  </w:r>
                </w:p>
              </w:tc>
              <w:tc>
                <w:tcPr>
                  <w:tcW w:w="443" w:type="pct"/>
                  <w:shd w:val="clear" w:color="auto" w:fill="auto"/>
                  <w:noWrap/>
                  <w:vAlign w:val="center"/>
                </w:tcPr>
                <w:p w14:paraId="7E65BFDC">
                  <w:pPr>
                    <w:widowControl/>
                    <w:jc w:val="center"/>
                    <w:rPr>
                      <w:rFonts w:eastAsia="等线"/>
                      <w:color w:val="auto"/>
                      <w:szCs w:val="21"/>
                    </w:rPr>
                  </w:pPr>
                  <w:r>
                    <w:rPr>
                      <w:rFonts w:eastAsia="等线"/>
                      <w:color w:val="auto"/>
                      <w:szCs w:val="21"/>
                    </w:rPr>
                    <w:t>60</w:t>
                  </w:r>
                  <w:r>
                    <w:rPr>
                      <w:rFonts w:hint="eastAsia" w:eastAsia="等线"/>
                      <w:color w:val="auto"/>
                      <w:szCs w:val="21"/>
                    </w:rPr>
                    <w:t>%</w:t>
                  </w:r>
                </w:p>
              </w:tc>
              <w:tc>
                <w:tcPr>
                  <w:tcW w:w="389" w:type="pct"/>
                  <w:shd w:val="clear" w:color="auto" w:fill="auto"/>
                  <w:noWrap/>
                  <w:vAlign w:val="center"/>
                </w:tcPr>
                <w:p w14:paraId="46D1A4E1">
                  <w:pPr>
                    <w:widowControl/>
                    <w:jc w:val="center"/>
                    <w:rPr>
                      <w:rFonts w:eastAsia="等线"/>
                      <w:color w:val="auto"/>
                      <w:szCs w:val="21"/>
                    </w:rPr>
                  </w:pPr>
                  <w:r>
                    <w:rPr>
                      <w:rFonts w:eastAsia="等线"/>
                      <w:color w:val="auto"/>
                      <w:szCs w:val="21"/>
                    </w:rPr>
                    <w:t>-</w:t>
                  </w:r>
                </w:p>
              </w:tc>
              <w:tc>
                <w:tcPr>
                  <w:tcW w:w="407" w:type="pct"/>
                  <w:shd w:val="clear" w:color="auto" w:fill="auto"/>
                  <w:noWrap/>
                  <w:vAlign w:val="center"/>
                </w:tcPr>
                <w:p w14:paraId="660EEBA4">
                  <w:pPr>
                    <w:widowControl/>
                    <w:jc w:val="center"/>
                    <w:rPr>
                      <w:rFonts w:eastAsia="等线"/>
                      <w:color w:val="auto"/>
                      <w:szCs w:val="21"/>
                    </w:rPr>
                  </w:pPr>
                  <w:r>
                    <w:rPr>
                      <w:rFonts w:eastAsia="等线"/>
                      <w:color w:val="auto"/>
                      <w:szCs w:val="21"/>
                    </w:rPr>
                    <w:t>-</w:t>
                  </w:r>
                </w:p>
              </w:tc>
              <w:tc>
                <w:tcPr>
                  <w:tcW w:w="389" w:type="pct"/>
                  <w:shd w:val="clear" w:color="auto" w:fill="auto"/>
                  <w:vAlign w:val="center"/>
                </w:tcPr>
                <w:p w14:paraId="5D1D3C2C">
                  <w:pPr>
                    <w:widowControl/>
                    <w:jc w:val="center"/>
                    <w:rPr>
                      <w:rFonts w:eastAsia="等线"/>
                      <w:color w:val="auto"/>
                      <w:szCs w:val="21"/>
                    </w:rPr>
                  </w:pPr>
                  <w:r>
                    <w:rPr>
                      <w:rFonts w:eastAsia="等线"/>
                      <w:color w:val="auto"/>
                      <w:szCs w:val="21"/>
                    </w:rPr>
                    <w:t>60</w:t>
                  </w:r>
                  <w:r>
                    <w:rPr>
                      <w:rFonts w:hint="eastAsia" w:eastAsia="等线"/>
                      <w:color w:val="auto"/>
                      <w:szCs w:val="21"/>
                    </w:rPr>
                    <w:t>%</w:t>
                  </w:r>
                </w:p>
              </w:tc>
              <w:tc>
                <w:tcPr>
                  <w:tcW w:w="389" w:type="pct"/>
                  <w:vAlign w:val="center"/>
                </w:tcPr>
                <w:p w14:paraId="72493A08">
                  <w:pPr>
                    <w:widowControl/>
                    <w:jc w:val="center"/>
                    <w:rPr>
                      <w:rFonts w:eastAsia="等线"/>
                      <w:color w:val="auto"/>
                      <w:szCs w:val="21"/>
                    </w:rPr>
                  </w:pPr>
                  <w:r>
                    <w:rPr>
                      <w:rFonts w:eastAsia="等线"/>
                      <w:color w:val="auto"/>
                      <w:szCs w:val="21"/>
                    </w:rPr>
                    <w:t>-</w:t>
                  </w:r>
                </w:p>
              </w:tc>
              <w:tc>
                <w:tcPr>
                  <w:tcW w:w="389" w:type="pct"/>
                  <w:shd w:val="clear" w:color="auto" w:fill="auto"/>
                  <w:noWrap/>
                  <w:vAlign w:val="center"/>
                </w:tcPr>
                <w:p w14:paraId="6116817A">
                  <w:pPr>
                    <w:widowControl/>
                    <w:jc w:val="center"/>
                    <w:rPr>
                      <w:rFonts w:eastAsia="等线"/>
                      <w:color w:val="auto"/>
                      <w:szCs w:val="21"/>
                    </w:rPr>
                  </w:pPr>
                  <w:r>
                    <w:rPr>
                      <w:rFonts w:eastAsia="等线"/>
                      <w:color w:val="auto"/>
                      <w:szCs w:val="21"/>
                    </w:rPr>
                    <w:t>-</w:t>
                  </w:r>
                </w:p>
              </w:tc>
            </w:tr>
            <w:tr w14:paraId="61F373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359" w:type="pct"/>
                  <w:shd w:val="clear" w:color="auto" w:fill="auto"/>
                  <w:noWrap/>
                  <w:vAlign w:val="center"/>
                </w:tcPr>
                <w:p w14:paraId="18E5333F">
                  <w:pPr>
                    <w:widowControl/>
                    <w:jc w:val="center"/>
                    <w:rPr>
                      <w:bCs/>
                      <w:color w:val="auto"/>
                      <w:kern w:val="0"/>
                      <w:szCs w:val="21"/>
                    </w:rPr>
                  </w:pPr>
                  <w:r>
                    <w:rPr>
                      <w:bCs/>
                      <w:color w:val="auto"/>
                      <w:kern w:val="0"/>
                      <w:szCs w:val="21"/>
                    </w:rPr>
                    <w:t>5</w:t>
                  </w:r>
                </w:p>
              </w:tc>
              <w:tc>
                <w:tcPr>
                  <w:tcW w:w="697" w:type="pct"/>
                  <w:shd w:val="clear" w:color="auto" w:fill="auto"/>
                  <w:noWrap/>
                  <w:vAlign w:val="center"/>
                </w:tcPr>
                <w:p w14:paraId="79335F8D">
                  <w:pPr>
                    <w:widowControl/>
                    <w:jc w:val="center"/>
                    <w:rPr>
                      <w:bCs/>
                      <w:color w:val="auto"/>
                      <w:kern w:val="0"/>
                      <w:szCs w:val="21"/>
                    </w:rPr>
                  </w:pPr>
                  <w:r>
                    <w:rPr>
                      <w:bCs/>
                      <w:color w:val="auto"/>
                      <w:kern w:val="0"/>
                      <w:szCs w:val="21"/>
                    </w:rPr>
                    <w:t>出水</w:t>
                  </w:r>
                </w:p>
              </w:tc>
              <w:tc>
                <w:tcPr>
                  <w:tcW w:w="583" w:type="pct"/>
                  <w:shd w:val="clear" w:color="auto" w:fill="auto"/>
                  <w:noWrap/>
                  <w:vAlign w:val="center"/>
                </w:tcPr>
                <w:p w14:paraId="2E04A951">
                  <w:pPr>
                    <w:widowControl/>
                    <w:jc w:val="center"/>
                    <w:rPr>
                      <w:bCs/>
                      <w:color w:val="auto"/>
                      <w:kern w:val="0"/>
                      <w:szCs w:val="21"/>
                    </w:rPr>
                  </w:pPr>
                  <w:r>
                    <w:rPr>
                      <w:bCs/>
                      <w:color w:val="auto"/>
                      <w:kern w:val="0"/>
                      <w:szCs w:val="21"/>
                    </w:rPr>
                    <w:t>/</w:t>
                  </w:r>
                </w:p>
              </w:tc>
              <w:tc>
                <w:tcPr>
                  <w:tcW w:w="483" w:type="pct"/>
                  <w:vAlign w:val="center"/>
                </w:tcPr>
                <w:p w14:paraId="45123035">
                  <w:pPr>
                    <w:widowControl/>
                    <w:jc w:val="center"/>
                    <w:rPr>
                      <w:rFonts w:eastAsia="等线"/>
                      <w:color w:val="auto"/>
                      <w:szCs w:val="21"/>
                    </w:rPr>
                  </w:pPr>
                  <w:r>
                    <w:rPr>
                      <w:rFonts w:hint="eastAsia" w:eastAsia="等线"/>
                      <w:color w:val="auto"/>
                      <w:szCs w:val="21"/>
                    </w:rPr>
                    <w:t>133.77</w:t>
                  </w:r>
                </w:p>
              </w:tc>
              <w:tc>
                <w:tcPr>
                  <w:tcW w:w="469" w:type="pct"/>
                  <w:vAlign w:val="center"/>
                </w:tcPr>
                <w:p w14:paraId="27360BE3">
                  <w:pPr>
                    <w:widowControl/>
                    <w:jc w:val="center"/>
                    <w:rPr>
                      <w:rFonts w:eastAsia="等线"/>
                      <w:color w:val="auto"/>
                      <w:szCs w:val="21"/>
                    </w:rPr>
                  </w:pPr>
                  <w:r>
                    <w:rPr>
                      <w:rFonts w:hint="eastAsia" w:eastAsia="等线"/>
                      <w:color w:val="auto"/>
                      <w:szCs w:val="21"/>
                    </w:rPr>
                    <w:t>85.05</w:t>
                  </w:r>
                </w:p>
              </w:tc>
              <w:tc>
                <w:tcPr>
                  <w:tcW w:w="443" w:type="pct"/>
                  <w:shd w:val="clear" w:color="auto" w:fill="auto"/>
                  <w:noWrap/>
                  <w:vAlign w:val="center"/>
                </w:tcPr>
                <w:p w14:paraId="6E044D38">
                  <w:pPr>
                    <w:jc w:val="center"/>
                    <w:rPr>
                      <w:rFonts w:eastAsia="等线"/>
                      <w:color w:val="auto"/>
                      <w:szCs w:val="21"/>
                    </w:rPr>
                  </w:pPr>
                  <w:r>
                    <w:rPr>
                      <w:rFonts w:hint="eastAsia" w:eastAsia="等线"/>
                      <w:color w:val="auto"/>
                      <w:szCs w:val="21"/>
                    </w:rPr>
                    <w:t>39.88</w:t>
                  </w:r>
                </w:p>
              </w:tc>
              <w:tc>
                <w:tcPr>
                  <w:tcW w:w="389" w:type="pct"/>
                  <w:shd w:val="clear" w:color="auto" w:fill="auto"/>
                  <w:noWrap/>
                  <w:vAlign w:val="center"/>
                </w:tcPr>
                <w:p w14:paraId="23C89FD2">
                  <w:pPr>
                    <w:jc w:val="center"/>
                    <w:rPr>
                      <w:rFonts w:eastAsia="等线"/>
                      <w:color w:val="auto"/>
                      <w:szCs w:val="21"/>
                    </w:rPr>
                  </w:pPr>
                  <w:r>
                    <w:rPr>
                      <w:rFonts w:hint="eastAsia" w:eastAsia="等线"/>
                      <w:color w:val="auto"/>
                      <w:szCs w:val="21"/>
                    </w:rPr>
                    <w:t>2.80</w:t>
                  </w:r>
                </w:p>
              </w:tc>
              <w:tc>
                <w:tcPr>
                  <w:tcW w:w="407" w:type="pct"/>
                  <w:shd w:val="clear" w:color="auto" w:fill="auto"/>
                  <w:noWrap/>
                  <w:vAlign w:val="center"/>
                </w:tcPr>
                <w:p w14:paraId="0E48FFDB">
                  <w:pPr>
                    <w:jc w:val="center"/>
                    <w:rPr>
                      <w:rFonts w:eastAsia="等线"/>
                      <w:color w:val="auto"/>
                      <w:szCs w:val="21"/>
                    </w:rPr>
                  </w:pPr>
                  <w:r>
                    <w:rPr>
                      <w:rFonts w:hint="eastAsia" w:eastAsia="等线"/>
                      <w:color w:val="auto"/>
                      <w:szCs w:val="21"/>
                    </w:rPr>
                    <w:t>5.30</w:t>
                  </w:r>
                </w:p>
              </w:tc>
              <w:tc>
                <w:tcPr>
                  <w:tcW w:w="389" w:type="pct"/>
                  <w:shd w:val="clear" w:color="auto" w:fill="auto"/>
                  <w:vAlign w:val="center"/>
                </w:tcPr>
                <w:p w14:paraId="7A643772">
                  <w:pPr>
                    <w:jc w:val="center"/>
                    <w:rPr>
                      <w:rFonts w:eastAsia="等线"/>
                      <w:color w:val="auto"/>
                      <w:szCs w:val="21"/>
                    </w:rPr>
                  </w:pPr>
                  <w:r>
                    <w:rPr>
                      <w:rFonts w:hint="eastAsia" w:eastAsia="等线"/>
                      <w:color w:val="auto"/>
                      <w:szCs w:val="21"/>
                    </w:rPr>
                    <w:t>0.49</w:t>
                  </w:r>
                </w:p>
              </w:tc>
              <w:tc>
                <w:tcPr>
                  <w:tcW w:w="389" w:type="pct"/>
                  <w:vAlign w:val="center"/>
                </w:tcPr>
                <w:p w14:paraId="5ECA2447">
                  <w:pPr>
                    <w:jc w:val="center"/>
                    <w:rPr>
                      <w:rFonts w:eastAsia="等线"/>
                      <w:color w:val="auto"/>
                      <w:szCs w:val="21"/>
                    </w:rPr>
                  </w:pPr>
                  <w:r>
                    <w:rPr>
                      <w:rFonts w:hint="eastAsia" w:eastAsia="等线"/>
                      <w:color w:val="auto"/>
                      <w:szCs w:val="21"/>
                    </w:rPr>
                    <w:t>0.20</w:t>
                  </w:r>
                </w:p>
              </w:tc>
              <w:tc>
                <w:tcPr>
                  <w:tcW w:w="389" w:type="pct"/>
                  <w:shd w:val="clear" w:color="auto" w:fill="auto"/>
                  <w:noWrap/>
                  <w:vAlign w:val="center"/>
                </w:tcPr>
                <w:p w14:paraId="41DB8648">
                  <w:pPr>
                    <w:jc w:val="center"/>
                    <w:rPr>
                      <w:rFonts w:eastAsia="等线"/>
                      <w:color w:val="auto"/>
                      <w:szCs w:val="21"/>
                    </w:rPr>
                  </w:pPr>
                  <w:r>
                    <w:rPr>
                      <w:rFonts w:hint="eastAsia" w:eastAsia="等线"/>
                      <w:color w:val="auto"/>
                      <w:szCs w:val="21"/>
                    </w:rPr>
                    <w:t>0.51</w:t>
                  </w:r>
                </w:p>
              </w:tc>
            </w:tr>
            <w:tr w14:paraId="6C9EEA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359" w:type="pct"/>
                  <w:shd w:val="clear" w:color="auto" w:fill="auto"/>
                  <w:noWrap/>
                  <w:vAlign w:val="center"/>
                </w:tcPr>
                <w:p w14:paraId="18FAFCAC">
                  <w:pPr>
                    <w:widowControl/>
                    <w:jc w:val="center"/>
                    <w:rPr>
                      <w:bCs/>
                      <w:color w:val="auto"/>
                      <w:kern w:val="0"/>
                      <w:szCs w:val="21"/>
                    </w:rPr>
                  </w:pPr>
                  <w:r>
                    <w:rPr>
                      <w:bCs/>
                      <w:color w:val="auto"/>
                      <w:kern w:val="0"/>
                      <w:szCs w:val="21"/>
                    </w:rPr>
                    <w:t>6</w:t>
                  </w:r>
                </w:p>
              </w:tc>
              <w:tc>
                <w:tcPr>
                  <w:tcW w:w="697" w:type="pct"/>
                  <w:shd w:val="clear" w:color="auto" w:fill="auto"/>
                  <w:noWrap/>
                  <w:vAlign w:val="center"/>
                </w:tcPr>
                <w:p w14:paraId="289951F5">
                  <w:pPr>
                    <w:widowControl/>
                    <w:jc w:val="center"/>
                    <w:rPr>
                      <w:bCs/>
                      <w:color w:val="auto"/>
                      <w:kern w:val="0"/>
                      <w:szCs w:val="21"/>
                    </w:rPr>
                  </w:pPr>
                  <w:r>
                    <w:rPr>
                      <w:bCs/>
                      <w:color w:val="auto"/>
                      <w:kern w:val="0"/>
                      <w:szCs w:val="21"/>
                    </w:rPr>
                    <w:t>接管标准</w:t>
                  </w:r>
                </w:p>
              </w:tc>
              <w:tc>
                <w:tcPr>
                  <w:tcW w:w="583" w:type="pct"/>
                  <w:shd w:val="clear" w:color="auto" w:fill="auto"/>
                  <w:noWrap/>
                  <w:vAlign w:val="center"/>
                </w:tcPr>
                <w:p w14:paraId="522F118E">
                  <w:pPr>
                    <w:widowControl/>
                    <w:jc w:val="center"/>
                    <w:rPr>
                      <w:bCs/>
                      <w:color w:val="auto"/>
                      <w:kern w:val="0"/>
                      <w:szCs w:val="21"/>
                    </w:rPr>
                  </w:pPr>
                  <w:r>
                    <w:rPr>
                      <w:bCs/>
                      <w:color w:val="auto"/>
                      <w:kern w:val="0"/>
                      <w:szCs w:val="21"/>
                    </w:rPr>
                    <w:t>/</w:t>
                  </w:r>
                </w:p>
              </w:tc>
              <w:tc>
                <w:tcPr>
                  <w:tcW w:w="483" w:type="pct"/>
                  <w:vAlign w:val="center"/>
                </w:tcPr>
                <w:p w14:paraId="2A807941">
                  <w:pPr>
                    <w:widowControl/>
                    <w:jc w:val="center"/>
                    <w:rPr>
                      <w:bCs/>
                      <w:color w:val="auto"/>
                      <w:kern w:val="0"/>
                      <w:szCs w:val="21"/>
                    </w:rPr>
                  </w:pPr>
                  <w:r>
                    <w:rPr>
                      <w:bCs/>
                      <w:color w:val="auto"/>
                      <w:kern w:val="0"/>
                      <w:szCs w:val="21"/>
                    </w:rPr>
                    <w:t>500</w:t>
                  </w:r>
                </w:p>
              </w:tc>
              <w:tc>
                <w:tcPr>
                  <w:tcW w:w="469" w:type="pct"/>
                  <w:vAlign w:val="center"/>
                </w:tcPr>
                <w:p w14:paraId="74FD9B6B">
                  <w:pPr>
                    <w:widowControl/>
                    <w:jc w:val="center"/>
                    <w:rPr>
                      <w:bCs/>
                      <w:color w:val="auto"/>
                      <w:kern w:val="0"/>
                      <w:szCs w:val="21"/>
                    </w:rPr>
                  </w:pPr>
                  <w:r>
                    <w:rPr>
                      <w:bCs/>
                      <w:color w:val="auto"/>
                      <w:kern w:val="0"/>
                      <w:szCs w:val="21"/>
                    </w:rPr>
                    <w:t>180</w:t>
                  </w:r>
                </w:p>
              </w:tc>
              <w:tc>
                <w:tcPr>
                  <w:tcW w:w="443" w:type="pct"/>
                  <w:shd w:val="clear" w:color="auto" w:fill="auto"/>
                  <w:noWrap/>
                  <w:vAlign w:val="center"/>
                </w:tcPr>
                <w:p w14:paraId="70AFED12">
                  <w:pPr>
                    <w:widowControl/>
                    <w:jc w:val="center"/>
                    <w:rPr>
                      <w:bCs/>
                      <w:color w:val="auto"/>
                      <w:kern w:val="0"/>
                      <w:szCs w:val="21"/>
                    </w:rPr>
                  </w:pPr>
                  <w:r>
                    <w:rPr>
                      <w:bCs/>
                      <w:color w:val="auto"/>
                      <w:kern w:val="0"/>
                      <w:szCs w:val="21"/>
                    </w:rPr>
                    <w:t>400</w:t>
                  </w:r>
                </w:p>
              </w:tc>
              <w:tc>
                <w:tcPr>
                  <w:tcW w:w="389" w:type="pct"/>
                  <w:shd w:val="clear" w:color="auto" w:fill="auto"/>
                  <w:noWrap/>
                  <w:vAlign w:val="center"/>
                </w:tcPr>
                <w:p w14:paraId="578DA438">
                  <w:pPr>
                    <w:widowControl/>
                    <w:jc w:val="center"/>
                    <w:rPr>
                      <w:bCs/>
                      <w:color w:val="auto"/>
                      <w:kern w:val="0"/>
                      <w:szCs w:val="21"/>
                    </w:rPr>
                  </w:pPr>
                  <w:r>
                    <w:rPr>
                      <w:bCs/>
                      <w:color w:val="auto"/>
                      <w:kern w:val="0"/>
                      <w:szCs w:val="21"/>
                    </w:rPr>
                    <w:t>30</w:t>
                  </w:r>
                </w:p>
              </w:tc>
              <w:tc>
                <w:tcPr>
                  <w:tcW w:w="407" w:type="pct"/>
                  <w:shd w:val="clear" w:color="auto" w:fill="auto"/>
                  <w:noWrap/>
                  <w:vAlign w:val="center"/>
                </w:tcPr>
                <w:p w14:paraId="7C72C456">
                  <w:pPr>
                    <w:widowControl/>
                    <w:jc w:val="center"/>
                    <w:rPr>
                      <w:bCs/>
                      <w:color w:val="auto"/>
                      <w:kern w:val="0"/>
                      <w:szCs w:val="21"/>
                    </w:rPr>
                  </w:pPr>
                  <w:r>
                    <w:rPr>
                      <w:bCs/>
                      <w:color w:val="auto"/>
                      <w:kern w:val="0"/>
                      <w:szCs w:val="21"/>
                    </w:rPr>
                    <w:t>45</w:t>
                  </w:r>
                </w:p>
              </w:tc>
              <w:tc>
                <w:tcPr>
                  <w:tcW w:w="389" w:type="pct"/>
                  <w:shd w:val="clear" w:color="auto" w:fill="auto"/>
                  <w:vAlign w:val="center"/>
                </w:tcPr>
                <w:p w14:paraId="620A07D6">
                  <w:pPr>
                    <w:widowControl/>
                    <w:jc w:val="center"/>
                    <w:rPr>
                      <w:bCs/>
                      <w:color w:val="auto"/>
                      <w:kern w:val="0"/>
                      <w:szCs w:val="21"/>
                    </w:rPr>
                  </w:pPr>
                  <w:r>
                    <w:rPr>
                      <w:bCs/>
                      <w:color w:val="auto"/>
                      <w:kern w:val="0"/>
                      <w:szCs w:val="21"/>
                    </w:rPr>
                    <w:t>8</w:t>
                  </w:r>
                </w:p>
              </w:tc>
              <w:tc>
                <w:tcPr>
                  <w:tcW w:w="389" w:type="pct"/>
                  <w:vAlign w:val="center"/>
                </w:tcPr>
                <w:p w14:paraId="16CDF82C">
                  <w:pPr>
                    <w:widowControl/>
                    <w:jc w:val="center"/>
                    <w:rPr>
                      <w:bCs/>
                      <w:color w:val="auto"/>
                      <w:kern w:val="0"/>
                      <w:szCs w:val="21"/>
                    </w:rPr>
                  </w:pPr>
                  <w:r>
                    <w:rPr>
                      <w:bCs/>
                      <w:color w:val="auto"/>
                      <w:kern w:val="0"/>
                      <w:szCs w:val="21"/>
                    </w:rPr>
                    <w:t>100</w:t>
                  </w:r>
                </w:p>
              </w:tc>
              <w:tc>
                <w:tcPr>
                  <w:tcW w:w="389" w:type="pct"/>
                  <w:shd w:val="clear" w:color="auto" w:fill="auto"/>
                  <w:noWrap/>
                  <w:vAlign w:val="center"/>
                </w:tcPr>
                <w:p w14:paraId="2D48F02F">
                  <w:pPr>
                    <w:widowControl/>
                    <w:jc w:val="center"/>
                    <w:rPr>
                      <w:bCs/>
                      <w:color w:val="auto"/>
                      <w:kern w:val="0"/>
                      <w:szCs w:val="21"/>
                    </w:rPr>
                  </w:pPr>
                  <w:r>
                    <w:rPr>
                      <w:bCs/>
                      <w:color w:val="auto"/>
                      <w:kern w:val="0"/>
                      <w:szCs w:val="21"/>
                    </w:rPr>
                    <w:t>20</w:t>
                  </w:r>
                </w:p>
              </w:tc>
            </w:tr>
          </w:tbl>
          <w:p w14:paraId="286C767D">
            <w:pPr>
              <w:autoSpaceDE w:val="0"/>
              <w:autoSpaceDN w:val="0"/>
              <w:spacing w:before="120" w:beforeLines="50" w:line="360" w:lineRule="auto"/>
              <w:ind w:firstLine="480" w:firstLineChars="200"/>
              <w:rPr>
                <w:color w:val="auto"/>
                <w:sz w:val="24"/>
              </w:rPr>
            </w:pPr>
            <w:r>
              <w:rPr>
                <w:color w:val="auto"/>
                <w:sz w:val="24"/>
              </w:rPr>
              <w:t>由上表可知，综合废水经污水处理站处置后出水浓度为COD133.77mg/L、</w:t>
            </w:r>
            <w:r>
              <w:rPr>
                <w:rFonts w:hint="eastAsia"/>
                <w:color w:val="auto"/>
                <w:sz w:val="24"/>
              </w:rPr>
              <w:t>B</w:t>
            </w:r>
            <w:r>
              <w:rPr>
                <w:color w:val="auto"/>
                <w:sz w:val="24"/>
              </w:rPr>
              <w:t>OD</w:t>
            </w:r>
            <w:r>
              <w:rPr>
                <w:color w:val="auto"/>
                <w:sz w:val="24"/>
                <w:vertAlign w:val="subscript"/>
              </w:rPr>
              <w:t>5</w:t>
            </w:r>
            <w:r>
              <w:rPr>
                <w:color w:val="auto"/>
                <w:sz w:val="24"/>
              </w:rPr>
              <w:t>85.05mg/L</w:t>
            </w:r>
            <w:r>
              <w:rPr>
                <w:rFonts w:hint="eastAsia"/>
                <w:color w:val="auto"/>
                <w:sz w:val="24"/>
              </w:rPr>
              <w:t>、S</w:t>
            </w:r>
            <w:r>
              <w:rPr>
                <w:color w:val="auto"/>
                <w:sz w:val="24"/>
              </w:rPr>
              <w:t>S39.88mg/L</w:t>
            </w:r>
            <w:r>
              <w:rPr>
                <w:rFonts w:hint="eastAsia"/>
                <w:color w:val="auto"/>
                <w:sz w:val="24"/>
              </w:rPr>
              <w:t>、氨氮</w:t>
            </w:r>
            <w:r>
              <w:rPr>
                <w:color w:val="auto"/>
                <w:sz w:val="24"/>
              </w:rPr>
              <w:t>2.8mg/L、</w:t>
            </w:r>
            <w:r>
              <w:rPr>
                <w:rFonts w:hint="eastAsia"/>
                <w:color w:val="auto"/>
                <w:sz w:val="24"/>
              </w:rPr>
              <w:t>总磷5</w:t>
            </w:r>
            <w:r>
              <w:rPr>
                <w:color w:val="auto"/>
                <w:sz w:val="24"/>
              </w:rPr>
              <w:t>.3mg/L、</w:t>
            </w:r>
            <w:r>
              <w:rPr>
                <w:rFonts w:hint="eastAsia"/>
                <w:color w:val="auto"/>
                <w:sz w:val="24"/>
              </w:rPr>
              <w:t>总氮0.</w:t>
            </w:r>
            <w:r>
              <w:rPr>
                <w:color w:val="auto"/>
                <w:sz w:val="24"/>
              </w:rPr>
              <w:t>49mg/L、</w:t>
            </w:r>
            <w:r>
              <w:rPr>
                <w:rFonts w:hint="eastAsia"/>
                <w:color w:val="auto"/>
                <w:sz w:val="24"/>
              </w:rPr>
              <w:t>动植物油0</w:t>
            </w:r>
            <w:r>
              <w:rPr>
                <w:color w:val="auto"/>
                <w:sz w:val="24"/>
              </w:rPr>
              <w:t>.2mg/L、</w:t>
            </w:r>
            <w:r>
              <w:rPr>
                <w:rFonts w:hint="eastAsia"/>
                <w:color w:val="auto"/>
                <w:sz w:val="24"/>
              </w:rPr>
              <w:t>L</w:t>
            </w:r>
            <w:r>
              <w:rPr>
                <w:color w:val="auto"/>
                <w:sz w:val="24"/>
              </w:rPr>
              <w:t>AS0.51mg/L，满足涟水经济开发区西区污水处理厂的接管标准。</w:t>
            </w:r>
          </w:p>
          <w:p w14:paraId="2C1E366B">
            <w:pPr>
              <w:autoSpaceDE w:val="0"/>
              <w:autoSpaceDN w:val="0"/>
              <w:spacing w:line="360" w:lineRule="auto"/>
              <w:ind w:firstLine="480" w:firstLineChars="200"/>
              <w:rPr>
                <w:b/>
                <w:color w:val="auto"/>
                <w:sz w:val="24"/>
              </w:rPr>
            </w:pPr>
            <w:r>
              <w:rPr>
                <w:rFonts w:hint="eastAsia"/>
                <w:color w:val="auto"/>
                <w:sz w:val="24"/>
              </w:rPr>
              <w:t>根据以上分析可知，从技术、经济角度上来看，建设项目各项废水治理设施能够保证稳定运行。</w:t>
            </w:r>
          </w:p>
          <w:p w14:paraId="50DE60E8">
            <w:pPr>
              <w:widowControl/>
              <w:autoSpaceDE w:val="0"/>
              <w:autoSpaceDN w:val="0"/>
              <w:adjustRightInd w:val="0"/>
              <w:snapToGrid w:val="0"/>
              <w:spacing w:line="360" w:lineRule="auto"/>
              <w:ind w:firstLine="482" w:firstLineChars="200"/>
              <w:jc w:val="left"/>
              <w:rPr>
                <w:rFonts w:hint="default" w:ascii="Times New Roman" w:hAnsi="Times New Roman" w:cs="Times New Roman" w:eastAsiaTheme="minorEastAsia"/>
                <w:b/>
                <w:color w:val="auto"/>
                <w:kern w:val="0"/>
                <w:sz w:val="24"/>
              </w:rPr>
            </w:pPr>
          </w:p>
          <w:p w14:paraId="28DD7BD6">
            <w:pPr>
              <w:widowControl/>
              <w:autoSpaceDE w:val="0"/>
              <w:autoSpaceDN w:val="0"/>
              <w:adjustRightInd w:val="0"/>
              <w:snapToGrid w:val="0"/>
              <w:spacing w:line="360" w:lineRule="auto"/>
              <w:ind w:firstLine="482" w:firstLineChars="200"/>
              <w:jc w:val="left"/>
              <w:rPr>
                <w:rFonts w:hint="default" w:ascii="Times New Roman" w:hAnsi="Times New Roman" w:cs="Times New Roman" w:eastAsiaTheme="minorEastAsia"/>
                <w:b/>
                <w:color w:val="auto"/>
                <w:kern w:val="0"/>
                <w:sz w:val="24"/>
              </w:rPr>
            </w:pPr>
            <w:r>
              <w:rPr>
                <w:rFonts w:hint="default" w:ascii="Times New Roman" w:hAnsi="Times New Roman" w:cs="Times New Roman" w:eastAsiaTheme="minorEastAsia"/>
                <w:b/>
                <w:color w:val="auto"/>
                <w:kern w:val="0"/>
                <w:sz w:val="24"/>
              </w:rPr>
              <w:t>2.4依托污水处理设施的环境可行性分析</w:t>
            </w:r>
          </w:p>
          <w:p w14:paraId="16E07F2B">
            <w:pPr>
              <w:widowControl/>
              <w:adjustRightInd w:val="0"/>
              <w:snapToGrid w:val="0"/>
              <w:spacing w:line="360" w:lineRule="auto"/>
              <w:ind w:firstLine="480" w:firstLineChars="200"/>
              <w:jc w:val="left"/>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建设项目</w:t>
            </w:r>
            <w:r>
              <w:rPr>
                <w:rFonts w:hint="default" w:ascii="Times New Roman" w:hAnsi="Times New Roman" w:eastAsia="宋体" w:cs="Times New Roman"/>
                <w:color w:val="auto"/>
                <w:kern w:val="0"/>
                <w:sz w:val="24"/>
                <w:lang w:eastAsia="zh-CN"/>
              </w:rPr>
              <w:t>生产废水经污水站处理后与</w:t>
            </w:r>
            <w:r>
              <w:rPr>
                <w:rFonts w:hint="default" w:ascii="Times New Roman" w:hAnsi="Times New Roman" w:eastAsia="宋体" w:cs="Times New Roman"/>
                <w:color w:val="auto"/>
                <w:kern w:val="0"/>
                <w:sz w:val="24"/>
                <w:lang w:val="en-US" w:eastAsia="zh-CN"/>
              </w:rPr>
              <w:t>生活</w:t>
            </w:r>
            <w:r>
              <w:rPr>
                <w:rFonts w:hint="eastAsia" w:cs="Times New Roman"/>
                <w:color w:val="auto"/>
                <w:kern w:val="0"/>
                <w:sz w:val="24"/>
                <w:lang w:val="en-US" w:eastAsia="zh-CN"/>
              </w:rPr>
              <w:t>食堂</w:t>
            </w:r>
            <w:r>
              <w:rPr>
                <w:rFonts w:hint="default" w:ascii="Times New Roman" w:hAnsi="Times New Roman" w:eastAsia="宋体" w:cs="Times New Roman"/>
                <w:color w:val="auto"/>
                <w:kern w:val="0"/>
                <w:sz w:val="24"/>
                <w:lang w:val="en-US" w:eastAsia="zh-CN"/>
              </w:rPr>
              <w:t>污水经</w:t>
            </w:r>
            <w:r>
              <w:rPr>
                <w:rFonts w:hint="eastAsia" w:cs="Times New Roman"/>
                <w:color w:val="auto"/>
                <w:kern w:val="0"/>
                <w:sz w:val="24"/>
                <w:lang w:val="en-US" w:eastAsia="zh-CN"/>
              </w:rPr>
              <w:t>隔油池+</w:t>
            </w:r>
            <w:r>
              <w:rPr>
                <w:rFonts w:hint="default" w:ascii="Times New Roman" w:hAnsi="Times New Roman" w:eastAsia="宋体" w:cs="Times New Roman"/>
                <w:color w:val="auto"/>
                <w:kern w:val="0"/>
                <w:sz w:val="24"/>
                <w:lang w:val="en-US" w:eastAsia="zh-CN"/>
              </w:rPr>
              <w:t>化粪池处理</w:t>
            </w:r>
            <w:r>
              <w:rPr>
                <w:rFonts w:hint="default" w:ascii="Times New Roman" w:hAnsi="Times New Roman" w:eastAsia="宋体" w:cs="Times New Roman"/>
                <w:color w:val="auto"/>
                <w:kern w:val="0"/>
                <w:sz w:val="24"/>
              </w:rPr>
              <w:t>达接管标准后排入</w:t>
            </w:r>
            <w:r>
              <w:rPr>
                <w:rFonts w:hint="default" w:ascii="Times New Roman" w:hAnsi="Times New Roman" w:eastAsia="宋体" w:cs="Times New Roman"/>
                <w:color w:val="auto"/>
                <w:kern w:val="0"/>
                <w:sz w:val="24"/>
                <w:lang w:eastAsia="zh-CN"/>
              </w:rPr>
              <w:t>涟水经济开发区西区污水处理厂</w:t>
            </w:r>
            <w:r>
              <w:rPr>
                <w:rFonts w:hint="default" w:ascii="Times New Roman" w:hAnsi="Times New Roman" w:eastAsia="宋体" w:cs="Times New Roman"/>
                <w:color w:val="auto"/>
                <w:kern w:val="0"/>
                <w:sz w:val="24"/>
              </w:rPr>
              <w:t>，深度处理达《城镇污水处理厂污染物排放标准》（GB18918-2002）表1中一级A标准，尾水排入</w:t>
            </w:r>
            <w:r>
              <w:rPr>
                <w:rFonts w:hint="default" w:ascii="Times New Roman" w:hAnsi="Times New Roman" w:eastAsia="宋体" w:cs="Times New Roman"/>
                <w:color w:val="auto"/>
                <w:kern w:val="0"/>
                <w:sz w:val="24"/>
                <w:lang w:eastAsia="zh-CN"/>
              </w:rPr>
              <w:t>公兴河</w:t>
            </w:r>
            <w:r>
              <w:rPr>
                <w:rFonts w:hint="default" w:ascii="Times New Roman" w:hAnsi="Times New Roman" w:eastAsia="宋体" w:cs="Times New Roman"/>
                <w:color w:val="auto"/>
                <w:kern w:val="0"/>
                <w:sz w:val="24"/>
              </w:rPr>
              <w:t>。</w:t>
            </w:r>
          </w:p>
          <w:p w14:paraId="4D836EE5">
            <w:pPr>
              <w:widowControl/>
              <w:adjustRightInd w:val="0"/>
              <w:snapToGrid w:val="0"/>
              <w:spacing w:line="360" w:lineRule="auto"/>
              <w:ind w:firstLine="480" w:firstLineChars="200"/>
              <w:jc w:val="left"/>
              <w:rPr>
                <w:rFonts w:hint="default" w:ascii="Times New Roman" w:hAnsi="Times New Roman" w:eastAsia="宋体" w:cs="Times New Roman"/>
                <w:color w:val="auto"/>
                <w:kern w:val="0"/>
                <w:sz w:val="24"/>
              </w:rPr>
            </w:pPr>
            <w:bookmarkStart w:id="40" w:name="_Toc3765"/>
            <w:bookmarkStart w:id="41" w:name="_Toc23756"/>
            <w:bookmarkStart w:id="42" w:name="_Toc14199"/>
            <w:r>
              <w:rPr>
                <w:rFonts w:hint="default" w:ascii="Times New Roman" w:hAnsi="Times New Roman" w:eastAsia="宋体" w:cs="Times New Roman"/>
                <w:color w:val="auto"/>
                <w:kern w:val="0"/>
                <w:sz w:val="24"/>
              </w:rPr>
              <w:t>①经济开发区西区污水处理厂</w:t>
            </w:r>
            <w:bookmarkEnd w:id="40"/>
            <w:bookmarkEnd w:id="41"/>
            <w:bookmarkEnd w:id="42"/>
          </w:p>
          <w:p w14:paraId="135E4542">
            <w:pPr>
              <w:widowControl/>
              <w:adjustRightInd w:val="0"/>
              <w:snapToGrid w:val="0"/>
              <w:spacing w:line="360" w:lineRule="auto"/>
              <w:ind w:firstLine="480" w:firstLineChars="200"/>
              <w:jc w:val="left"/>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本项目污水接管入经济开发区</w:t>
            </w:r>
            <w:r>
              <w:rPr>
                <w:rFonts w:hint="default" w:ascii="Times New Roman" w:hAnsi="Times New Roman" w:eastAsia="宋体" w:cs="Times New Roman"/>
                <w:color w:val="auto"/>
                <w:kern w:val="0"/>
                <w:sz w:val="24"/>
                <w:lang w:eastAsia="zh-CN"/>
              </w:rPr>
              <w:t>西区</w:t>
            </w:r>
            <w:r>
              <w:rPr>
                <w:rFonts w:hint="default" w:ascii="Times New Roman" w:hAnsi="Times New Roman" w:eastAsia="宋体" w:cs="Times New Roman"/>
                <w:color w:val="auto"/>
                <w:kern w:val="0"/>
                <w:sz w:val="24"/>
              </w:rPr>
              <w:t>污水处理厂，污水处理厂总规模为6万t/d，分阶段进行建设，现状处理能力为</w:t>
            </w:r>
            <w:r>
              <w:rPr>
                <w:rFonts w:hint="default" w:ascii="Times New Roman" w:hAnsi="Times New Roman" w:eastAsia="宋体" w:cs="Times New Roman"/>
                <w:color w:val="auto"/>
                <w:kern w:val="0"/>
                <w:sz w:val="24"/>
                <w:lang w:val="en-US" w:eastAsia="zh-CN"/>
              </w:rPr>
              <w:t>2</w:t>
            </w:r>
            <w:r>
              <w:rPr>
                <w:rFonts w:hint="default" w:ascii="Times New Roman" w:hAnsi="Times New Roman" w:eastAsia="宋体" w:cs="Times New Roman"/>
                <w:color w:val="auto"/>
                <w:kern w:val="0"/>
                <w:sz w:val="24"/>
              </w:rPr>
              <w:t>万t/d</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lang w:val="en-US" w:eastAsia="zh-CN"/>
              </w:rPr>
              <w:t>1万</w:t>
            </w:r>
            <w:r>
              <w:rPr>
                <w:rFonts w:hint="default" w:ascii="Times New Roman" w:hAnsi="Times New Roman" w:eastAsia="宋体" w:cs="Times New Roman"/>
                <w:color w:val="auto"/>
                <w:kern w:val="0"/>
                <w:sz w:val="24"/>
              </w:rPr>
              <w:t>t/d</w:t>
            </w:r>
            <w:r>
              <w:rPr>
                <w:rFonts w:hint="default" w:ascii="Times New Roman" w:hAnsi="Times New Roman" w:eastAsia="宋体" w:cs="Times New Roman"/>
                <w:color w:val="auto"/>
                <w:kern w:val="0"/>
                <w:sz w:val="24"/>
                <w:lang w:eastAsia="zh-CN"/>
              </w:rPr>
              <w:t>扩建项目正在筹备中</w:t>
            </w:r>
            <w:r>
              <w:rPr>
                <w:rFonts w:hint="default" w:ascii="Times New Roman" w:hAnsi="Times New Roman" w:eastAsia="宋体" w:cs="Times New Roman"/>
                <w:color w:val="auto"/>
                <w:kern w:val="0"/>
                <w:sz w:val="24"/>
              </w:rPr>
              <w:t>。污水处理厂采用一级强化絮凝工艺配套快渗和消毒工艺，尾水排入公兴河，目前污水处理厂仅接管了经济开发区西区内的工业废水和生活污水，实际接管水量</w:t>
            </w:r>
            <w:r>
              <w:rPr>
                <w:rFonts w:hint="default" w:ascii="Times New Roman" w:hAnsi="Times New Roman" w:eastAsia="宋体" w:cs="Times New Roman"/>
                <w:color w:val="auto"/>
                <w:kern w:val="0"/>
                <w:sz w:val="24"/>
                <w:lang w:eastAsia="zh-CN"/>
              </w:rPr>
              <w:t>约</w:t>
            </w:r>
            <w:r>
              <w:rPr>
                <w:rFonts w:hint="default" w:ascii="Times New Roman" w:hAnsi="Times New Roman" w:eastAsia="宋体" w:cs="Times New Roman"/>
                <w:color w:val="auto"/>
                <w:kern w:val="0"/>
                <w:sz w:val="24"/>
                <w:lang w:val="en-US" w:eastAsia="zh-CN"/>
              </w:rPr>
              <w:t>1.8</w:t>
            </w:r>
            <w:r>
              <w:rPr>
                <w:rFonts w:hint="default" w:ascii="Times New Roman" w:hAnsi="Times New Roman" w:eastAsia="宋体" w:cs="Times New Roman"/>
                <w:color w:val="auto"/>
                <w:kern w:val="0"/>
                <w:sz w:val="24"/>
              </w:rPr>
              <w:t>万t/d，能够实现稳定达标排放。</w:t>
            </w:r>
          </w:p>
          <w:p w14:paraId="79734195">
            <w:pPr>
              <w:widowControl/>
              <w:adjustRightInd w:val="0"/>
              <w:snapToGrid w:val="0"/>
              <w:spacing w:line="360" w:lineRule="auto"/>
              <w:ind w:firstLine="480" w:firstLineChars="200"/>
              <w:jc w:val="left"/>
              <w:rPr>
                <w:rFonts w:hint="default" w:ascii="Times New Roman" w:hAnsi="Times New Roman" w:eastAsia="宋体" w:cs="Times New Roman"/>
                <w:color w:val="auto"/>
                <w:kern w:val="0"/>
                <w:sz w:val="24"/>
              </w:rPr>
            </w:pPr>
            <w:bookmarkStart w:id="43" w:name="_Toc8913"/>
            <w:bookmarkStart w:id="44" w:name="_Toc1106"/>
            <w:bookmarkStart w:id="45" w:name="_Toc28578"/>
            <w:r>
              <w:rPr>
                <w:rFonts w:hint="default" w:ascii="Times New Roman" w:hAnsi="Times New Roman" w:eastAsia="宋体" w:cs="Times New Roman"/>
                <w:color w:val="auto"/>
                <w:kern w:val="0"/>
                <w:sz w:val="24"/>
              </w:rPr>
              <w:t>②处理工艺情况</w:t>
            </w:r>
            <w:bookmarkEnd w:id="43"/>
            <w:bookmarkEnd w:id="44"/>
            <w:bookmarkEnd w:id="45"/>
          </w:p>
          <w:p w14:paraId="00F29D59">
            <w:pPr>
              <w:widowControl/>
              <w:adjustRightInd w:val="0"/>
              <w:snapToGrid w:val="0"/>
              <w:spacing w:line="360" w:lineRule="auto"/>
              <w:ind w:firstLine="480" w:firstLineChars="200"/>
              <w:jc w:val="left"/>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经济开发区（西区）污水处理厂目前尾水执行《城镇污水处理厂污染物排放标准》（GB18918-2002）一级A标准。其基本流程见图</w:t>
            </w:r>
            <w:r>
              <w:rPr>
                <w:rFonts w:hint="default" w:ascii="Times New Roman" w:hAnsi="Times New Roman" w:cs="Times New Roman"/>
                <w:color w:val="auto"/>
                <w:kern w:val="0"/>
                <w:sz w:val="24"/>
                <w:lang w:val="en-US" w:eastAsia="zh-CN"/>
              </w:rPr>
              <w:t>4-2</w:t>
            </w:r>
            <w:r>
              <w:rPr>
                <w:rFonts w:hint="default" w:ascii="Times New Roman" w:hAnsi="Times New Roman" w:eastAsia="宋体" w:cs="Times New Roman"/>
                <w:color w:val="auto"/>
                <w:kern w:val="0"/>
                <w:sz w:val="24"/>
              </w:rPr>
              <w:t>。</w:t>
            </w:r>
          </w:p>
          <w:p w14:paraId="48384EDB">
            <w:pPr>
              <w:adjustRightInd w:val="0"/>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drawing>
                <wp:inline distT="0" distB="0" distL="114300" distR="114300">
                  <wp:extent cx="5318125" cy="2332355"/>
                  <wp:effectExtent l="0" t="0" r="15875" b="1079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28"/>
                          <a:srcRect l="5249"/>
                          <a:stretch>
                            <a:fillRect/>
                          </a:stretch>
                        </pic:blipFill>
                        <pic:spPr>
                          <a:xfrm>
                            <a:off x="0" y="0"/>
                            <a:ext cx="5318125" cy="2332355"/>
                          </a:xfrm>
                          <a:prstGeom prst="rect">
                            <a:avLst/>
                          </a:prstGeom>
                          <a:noFill/>
                          <a:ln>
                            <a:noFill/>
                          </a:ln>
                        </pic:spPr>
                      </pic:pic>
                    </a:graphicData>
                  </a:graphic>
                </wp:inline>
              </w:drawing>
            </w:r>
          </w:p>
          <w:p w14:paraId="0F4FF66E">
            <w:pPr>
              <w:adjustRightInd w:val="0"/>
              <w:snapToGrid w:val="0"/>
              <w:spacing w:line="360" w:lineRule="auto"/>
              <w:ind w:firstLine="482"/>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图</w:t>
            </w:r>
            <w:r>
              <w:rPr>
                <w:rFonts w:hint="default" w:ascii="Times New Roman" w:hAnsi="Times New Roman" w:cs="Times New Roman"/>
                <w:color w:val="auto"/>
                <w:sz w:val="21"/>
                <w:szCs w:val="21"/>
                <w:lang w:val="en-US" w:eastAsia="zh-CN"/>
              </w:rPr>
              <w:t>4-2</w:t>
            </w:r>
            <w:r>
              <w:rPr>
                <w:rFonts w:hint="default" w:ascii="Times New Roman" w:hAnsi="Times New Roman" w:eastAsia="宋体" w:cs="Times New Roman"/>
                <w:color w:val="auto"/>
                <w:sz w:val="21"/>
                <w:szCs w:val="21"/>
              </w:rPr>
              <w:t>涟水县经济开发区西区污水处理厂工艺流程图</w:t>
            </w:r>
          </w:p>
          <w:p w14:paraId="56880977">
            <w:pPr>
              <w:widowControl/>
              <w:adjustRightInd w:val="0"/>
              <w:snapToGrid w:val="0"/>
              <w:spacing w:line="360" w:lineRule="auto"/>
              <w:ind w:firstLine="480" w:firstLineChars="200"/>
              <w:jc w:val="left"/>
              <w:rPr>
                <w:rFonts w:hint="default" w:ascii="Times New Roman" w:hAnsi="Times New Roman" w:eastAsia="宋体" w:cs="Times New Roman"/>
                <w:color w:val="auto"/>
                <w:kern w:val="0"/>
                <w:sz w:val="24"/>
              </w:rPr>
            </w:pPr>
            <w:bookmarkStart w:id="46" w:name="_Toc228"/>
            <w:bookmarkStart w:id="47" w:name="_Toc1844"/>
            <w:bookmarkStart w:id="48" w:name="_Toc25198"/>
            <w:r>
              <w:rPr>
                <w:rFonts w:hint="default" w:ascii="Times New Roman" w:hAnsi="Times New Roman" w:eastAsia="宋体" w:cs="Times New Roman"/>
                <w:color w:val="auto"/>
                <w:kern w:val="0"/>
                <w:sz w:val="24"/>
              </w:rPr>
              <w:t>③管网建设情况</w:t>
            </w:r>
            <w:bookmarkEnd w:id="46"/>
            <w:bookmarkEnd w:id="47"/>
            <w:bookmarkEnd w:id="48"/>
          </w:p>
          <w:p w14:paraId="2E7BA45A">
            <w:pPr>
              <w:widowControl/>
              <w:adjustRightInd w:val="0"/>
              <w:snapToGrid w:val="0"/>
              <w:spacing w:line="360" w:lineRule="auto"/>
              <w:ind w:firstLine="480" w:firstLineChars="200"/>
              <w:jc w:val="left"/>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根据涟水经济开发区管委会承诺，当经济开发区西区污水处理厂实际接管量达到1.5万t/d时，将进行对污水处理厂扩建二期工程</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lang w:val="en-US" w:eastAsia="zh-CN"/>
              </w:rPr>
              <w:t>目前二期工程已在筹建中</w:t>
            </w:r>
            <w:r>
              <w:rPr>
                <w:rFonts w:hint="default" w:ascii="Times New Roman" w:hAnsi="Times New Roman" w:eastAsia="宋体" w:cs="Times New Roman"/>
                <w:color w:val="auto"/>
                <w:kern w:val="0"/>
                <w:sz w:val="24"/>
              </w:rPr>
              <w:t>。园区道路和雨、污水管网均须在园区建成前实施到位，确保园区内项目的污水接管，最终将新港电子产业园区生活污水</w:t>
            </w:r>
            <w:r>
              <w:rPr>
                <w:rFonts w:hint="eastAsia" w:cs="Times New Roman"/>
                <w:color w:val="auto"/>
                <w:kern w:val="0"/>
                <w:sz w:val="24"/>
                <w:lang w:eastAsia="zh-CN"/>
              </w:rPr>
              <w:t>和其他</w:t>
            </w:r>
            <w:r>
              <w:rPr>
                <w:rFonts w:hint="default" w:ascii="Times New Roman" w:hAnsi="Times New Roman" w:eastAsia="宋体" w:cs="Times New Roman"/>
                <w:color w:val="auto"/>
                <w:kern w:val="0"/>
                <w:sz w:val="24"/>
              </w:rPr>
              <w:t>工业废水纳入涟水经济开发区西区污水处理厂处理。</w:t>
            </w:r>
          </w:p>
          <w:p w14:paraId="36BC6BA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kern w:val="0"/>
                <w:sz w:val="28"/>
                <w:szCs w:val="28"/>
                <w:lang w:val="en-US" w:eastAsia="zh-CN"/>
              </w:rPr>
            </w:pPr>
            <w:r>
              <w:rPr>
                <w:rFonts w:hint="eastAsia" w:cs="Times New Roman"/>
                <w:b/>
                <w:bCs/>
                <w:color w:val="auto"/>
                <w:kern w:val="0"/>
                <w:sz w:val="24"/>
                <w:szCs w:val="24"/>
                <w:lang w:val="en-US" w:eastAsia="zh-CN"/>
              </w:rPr>
              <w:t>2.5</w:t>
            </w:r>
            <w:r>
              <w:rPr>
                <w:rFonts w:hint="default" w:ascii="Times New Roman" w:hAnsi="Times New Roman" w:eastAsia="宋体" w:cs="Times New Roman"/>
                <w:b/>
                <w:bCs/>
                <w:color w:val="auto"/>
                <w:kern w:val="0"/>
                <w:sz w:val="24"/>
                <w:szCs w:val="24"/>
                <w:lang w:val="en-US" w:eastAsia="zh-CN"/>
              </w:rPr>
              <w:t>废水接纳可行性分析</w:t>
            </w:r>
          </w:p>
          <w:p w14:paraId="562B16BB">
            <w:pPr>
              <w:widowControl/>
              <w:adjustRightInd w:val="0"/>
              <w:snapToGrid w:val="0"/>
              <w:spacing w:line="360" w:lineRule="auto"/>
              <w:ind w:firstLine="480" w:firstLineChars="200"/>
              <w:jc w:val="left"/>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（1）处理规模可行性</w:t>
            </w:r>
          </w:p>
          <w:p w14:paraId="343EEBF3">
            <w:pPr>
              <w:widowControl/>
              <w:adjustRightInd w:val="0"/>
              <w:snapToGrid w:val="0"/>
              <w:spacing w:line="360" w:lineRule="auto"/>
              <w:ind w:firstLine="480" w:firstLineChars="200"/>
              <w:jc w:val="left"/>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本项目接管水量为</w:t>
            </w:r>
            <w:r>
              <w:rPr>
                <w:rFonts w:hint="eastAsia" w:cs="Times New Roman"/>
                <w:color w:val="auto"/>
                <w:kern w:val="0"/>
                <w:sz w:val="24"/>
                <w:lang w:val="en-US" w:eastAsia="zh-CN"/>
              </w:rPr>
              <w:t>406.9</w:t>
            </w:r>
            <w:r>
              <w:rPr>
                <w:rFonts w:hint="default" w:ascii="Times New Roman" w:hAnsi="Times New Roman" w:eastAsia="宋体" w:cs="Times New Roman"/>
                <w:color w:val="auto"/>
                <w:kern w:val="0"/>
                <w:sz w:val="24"/>
                <w:lang w:val="en-US" w:eastAsia="zh-CN"/>
              </w:rPr>
              <w:t>t/d，</w:t>
            </w:r>
            <w:r>
              <w:rPr>
                <w:rFonts w:hint="eastAsia" w:cs="Times New Roman"/>
                <w:color w:val="auto"/>
                <w:kern w:val="0"/>
                <w:sz w:val="24"/>
                <w:lang w:val="en-US" w:eastAsia="zh-CN"/>
              </w:rPr>
              <w:t>目前涟水经济开发区西区</w:t>
            </w:r>
            <w:r>
              <w:rPr>
                <w:rFonts w:hint="default" w:ascii="Times New Roman" w:hAnsi="Times New Roman" w:eastAsia="宋体" w:cs="Times New Roman"/>
                <w:color w:val="auto"/>
                <w:kern w:val="0"/>
                <w:sz w:val="24"/>
              </w:rPr>
              <w:t>实际接管水量</w:t>
            </w:r>
            <w:r>
              <w:rPr>
                <w:rFonts w:hint="default" w:ascii="Times New Roman" w:hAnsi="Times New Roman" w:eastAsia="宋体" w:cs="Times New Roman"/>
                <w:color w:val="auto"/>
                <w:kern w:val="0"/>
                <w:sz w:val="24"/>
                <w:lang w:eastAsia="zh-CN"/>
              </w:rPr>
              <w:t>约</w:t>
            </w:r>
            <w:r>
              <w:rPr>
                <w:rFonts w:hint="default" w:ascii="Times New Roman" w:hAnsi="Times New Roman" w:eastAsia="宋体" w:cs="Times New Roman"/>
                <w:color w:val="auto"/>
                <w:kern w:val="0"/>
                <w:sz w:val="24"/>
                <w:lang w:val="en-US" w:eastAsia="zh-CN"/>
              </w:rPr>
              <w:t>1.8</w:t>
            </w:r>
            <w:r>
              <w:rPr>
                <w:rFonts w:hint="default" w:ascii="Times New Roman" w:hAnsi="Times New Roman" w:eastAsia="宋体" w:cs="Times New Roman"/>
                <w:color w:val="auto"/>
                <w:kern w:val="0"/>
                <w:sz w:val="24"/>
              </w:rPr>
              <w:t>万t/d，</w:t>
            </w:r>
            <w:r>
              <w:rPr>
                <w:rFonts w:hint="eastAsia" w:cs="Times New Roman"/>
                <w:color w:val="auto"/>
                <w:kern w:val="0"/>
                <w:sz w:val="24"/>
                <w:lang w:eastAsia="zh-CN"/>
              </w:rPr>
              <w:t>剩余量约</w:t>
            </w:r>
            <w:r>
              <w:rPr>
                <w:rFonts w:hint="eastAsia" w:cs="Times New Roman"/>
                <w:color w:val="auto"/>
                <w:kern w:val="0"/>
                <w:sz w:val="24"/>
                <w:lang w:val="en-US" w:eastAsia="zh-CN"/>
              </w:rPr>
              <w:t>1.7</w:t>
            </w:r>
            <w:r>
              <w:rPr>
                <w:rFonts w:hint="default" w:ascii="Times New Roman" w:hAnsi="Times New Roman" w:eastAsia="宋体" w:cs="Times New Roman"/>
                <w:color w:val="auto"/>
                <w:kern w:val="0"/>
                <w:sz w:val="24"/>
              </w:rPr>
              <w:t>t/d</w:t>
            </w:r>
            <w:r>
              <w:rPr>
                <w:rFonts w:hint="eastAsia" w:cs="Times New Roman"/>
                <w:color w:val="auto"/>
                <w:kern w:val="0"/>
                <w:sz w:val="24"/>
                <w:lang w:eastAsia="zh-CN"/>
              </w:rPr>
              <w:t>，</w:t>
            </w:r>
            <w:r>
              <w:rPr>
                <w:rFonts w:hint="default" w:ascii="Times New Roman" w:hAnsi="Times New Roman" w:eastAsia="宋体" w:cs="Times New Roman"/>
                <w:color w:val="auto"/>
                <w:kern w:val="0"/>
                <w:sz w:val="24"/>
              </w:rPr>
              <w:t>能够实现稳定达标排放。</w:t>
            </w:r>
            <w:r>
              <w:rPr>
                <w:rFonts w:hint="default" w:ascii="Times New Roman" w:hAnsi="Times New Roman" w:eastAsia="宋体" w:cs="Times New Roman"/>
                <w:color w:val="auto"/>
                <w:kern w:val="0"/>
                <w:sz w:val="24"/>
                <w:lang w:val="en-US" w:eastAsia="zh-CN"/>
              </w:rPr>
              <w:t>从水量分析，项目废水接管至涟水县经济开发区西区污水处理厂是可行的。</w:t>
            </w:r>
          </w:p>
          <w:p w14:paraId="106962C7">
            <w:pPr>
              <w:widowControl/>
              <w:adjustRightInd w:val="0"/>
              <w:snapToGrid w:val="0"/>
              <w:spacing w:line="360" w:lineRule="auto"/>
              <w:ind w:firstLine="480" w:firstLineChars="200"/>
              <w:jc w:val="left"/>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因此，从处理规模上讲，本项目废水接管进入涟水县经济开发区西区污水处理厂是可行的。</w:t>
            </w:r>
          </w:p>
          <w:p w14:paraId="57E68DC6">
            <w:pPr>
              <w:widowControl/>
              <w:adjustRightInd w:val="0"/>
              <w:snapToGrid w:val="0"/>
              <w:spacing w:line="360" w:lineRule="auto"/>
              <w:ind w:firstLine="480" w:firstLineChars="200"/>
              <w:jc w:val="left"/>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（2）管道敷设及服务范围</w:t>
            </w:r>
          </w:p>
          <w:p w14:paraId="20FA262F">
            <w:pPr>
              <w:widowControl/>
              <w:adjustRightInd w:val="0"/>
              <w:snapToGrid w:val="0"/>
              <w:spacing w:line="360" w:lineRule="auto"/>
              <w:ind w:firstLine="480" w:firstLineChars="20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4"/>
                <w:lang w:val="en-US" w:eastAsia="zh-CN"/>
              </w:rPr>
              <w:t>涟水经济开发区西区污水处理厂与</w:t>
            </w:r>
            <w:r>
              <w:rPr>
                <w:rFonts w:hint="eastAsia" w:cs="Times New Roman"/>
                <w:color w:val="auto"/>
                <w:kern w:val="0"/>
                <w:sz w:val="24"/>
                <w:lang w:val="en-US" w:eastAsia="zh-CN"/>
              </w:rPr>
              <w:t>污水处理厂</w:t>
            </w:r>
            <w:r>
              <w:rPr>
                <w:rFonts w:hint="default" w:ascii="Times New Roman" w:hAnsi="Times New Roman" w:eastAsia="宋体" w:cs="Times New Roman"/>
                <w:color w:val="auto"/>
                <w:kern w:val="0"/>
                <w:sz w:val="24"/>
                <w:lang w:val="en-US" w:eastAsia="zh-CN"/>
              </w:rPr>
              <w:t>配套工程包括污水输送管线、污水提升泵站及排放口同步建设。主要处理江苏涟水经济开发区西区内的工业废水和生活污水（不包括新港电子产业园内的PCB生产废水）。目前涟水开发区已建污水管网约32km。根据2018年10月8日涟水县人民政府发布的《盐河袁闸断面和南六塘河肖大桥断面达标方案重点工程项目完成情况表》，目前涟水经济开发区污水管网工程中已完成的污水管网有韦六路、炎黄大道、杨洼路（纬三路~纬五路），纬三路（兴旺大道~金轮路）。</w:t>
            </w:r>
          </w:p>
          <w:p w14:paraId="3D721A9B">
            <w:pPr>
              <w:widowControl/>
              <w:adjustRightInd w:val="0"/>
              <w:snapToGrid w:val="0"/>
              <w:spacing w:line="360" w:lineRule="auto"/>
              <w:ind w:firstLine="480" w:firstLineChars="200"/>
              <w:jc w:val="left"/>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西区污水处理厂污水现状收集范围为西至连淮扬镇铁路、北至北环路、东至盐河和涟西一干渠、南至清涟大道和生态路，收水范围内的污水经污水处理厂处理后，尾水排入祁六沟后入公兴河。</w:t>
            </w:r>
          </w:p>
          <w:p w14:paraId="2B4B2C06">
            <w:pPr>
              <w:widowControl/>
              <w:adjustRightInd w:val="0"/>
              <w:snapToGrid w:val="0"/>
              <w:spacing w:line="360" w:lineRule="auto"/>
              <w:ind w:firstLine="480" w:firstLineChars="200"/>
              <w:jc w:val="left"/>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项目位于江苏省淮安市涟水县经济开发区创业路西侧、生态路北侧，处于涟水县经济开发区西区污水处理厂纳管范围内，因此本项目污水接入涟水县经济开发区西区污水处理厂是可行的。</w:t>
            </w:r>
          </w:p>
          <w:p w14:paraId="6A8CDAB3">
            <w:pPr>
              <w:widowControl/>
              <w:adjustRightInd w:val="0"/>
              <w:snapToGrid w:val="0"/>
              <w:spacing w:line="360" w:lineRule="auto"/>
              <w:ind w:firstLine="480" w:firstLineChars="200"/>
              <w:jc w:val="left"/>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（3）水质接管可行性</w:t>
            </w:r>
          </w:p>
          <w:p w14:paraId="26E4DE9F">
            <w:pPr>
              <w:widowControl/>
              <w:adjustRightInd w:val="0"/>
              <w:snapToGrid w:val="0"/>
              <w:spacing w:line="360" w:lineRule="auto"/>
              <w:ind w:firstLine="480" w:firstLineChars="200"/>
              <w:jc w:val="left"/>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本项目废水经预处理后接管进入涟水县经济开发区西区污水处理厂集中处理，接管水质污染物浓度见表</w:t>
            </w:r>
            <w:r>
              <w:rPr>
                <w:rFonts w:hint="default" w:ascii="Times New Roman" w:hAnsi="Times New Roman" w:cs="Times New Roman"/>
                <w:color w:val="auto"/>
                <w:kern w:val="0"/>
                <w:sz w:val="24"/>
                <w:lang w:val="en-US" w:eastAsia="zh-CN"/>
              </w:rPr>
              <w:t>4-</w:t>
            </w:r>
            <w:r>
              <w:rPr>
                <w:rFonts w:hint="eastAsia" w:cs="Times New Roman"/>
                <w:color w:val="auto"/>
                <w:kern w:val="0"/>
                <w:sz w:val="24"/>
                <w:lang w:val="en-US" w:eastAsia="zh-CN"/>
              </w:rPr>
              <w:t>16</w:t>
            </w:r>
            <w:r>
              <w:rPr>
                <w:rFonts w:hint="default" w:ascii="Times New Roman" w:hAnsi="Times New Roman" w:eastAsia="宋体" w:cs="Times New Roman"/>
                <w:color w:val="auto"/>
                <w:kern w:val="0"/>
                <w:sz w:val="24"/>
                <w:lang w:val="en-US" w:eastAsia="zh-CN"/>
              </w:rPr>
              <w:t>。</w:t>
            </w:r>
          </w:p>
          <w:p w14:paraId="0A9A061F">
            <w:pPr>
              <w:spacing w:line="240" w:lineRule="auto"/>
              <w:ind w:firstLine="422" w:firstLineChars="20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w:t>
            </w:r>
            <w:r>
              <w:rPr>
                <w:rFonts w:hint="default" w:ascii="Times New Roman" w:hAnsi="Times New Roman" w:cs="Times New Roman"/>
                <w:b/>
                <w:bCs/>
                <w:color w:val="auto"/>
                <w:sz w:val="21"/>
                <w:szCs w:val="21"/>
                <w:lang w:val="en-US" w:eastAsia="zh-CN"/>
              </w:rPr>
              <w:t>4-</w:t>
            </w:r>
            <w:r>
              <w:rPr>
                <w:rFonts w:hint="eastAsia" w:cs="Times New Roman"/>
                <w:b/>
                <w:bCs/>
                <w:color w:val="auto"/>
                <w:sz w:val="21"/>
                <w:szCs w:val="21"/>
                <w:lang w:val="en-US" w:eastAsia="zh-CN"/>
              </w:rPr>
              <w:t>16</w:t>
            </w:r>
            <w:r>
              <w:rPr>
                <w:rFonts w:hint="default" w:ascii="Times New Roman" w:hAnsi="Times New Roman" w:eastAsia="宋体" w:cs="Times New Roman"/>
                <w:b/>
                <w:bCs/>
                <w:color w:val="auto"/>
                <w:sz w:val="21"/>
                <w:szCs w:val="21"/>
                <w:lang w:val="en-US" w:eastAsia="zh-CN"/>
              </w:rPr>
              <w:t>项目排放水质状况</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56"/>
              <w:gridCol w:w="1391"/>
              <w:gridCol w:w="1277"/>
              <w:gridCol w:w="1519"/>
              <w:gridCol w:w="1763"/>
              <w:gridCol w:w="1422"/>
            </w:tblGrid>
            <w:tr w14:paraId="570A14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7" w:type="pct"/>
                  <w:tcBorders>
                    <w:tl2br w:val="nil"/>
                    <w:tr2bl w:val="nil"/>
                  </w:tcBorders>
                  <w:noWrap w:val="0"/>
                  <w:vAlign w:val="center"/>
                </w:tcPr>
                <w:p w14:paraId="560046AF">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类别</w:t>
                  </w:r>
                </w:p>
              </w:tc>
              <w:tc>
                <w:tcPr>
                  <w:tcW w:w="815" w:type="pct"/>
                  <w:tcBorders>
                    <w:tl2br w:val="nil"/>
                    <w:tr2bl w:val="nil"/>
                  </w:tcBorders>
                  <w:noWrap w:val="0"/>
                  <w:vAlign w:val="center"/>
                </w:tcPr>
                <w:p w14:paraId="65C13A65">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废水量(t/a)</w:t>
                  </w:r>
                </w:p>
              </w:tc>
              <w:tc>
                <w:tcPr>
                  <w:tcW w:w="748" w:type="pct"/>
                  <w:tcBorders>
                    <w:tl2br w:val="nil"/>
                    <w:tr2bl w:val="nil"/>
                  </w:tcBorders>
                  <w:noWrap w:val="0"/>
                  <w:vAlign w:val="center"/>
                </w:tcPr>
                <w:p w14:paraId="69DF2679">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污染物</w:t>
                  </w:r>
                </w:p>
              </w:tc>
              <w:tc>
                <w:tcPr>
                  <w:tcW w:w="890" w:type="pct"/>
                  <w:tcBorders>
                    <w:tl2br w:val="nil"/>
                    <w:tr2bl w:val="nil"/>
                  </w:tcBorders>
                  <w:noWrap w:val="0"/>
                  <w:vAlign w:val="center"/>
                </w:tcPr>
                <w:p w14:paraId="765017A0">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lang w:eastAsia="zh-CN"/>
                    </w:rPr>
                    <w:t>排放</w:t>
                  </w:r>
                  <w:r>
                    <w:rPr>
                      <w:rFonts w:hint="default" w:ascii="Times New Roman" w:hAnsi="Times New Roman" w:eastAsia="宋体" w:cs="Times New Roman"/>
                      <w:b/>
                      <w:bCs/>
                      <w:color w:val="auto"/>
                      <w:kern w:val="0"/>
                      <w:sz w:val="21"/>
                      <w:szCs w:val="21"/>
                    </w:rPr>
                    <w:t>浓度(mg/L)</w:t>
                  </w:r>
                </w:p>
              </w:tc>
              <w:tc>
                <w:tcPr>
                  <w:tcW w:w="1033" w:type="pct"/>
                  <w:tcBorders>
                    <w:tl2br w:val="nil"/>
                    <w:tr2bl w:val="nil"/>
                  </w:tcBorders>
                  <w:noWrap w:val="0"/>
                  <w:vAlign w:val="center"/>
                </w:tcPr>
                <w:p w14:paraId="0B3C28A3">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接管浓度</w:t>
                  </w:r>
                </w:p>
                <w:p w14:paraId="5792D4E5">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（mg/L）</w:t>
                  </w:r>
                </w:p>
              </w:tc>
              <w:tc>
                <w:tcPr>
                  <w:tcW w:w="833" w:type="pct"/>
                  <w:tcBorders>
                    <w:tl2br w:val="nil"/>
                    <w:tr2bl w:val="nil"/>
                  </w:tcBorders>
                  <w:noWrap w:val="0"/>
                  <w:vAlign w:val="center"/>
                </w:tcPr>
                <w:p w14:paraId="1D784A9D">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排放去向</w:t>
                  </w:r>
                </w:p>
              </w:tc>
            </w:tr>
            <w:tr w14:paraId="7B980E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7" w:type="pct"/>
                  <w:vMerge w:val="restart"/>
                  <w:tcBorders>
                    <w:tl2br w:val="nil"/>
                    <w:tr2bl w:val="nil"/>
                  </w:tcBorders>
                  <w:noWrap w:val="0"/>
                  <w:vAlign w:val="center"/>
                </w:tcPr>
                <w:p w14:paraId="4B61581F">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eastAsia="zh-CN"/>
                    </w:rPr>
                  </w:pPr>
                  <w:r>
                    <w:rPr>
                      <w:rFonts w:hint="eastAsia" w:cs="Times New Roman"/>
                      <w:color w:val="auto"/>
                      <w:kern w:val="0"/>
                      <w:sz w:val="21"/>
                      <w:szCs w:val="21"/>
                      <w:lang w:eastAsia="zh-CN"/>
                    </w:rPr>
                    <w:t>综合废</w:t>
                  </w:r>
                  <w:r>
                    <w:rPr>
                      <w:rFonts w:hint="default" w:ascii="Times New Roman" w:hAnsi="Times New Roman" w:cs="Times New Roman"/>
                      <w:color w:val="auto"/>
                      <w:kern w:val="0"/>
                      <w:sz w:val="21"/>
                      <w:szCs w:val="21"/>
                      <w:lang w:eastAsia="zh-CN"/>
                    </w:rPr>
                    <w:t>水</w:t>
                  </w:r>
                </w:p>
              </w:tc>
              <w:tc>
                <w:tcPr>
                  <w:tcW w:w="815" w:type="pct"/>
                  <w:vMerge w:val="restart"/>
                  <w:tcBorders>
                    <w:tl2br w:val="nil"/>
                    <w:tr2bl w:val="nil"/>
                  </w:tcBorders>
                  <w:noWrap w:val="0"/>
                  <w:vAlign w:val="center"/>
                </w:tcPr>
                <w:p w14:paraId="431AFAC3">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148530</w:t>
                  </w:r>
                </w:p>
              </w:tc>
              <w:tc>
                <w:tcPr>
                  <w:tcW w:w="1277" w:type="dxa"/>
                  <w:tcBorders>
                    <w:tl2br w:val="nil"/>
                    <w:tr2bl w:val="nil"/>
                  </w:tcBorders>
                  <w:noWrap w:val="0"/>
                  <w:vAlign w:val="center"/>
                </w:tcPr>
                <w:p w14:paraId="18691854">
                  <w:pPr>
                    <w:adjustRightInd w:val="0"/>
                    <w:snapToGrid w:val="0"/>
                    <w:jc w:val="center"/>
                    <w:rPr>
                      <w:rFonts w:hint="default" w:ascii="Times New Roman" w:hAnsi="Times New Roman" w:eastAsia="宋体" w:cs="Times New Roman"/>
                      <w:i w:val="0"/>
                      <w:iCs w:val="0"/>
                      <w:color w:val="auto"/>
                      <w:kern w:val="0"/>
                      <w:sz w:val="21"/>
                      <w:szCs w:val="21"/>
                      <w:u w:val="none"/>
                      <w:lang w:val="en-US" w:eastAsia="zh-CN" w:bidi="ar"/>
                    </w:rPr>
                  </w:pPr>
                  <w:r>
                    <w:rPr>
                      <w:color w:val="auto"/>
                      <w:sz w:val="18"/>
                      <w:szCs w:val="18"/>
                    </w:rPr>
                    <w:t>COD</w:t>
                  </w:r>
                </w:p>
              </w:tc>
              <w:tc>
                <w:tcPr>
                  <w:tcW w:w="1519" w:type="dxa"/>
                  <w:tcBorders>
                    <w:tl2br w:val="nil"/>
                    <w:tr2bl w:val="nil"/>
                  </w:tcBorders>
                  <w:shd w:val="clear" w:color="auto" w:fill="auto"/>
                  <w:noWrap w:val="0"/>
                  <w:vAlign w:val="center"/>
                </w:tcPr>
                <w:p w14:paraId="01461FF5">
                  <w:pPr>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138.28</w:t>
                  </w:r>
                </w:p>
              </w:tc>
              <w:tc>
                <w:tcPr>
                  <w:tcW w:w="1763" w:type="dxa"/>
                  <w:tcBorders>
                    <w:tl2br w:val="nil"/>
                    <w:tr2bl w:val="nil"/>
                  </w:tcBorders>
                  <w:noWrap w:val="0"/>
                  <w:vAlign w:val="center"/>
                </w:tcPr>
                <w:p w14:paraId="31ED345C">
                  <w:pPr>
                    <w:pStyle w:val="135"/>
                    <w:rPr>
                      <w:rFonts w:hint="default" w:ascii="Times New Roman" w:hAnsi="Times New Roman" w:eastAsia="宋体" w:cs="Times New Roman"/>
                      <w:i w:val="0"/>
                      <w:iCs w:val="0"/>
                      <w:color w:val="auto"/>
                      <w:kern w:val="0"/>
                      <w:sz w:val="21"/>
                      <w:szCs w:val="21"/>
                      <w:u w:val="none"/>
                      <w:lang w:val="en-US" w:eastAsia="zh-CN" w:bidi="ar"/>
                    </w:rPr>
                  </w:pPr>
                  <w:r>
                    <w:rPr>
                      <w:rFonts w:ascii="Times New Roman" w:hAnsi="Times New Roman" w:eastAsia="宋体"/>
                      <w:color w:val="auto"/>
                      <w:sz w:val="21"/>
                      <w:szCs w:val="21"/>
                    </w:rPr>
                    <w:t>500</w:t>
                  </w:r>
                </w:p>
              </w:tc>
              <w:tc>
                <w:tcPr>
                  <w:tcW w:w="833" w:type="pct"/>
                  <w:vMerge w:val="restart"/>
                  <w:tcBorders>
                    <w:tl2br w:val="nil"/>
                    <w:tr2bl w:val="nil"/>
                  </w:tcBorders>
                  <w:noWrap w:val="0"/>
                  <w:vAlign w:val="center"/>
                </w:tcPr>
                <w:p w14:paraId="7E9C3A2B">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涟水县经济开发区西区污水处理厂</w:t>
                  </w:r>
                </w:p>
              </w:tc>
            </w:tr>
            <w:tr w14:paraId="7C1AB3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7" w:type="pct"/>
                  <w:vMerge w:val="continue"/>
                  <w:tcBorders>
                    <w:tl2br w:val="nil"/>
                    <w:tr2bl w:val="nil"/>
                  </w:tcBorders>
                  <w:noWrap w:val="0"/>
                  <w:vAlign w:val="center"/>
                </w:tcPr>
                <w:p w14:paraId="7ACA876B">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p>
              </w:tc>
              <w:tc>
                <w:tcPr>
                  <w:tcW w:w="815" w:type="pct"/>
                  <w:vMerge w:val="continue"/>
                  <w:tcBorders>
                    <w:tl2br w:val="nil"/>
                    <w:tr2bl w:val="nil"/>
                  </w:tcBorders>
                  <w:noWrap w:val="0"/>
                  <w:vAlign w:val="center"/>
                </w:tcPr>
                <w:p w14:paraId="158CB077">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p>
              </w:tc>
              <w:tc>
                <w:tcPr>
                  <w:tcW w:w="1277" w:type="dxa"/>
                  <w:tcBorders>
                    <w:tl2br w:val="nil"/>
                    <w:tr2bl w:val="nil"/>
                  </w:tcBorders>
                  <w:noWrap w:val="0"/>
                  <w:vAlign w:val="center"/>
                </w:tcPr>
                <w:p w14:paraId="189941D4">
                  <w:pPr>
                    <w:adjustRightInd w:val="0"/>
                    <w:snapToGrid w:val="0"/>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olor w:val="auto"/>
                      <w:sz w:val="18"/>
                      <w:szCs w:val="18"/>
                    </w:rPr>
                    <w:t>B</w:t>
                  </w:r>
                  <w:r>
                    <w:rPr>
                      <w:color w:val="auto"/>
                      <w:sz w:val="18"/>
                      <w:szCs w:val="18"/>
                    </w:rPr>
                    <w:t>OD</w:t>
                  </w:r>
                  <w:r>
                    <w:rPr>
                      <w:color w:val="auto"/>
                      <w:sz w:val="18"/>
                      <w:szCs w:val="18"/>
                      <w:vertAlign w:val="subscript"/>
                    </w:rPr>
                    <w:t>5</w:t>
                  </w:r>
                </w:p>
              </w:tc>
              <w:tc>
                <w:tcPr>
                  <w:tcW w:w="1519" w:type="dxa"/>
                  <w:tcBorders>
                    <w:tl2br w:val="nil"/>
                    <w:tr2bl w:val="nil"/>
                  </w:tcBorders>
                  <w:shd w:val="clear" w:color="auto" w:fill="auto"/>
                  <w:noWrap w:val="0"/>
                  <w:vAlign w:val="center"/>
                </w:tcPr>
                <w:p w14:paraId="6EC4CB7D">
                  <w:pPr>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87.83</w:t>
                  </w:r>
                </w:p>
              </w:tc>
              <w:tc>
                <w:tcPr>
                  <w:tcW w:w="1763" w:type="dxa"/>
                  <w:tcBorders>
                    <w:tl2br w:val="nil"/>
                    <w:tr2bl w:val="nil"/>
                  </w:tcBorders>
                  <w:noWrap w:val="0"/>
                  <w:vAlign w:val="center"/>
                </w:tcPr>
                <w:p w14:paraId="047C3690">
                  <w:pPr>
                    <w:pStyle w:val="135"/>
                    <w:rPr>
                      <w:rFonts w:hint="default" w:ascii="Times New Roman" w:hAnsi="Times New Roman" w:eastAsia="宋体" w:cs="Times New Roman"/>
                      <w:i w:val="0"/>
                      <w:iCs w:val="0"/>
                      <w:color w:val="auto"/>
                      <w:kern w:val="0"/>
                      <w:sz w:val="21"/>
                      <w:szCs w:val="21"/>
                      <w:u w:val="none"/>
                      <w:lang w:val="en-US" w:eastAsia="zh-CN" w:bidi="ar"/>
                    </w:rPr>
                  </w:pPr>
                  <w:r>
                    <w:rPr>
                      <w:rFonts w:ascii="Times New Roman" w:hAnsi="Times New Roman" w:eastAsia="宋体"/>
                      <w:color w:val="auto"/>
                      <w:sz w:val="21"/>
                      <w:szCs w:val="21"/>
                    </w:rPr>
                    <w:t>180</w:t>
                  </w:r>
                </w:p>
              </w:tc>
              <w:tc>
                <w:tcPr>
                  <w:tcW w:w="833" w:type="pct"/>
                  <w:vMerge w:val="continue"/>
                  <w:tcBorders>
                    <w:tl2br w:val="nil"/>
                    <w:tr2bl w:val="nil"/>
                  </w:tcBorders>
                  <w:noWrap w:val="0"/>
                  <w:vAlign w:val="center"/>
                </w:tcPr>
                <w:p w14:paraId="1CE130E0">
                  <w:pPr>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kern w:val="0"/>
                      <w:sz w:val="21"/>
                      <w:szCs w:val="21"/>
                    </w:rPr>
                  </w:pPr>
                </w:p>
              </w:tc>
            </w:tr>
            <w:tr w14:paraId="269BC6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7" w:type="pct"/>
                  <w:vMerge w:val="continue"/>
                  <w:tcBorders>
                    <w:tl2br w:val="nil"/>
                    <w:tr2bl w:val="nil"/>
                  </w:tcBorders>
                  <w:noWrap w:val="0"/>
                  <w:vAlign w:val="center"/>
                </w:tcPr>
                <w:p w14:paraId="124BC4E8">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p>
              </w:tc>
              <w:tc>
                <w:tcPr>
                  <w:tcW w:w="815" w:type="pct"/>
                  <w:vMerge w:val="continue"/>
                  <w:tcBorders>
                    <w:tl2br w:val="nil"/>
                    <w:tr2bl w:val="nil"/>
                  </w:tcBorders>
                  <w:noWrap w:val="0"/>
                  <w:vAlign w:val="center"/>
                </w:tcPr>
                <w:p w14:paraId="6400CC84">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p>
              </w:tc>
              <w:tc>
                <w:tcPr>
                  <w:tcW w:w="1277" w:type="dxa"/>
                  <w:tcBorders>
                    <w:tl2br w:val="nil"/>
                    <w:tr2bl w:val="nil"/>
                  </w:tcBorders>
                  <w:noWrap w:val="0"/>
                  <w:vAlign w:val="center"/>
                </w:tcPr>
                <w:p w14:paraId="4D740E07">
                  <w:pPr>
                    <w:adjustRightInd w:val="0"/>
                    <w:snapToGrid w:val="0"/>
                    <w:jc w:val="center"/>
                    <w:rPr>
                      <w:rFonts w:hint="default" w:ascii="Times New Roman" w:hAnsi="Times New Roman" w:eastAsia="宋体" w:cs="Times New Roman"/>
                      <w:i w:val="0"/>
                      <w:iCs w:val="0"/>
                      <w:color w:val="auto"/>
                      <w:kern w:val="0"/>
                      <w:sz w:val="21"/>
                      <w:szCs w:val="21"/>
                      <w:u w:val="none"/>
                      <w:lang w:val="en-US" w:eastAsia="zh-CN" w:bidi="ar"/>
                    </w:rPr>
                  </w:pPr>
                  <w:r>
                    <w:rPr>
                      <w:color w:val="auto"/>
                      <w:sz w:val="18"/>
                      <w:szCs w:val="18"/>
                    </w:rPr>
                    <w:t>SS</w:t>
                  </w:r>
                </w:p>
              </w:tc>
              <w:tc>
                <w:tcPr>
                  <w:tcW w:w="1519" w:type="dxa"/>
                  <w:tcBorders>
                    <w:tl2br w:val="nil"/>
                    <w:tr2bl w:val="nil"/>
                  </w:tcBorders>
                  <w:shd w:val="clear" w:color="auto" w:fill="auto"/>
                  <w:noWrap w:val="0"/>
                  <w:vAlign w:val="center"/>
                </w:tcPr>
                <w:p w14:paraId="1E819923">
                  <w:pPr>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40.79</w:t>
                  </w:r>
                </w:p>
              </w:tc>
              <w:tc>
                <w:tcPr>
                  <w:tcW w:w="1763" w:type="dxa"/>
                  <w:tcBorders>
                    <w:tl2br w:val="nil"/>
                    <w:tr2bl w:val="nil"/>
                  </w:tcBorders>
                  <w:noWrap w:val="0"/>
                  <w:vAlign w:val="center"/>
                </w:tcPr>
                <w:p w14:paraId="734B715A">
                  <w:pPr>
                    <w:pStyle w:val="135"/>
                    <w:rPr>
                      <w:rFonts w:hint="default" w:ascii="Times New Roman" w:hAnsi="Times New Roman" w:eastAsia="宋体" w:cs="Times New Roman"/>
                      <w:i w:val="0"/>
                      <w:iCs w:val="0"/>
                      <w:color w:val="auto"/>
                      <w:kern w:val="0"/>
                      <w:sz w:val="21"/>
                      <w:szCs w:val="21"/>
                      <w:u w:val="none"/>
                      <w:lang w:val="en-US" w:eastAsia="zh-CN" w:bidi="ar"/>
                    </w:rPr>
                  </w:pPr>
                  <w:r>
                    <w:rPr>
                      <w:rFonts w:ascii="Times New Roman" w:hAnsi="Times New Roman" w:eastAsia="宋体"/>
                      <w:color w:val="auto"/>
                      <w:sz w:val="21"/>
                      <w:szCs w:val="21"/>
                    </w:rPr>
                    <w:t>400</w:t>
                  </w:r>
                </w:p>
              </w:tc>
              <w:tc>
                <w:tcPr>
                  <w:tcW w:w="833" w:type="pct"/>
                  <w:vMerge w:val="continue"/>
                  <w:tcBorders>
                    <w:tl2br w:val="nil"/>
                    <w:tr2bl w:val="nil"/>
                  </w:tcBorders>
                  <w:noWrap w:val="0"/>
                  <w:vAlign w:val="center"/>
                </w:tcPr>
                <w:p w14:paraId="7AB14494">
                  <w:pPr>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kern w:val="0"/>
                      <w:sz w:val="21"/>
                      <w:szCs w:val="21"/>
                    </w:rPr>
                  </w:pPr>
                </w:p>
              </w:tc>
            </w:tr>
            <w:tr w14:paraId="4F1E3E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7" w:type="pct"/>
                  <w:vMerge w:val="continue"/>
                  <w:tcBorders>
                    <w:tl2br w:val="nil"/>
                    <w:tr2bl w:val="nil"/>
                  </w:tcBorders>
                  <w:noWrap w:val="0"/>
                  <w:vAlign w:val="center"/>
                </w:tcPr>
                <w:p w14:paraId="2A2E5BFD">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lang w:eastAsia="zh-CN"/>
                    </w:rPr>
                  </w:pPr>
                </w:p>
              </w:tc>
              <w:tc>
                <w:tcPr>
                  <w:tcW w:w="815" w:type="pct"/>
                  <w:vMerge w:val="continue"/>
                  <w:tcBorders>
                    <w:tl2br w:val="nil"/>
                    <w:tr2bl w:val="nil"/>
                  </w:tcBorders>
                  <w:noWrap w:val="0"/>
                  <w:vAlign w:val="center"/>
                </w:tcPr>
                <w:p w14:paraId="5FE7068D">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rPr>
                  </w:pPr>
                </w:p>
              </w:tc>
              <w:tc>
                <w:tcPr>
                  <w:tcW w:w="1277" w:type="dxa"/>
                  <w:tcBorders>
                    <w:tl2br w:val="nil"/>
                    <w:tr2bl w:val="nil"/>
                  </w:tcBorders>
                  <w:shd w:val="clear" w:color="auto" w:fill="auto"/>
                  <w:noWrap w:val="0"/>
                  <w:vAlign w:val="center"/>
                </w:tcPr>
                <w:p w14:paraId="3BF3121D">
                  <w:pPr>
                    <w:adjustRightInd w:val="0"/>
                    <w:snapToGrid w:val="0"/>
                    <w:jc w:val="center"/>
                    <w:rPr>
                      <w:rFonts w:hint="eastAsia" w:ascii="Times New Roman" w:hAnsi="Times New Roman" w:cs="Times New Roman" w:eastAsiaTheme="minorEastAsia"/>
                      <w:color w:val="auto"/>
                      <w:kern w:val="0"/>
                      <w:sz w:val="18"/>
                      <w:szCs w:val="18"/>
                      <w:lang w:val="en-US" w:eastAsia="zh-CN" w:bidi="ar-SA"/>
                    </w:rPr>
                  </w:pPr>
                  <w:r>
                    <w:rPr>
                      <w:color w:val="auto"/>
                      <w:sz w:val="18"/>
                      <w:szCs w:val="18"/>
                    </w:rPr>
                    <w:t>氨氮</w:t>
                  </w:r>
                </w:p>
              </w:tc>
              <w:tc>
                <w:tcPr>
                  <w:tcW w:w="1519" w:type="dxa"/>
                  <w:tcBorders>
                    <w:tl2br w:val="nil"/>
                    <w:tr2bl w:val="nil"/>
                  </w:tcBorders>
                  <w:shd w:val="clear" w:color="auto" w:fill="auto"/>
                  <w:noWrap w:val="0"/>
                  <w:vAlign w:val="center"/>
                </w:tcPr>
                <w:p w14:paraId="5CD8D03F">
                  <w:pPr>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2.83</w:t>
                  </w:r>
                </w:p>
              </w:tc>
              <w:tc>
                <w:tcPr>
                  <w:tcW w:w="1763" w:type="dxa"/>
                  <w:tcBorders>
                    <w:tl2br w:val="nil"/>
                    <w:tr2bl w:val="nil"/>
                  </w:tcBorders>
                  <w:shd w:val="clear" w:color="auto" w:fill="auto"/>
                  <w:noWrap w:val="0"/>
                  <w:vAlign w:val="center"/>
                </w:tcPr>
                <w:p w14:paraId="654F3B50">
                  <w:pPr>
                    <w:pStyle w:val="135"/>
                    <w:rPr>
                      <w:rFonts w:hint="eastAsia" w:ascii="Times New Roman" w:hAnsi="Times New Roman" w:eastAsia="宋体" w:cs="Times New Roman"/>
                      <w:i w:val="0"/>
                      <w:iCs w:val="0"/>
                      <w:color w:val="auto"/>
                      <w:kern w:val="0"/>
                      <w:sz w:val="21"/>
                      <w:szCs w:val="21"/>
                      <w:u w:val="none"/>
                      <w:lang w:val="en-US" w:eastAsia="zh-CN" w:bidi="ar"/>
                    </w:rPr>
                  </w:pPr>
                  <w:r>
                    <w:rPr>
                      <w:rFonts w:ascii="Times New Roman" w:hAnsi="Times New Roman" w:eastAsia="宋体"/>
                      <w:color w:val="auto"/>
                      <w:sz w:val="21"/>
                      <w:szCs w:val="21"/>
                    </w:rPr>
                    <w:t>30</w:t>
                  </w:r>
                </w:p>
              </w:tc>
              <w:tc>
                <w:tcPr>
                  <w:tcW w:w="833" w:type="pct"/>
                  <w:vMerge w:val="continue"/>
                  <w:tcBorders>
                    <w:tl2br w:val="nil"/>
                    <w:tr2bl w:val="nil"/>
                  </w:tcBorders>
                  <w:noWrap w:val="0"/>
                  <w:vAlign w:val="center"/>
                </w:tcPr>
                <w:p w14:paraId="530B025F">
                  <w:pPr>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kern w:val="0"/>
                      <w:sz w:val="21"/>
                      <w:szCs w:val="21"/>
                    </w:rPr>
                  </w:pPr>
                </w:p>
              </w:tc>
            </w:tr>
            <w:tr w14:paraId="3FC227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7" w:type="pct"/>
                  <w:vMerge w:val="continue"/>
                  <w:tcBorders>
                    <w:tl2br w:val="nil"/>
                    <w:tr2bl w:val="nil"/>
                  </w:tcBorders>
                  <w:noWrap w:val="0"/>
                  <w:vAlign w:val="center"/>
                </w:tcPr>
                <w:p w14:paraId="2DD3F4D4">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p>
              </w:tc>
              <w:tc>
                <w:tcPr>
                  <w:tcW w:w="815" w:type="pct"/>
                  <w:vMerge w:val="continue"/>
                  <w:tcBorders>
                    <w:tl2br w:val="nil"/>
                    <w:tr2bl w:val="nil"/>
                  </w:tcBorders>
                  <w:noWrap w:val="0"/>
                  <w:vAlign w:val="center"/>
                </w:tcPr>
                <w:p w14:paraId="0E09ADB8">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p>
              </w:tc>
              <w:tc>
                <w:tcPr>
                  <w:tcW w:w="1277" w:type="dxa"/>
                  <w:tcBorders>
                    <w:tl2br w:val="nil"/>
                    <w:tr2bl w:val="nil"/>
                  </w:tcBorders>
                  <w:shd w:val="clear" w:color="auto" w:fill="auto"/>
                  <w:noWrap w:val="0"/>
                  <w:vAlign w:val="center"/>
                </w:tcPr>
                <w:p w14:paraId="7627F743">
                  <w:pPr>
                    <w:adjustRightInd w:val="0"/>
                    <w:snapToGrid w:val="0"/>
                    <w:jc w:val="center"/>
                    <w:rPr>
                      <w:rFonts w:hint="eastAsia" w:ascii="Times New Roman" w:hAnsi="Times New Roman" w:cs="Times New Roman" w:eastAsiaTheme="minorEastAsia"/>
                      <w:color w:val="auto"/>
                      <w:kern w:val="0"/>
                      <w:sz w:val="18"/>
                      <w:szCs w:val="18"/>
                      <w:lang w:val="en-US" w:eastAsia="zh-CN" w:bidi="ar-SA"/>
                    </w:rPr>
                  </w:pPr>
                  <w:r>
                    <w:rPr>
                      <w:color w:val="auto"/>
                      <w:sz w:val="18"/>
                      <w:szCs w:val="18"/>
                    </w:rPr>
                    <w:t>总氮</w:t>
                  </w:r>
                </w:p>
              </w:tc>
              <w:tc>
                <w:tcPr>
                  <w:tcW w:w="1519" w:type="dxa"/>
                  <w:tcBorders>
                    <w:tl2br w:val="nil"/>
                    <w:tr2bl w:val="nil"/>
                  </w:tcBorders>
                  <w:shd w:val="clear" w:color="auto" w:fill="auto"/>
                  <w:noWrap w:val="0"/>
                  <w:vAlign w:val="center"/>
                </w:tcPr>
                <w:p w14:paraId="4A62CF78">
                  <w:pPr>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5.45</w:t>
                  </w:r>
                </w:p>
              </w:tc>
              <w:tc>
                <w:tcPr>
                  <w:tcW w:w="1763" w:type="dxa"/>
                  <w:tcBorders>
                    <w:tl2br w:val="nil"/>
                    <w:tr2bl w:val="nil"/>
                  </w:tcBorders>
                  <w:shd w:val="clear" w:color="auto" w:fill="auto"/>
                  <w:noWrap w:val="0"/>
                  <w:vAlign w:val="center"/>
                </w:tcPr>
                <w:p w14:paraId="350A0E14">
                  <w:pPr>
                    <w:pStyle w:val="135"/>
                    <w:rPr>
                      <w:rFonts w:hint="eastAsia" w:ascii="Times New Roman" w:hAnsi="Times New Roman" w:eastAsia="宋体" w:cs="Times New Roman"/>
                      <w:i w:val="0"/>
                      <w:iCs w:val="0"/>
                      <w:color w:val="auto"/>
                      <w:kern w:val="0"/>
                      <w:sz w:val="21"/>
                      <w:szCs w:val="21"/>
                      <w:u w:val="none"/>
                      <w:lang w:val="en-US" w:eastAsia="zh-CN" w:bidi="ar"/>
                    </w:rPr>
                  </w:pPr>
                  <w:r>
                    <w:rPr>
                      <w:rFonts w:ascii="Times New Roman" w:hAnsi="Times New Roman" w:eastAsia="宋体"/>
                      <w:color w:val="auto"/>
                      <w:sz w:val="21"/>
                      <w:szCs w:val="21"/>
                    </w:rPr>
                    <w:t>45</w:t>
                  </w:r>
                </w:p>
              </w:tc>
              <w:tc>
                <w:tcPr>
                  <w:tcW w:w="833" w:type="pct"/>
                  <w:vMerge w:val="continue"/>
                  <w:tcBorders>
                    <w:tl2br w:val="nil"/>
                    <w:tr2bl w:val="nil"/>
                  </w:tcBorders>
                  <w:noWrap w:val="0"/>
                  <w:vAlign w:val="center"/>
                </w:tcPr>
                <w:p w14:paraId="24015B11">
                  <w:pPr>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kern w:val="0"/>
                      <w:sz w:val="21"/>
                      <w:szCs w:val="21"/>
                    </w:rPr>
                  </w:pPr>
                </w:p>
              </w:tc>
            </w:tr>
            <w:tr w14:paraId="4B8BD7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7" w:type="pct"/>
                  <w:vMerge w:val="continue"/>
                  <w:tcBorders>
                    <w:tl2br w:val="nil"/>
                    <w:tr2bl w:val="nil"/>
                  </w:tcBorders>
                  <w:noWrap w:val="0"/>
                  <w:vAlign w:val="center"/>
                </w:tcPr>
                <w:p w14:paraId="61878426">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p>
              </w:tc>
              <w:tc>
                <w:tcPr>
                  <w:tcW w:w="815" w:type="pct"/>
                  <w:vMerge w:val="continue"/>
                  <w:tcBorders>
                    <w:tl2br w:val="nil"/>
                    <w:tr2bl w:val="nil"/>
                  </w:tcBorders>
                  <w:noWrap w:val="0"/>
                  <w:vAlign w:val="center"/>
                </w:tcPr>
                <w:p w14:paraId="24423E5A">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p>
              </w:tc>
              <w:tc>
                <w:tcPr>
                  <w:tcW w:w="1277" w:type="dxa"/>
                  <w:tcBorders>
                    <w:tl2br w:val="nil"/>
                    <w:tr2bl w:val="nil"/>
                  </w:tcBorders>
                  <w:shd w:val="clear" w:color="auto" w:fill="auto"/>
                  <w:noWrap w:val="0"/>
                  <w:vAlign w:val="center"/>
                </w:tcPr>
                <w:p w14:paraId="05334006">
                  <w:pPr>
                    <w:adjustRightInd w:val="0"/>
                    <w:snapToGrid w:val="0"/>
                    <w:jc w:val="center"/>
                    <w:rPr>
                      <w:rFonts w:hint="eastAsia" w:ascii="Times New Roman" w:hAnsi="Times New Roman" w:cs="Times New Roman" w:eastAsiaTheme="minorEastAsia"/>
                      <w:color w:val="auto"/>
                      <w:kern w:val="0"/>
                      <w:sz w:val="18"/>
                      <w:szCs w:val="18"/>
                      <w:lang w:val="en-US" w:eastAsia="zh-CN" w:bidi="ar-SA"/>
                    </w:rPr>
                  </w:pPr>
                  <w:r>
                    <w:rPr>
                      <w:color w:val="auto"/>
                      <w:sz w:val="18"/>
                      <w:szCs w:val="18"/>
                    </w:rPr>
                    <w:t>总磷</w:t>
                  </w:r>
                </w:p>
              </w:tc>
              <w:tc>
                <w:tcPr>
                  <w:tcW w:w="1519" w:type="dxa"/>
                  <w:tcBorders>
                    <w:tl2br w:val="nil"/>
                    <w:tr2bl w:val="nil"/>
                  </w:tcBorders>
                  <w:shd w:val="clear" w:color="auto" w:fill="auto"/>
                  <w:noWrap w:val="0"/>
                  <w:vAlign w:val="center"/>
                </w:tcPr>
                <w:p w14:paraId="3BC5B407">
                  <w:pPr>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0.54</w:t>
                  </w:r>
                </w:p>
              </w:tc>
              <w:tc>
                <w:tcPr>
                  <w:tcW w:w="1763" w:type="dxa"/>
                  <w:tcBorders>
                    <w:tl2br w:val="nil"/>
                    <w:tr2bl w:val="nil"/>
                  </w:tcBorders>
                  <w:noWrap w:val="0"/>
                  <w:vAlign w:val="center"/>
                </w:tcPr>
                <w:p w14:paraId="11AA4A3C">
                  <w:pPr>
                    <w:pStyle w:val="135"/>
                    <w:rPr>
                      <w:rFonts w:hint="default" w:cs="Times New Roman"/>
                      <w:i w:val="0"/>
                      <w:iCs w:val="0"/>
                      <w:color w:val="auto"/>
                      <w:kern w:val="0"/>
                      <w:sz w:val="21"/>
                      <w:szCs w:val="21"/>
                      <w:u w:val="none"/>
                      <w:lang w:val="en-US" w:eastAsia="zh-CN" w:bidi="ar"/>
                    </w:rPr>
                  </w:pPr>
                  <w:r>
                    <w:rPr>
                      <w:rFonts w:ascii="Times New Roman" w:hAnsi="Times New Roman" w:eastAsia="宋体"/>
                      <w:color w:val="auto"/>
                      <w:sz w:val="21"/>
                      <w:szCs w:val="21"/>
                    </w:rPr>
                    <w:t>8</w:t>
                  </w:r>
                </w:p>
              </w:tc>
              <w:tc>
                <w:tcPr>
                  <w:tcW w:w="833" w:type="pct"/>
                  <w:vMerge w:val="continue"/>
                  <w:tcBorders>
                    <w:tl2br w:val="nil"/>
                    <w:tr2bl w:val="nil"/>
                  </w:tcBorders>
                  <w:noWrap w:val="0"/>
                  <w:vAlign w:val="center"/>
                </w:tcPr>
                <w:p w14:paraId="6B89DBD0">
                  <w:pPr>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kern w:val="0"/>
                      <w:sz w:val="21"/>
                      <w:szCs w:val="21"/>
                    </w:rPr>
                  </w:pPr>
                </w:p>
              </w:tc>
            </w:tr>
            <w:tr w14:paraId="55E848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7" w:type="pct"/>
                  <w:vMerge w:val="continue"/>
                  <w:tcBorders>
                    <w:tl2br w:val="nil"/>
                    <w:tr2bl w:val="nil"/>
                  </w:tcBorders>
                  <w:noWrap w:val="0"/>
                  <w:vAlign w:val="center"/>
                </w:tcPr>
                <w:p w14:paraId="34785D06">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p>
              </w:tc>
              <w:tc>
                <w:tcPr>
                  <w:tcW w:w="815" w:type="pct"/>
                  <w:vMerge w:val="continue"/>
                  <w:tcBorders>
                    <w:tl2br w:val="nil"/>
                    <w:tr2bl w:val="nil"/>
                  </w:tcBorders>
                  <w:noWrap w:val="0"/>
                  <w:vAlign w:val="center"/>
                </w:tcPr>
                <w:p w14:paraId="7D9C72C9">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p>
              </w:tc>
              <w:tc>
                <w:tcPr>
                  <w:tcW w:w="1277" w:type="dxa"/>
                  <w:tcBorders>
                    <w:tl2br w:val="nil"/>
                    <w:tr2bl w:val="nil"/>
                  </w:tcBorders>
                  <w:shd w:val="clear" w:color="auto" w:fill="auto"/>
                  <w:noWrap w:val="0"/>
                  <w:vAlign w:val="center"/>
                </w:tcPr>
                <w:p w14:paraId="0014589C">
                  <w:pPr>
                    <w:adjustRightInd w:val="0"/>
                    <w:snapToGrid w:val="0"/>
                    <w:jc w:val="center"/>
                    <w:rPr>
                      <w:rFonts w:hint="eastAsia" w:ascii="Times New Roman" w:hAnsi="Times New Roman" w:cs="Times New Roman" w:eastAsiaTheme="minorEastAsia"/>
                      <w:color w:val="auto"/>
                      <w:kern w:val="0"/>
                      <w:sz w:val="18"/>
                      <w:szCs w:val="18"/>
                      <w:lang w:val="en-US" w:eastAsia="zh-CN" w:bidi="ar-SA"/>
                    </w:rPr>
                  </w:pPr>
                  <w:r>
                    <w:rPr>
                      <w:color w:val="auto"/>
                      <w:sz w:val="18"/>
                      <w:szCs w:val="18"/>
                    </w:rPr>
                    <w:t>动植物油</w:t>
                  </w:r>
                </w:p>
              </w:tc>
              <w:tc>
                <w:tcPr>
                  <w:tcW w:w="1519" w:type="dxa"/>
                  <w:tcBorders>
                    <w:tl2br w:val="nil"/>
                    <w:tr2bl w:val="nil"/>
                  </w:tcBorders>
                  <w:shd w:val="clear" w:color="auto" w:fill="auto"/>
                  <w:noWrap w:val="0"/>
                  <w:vAlign w:val="center"/>
                </w:tcPr>
                <w:p w14:paraId="10FA3834">
                  <w:pPr>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0.27</w:t>
                  </w:r>
                </w:p>
              </w:tc>
              <w:tc>
                <w:tcPr>
                  <w:tcW w:w="1763" w:type="dxa"/>
                  <w:tcBorders>
                    <w:tl2br w:val="nil"/>
                    <w:tr2bl w:val="nil"/>
                  </w:tcBorders>
                  <w:noWrap w:val="0"/>
                  <w:vAlign w:val="center"/>
                </w:tcPr>
                <w:p w14:paraId="739908CF">
                  <w:pPr>
                    <w:pStyle w:val="135"/>
                    <w:rPr>
                      <w:rFonts w:hint="default" w:cs="Times New Roman"/>
                      <w:i w:val="0"/>
                      <w:iCs w:val="0"/>
                      <w:color w:val="auto"/>
                      <w:kern w:val="0"/>
                      <w:sz w:val="21"/>
                      <w:szCs w:val="21"/>
                      <w:u w:val="none"/>
                      <w:lang w:val="en-US" w:eastAsia="zh-CN" w:bidi="ar"/>
                    </w:rPr>
                  </w:pPr>
                  <w:r>
                    <w:rPr>
                      <w:rFonts w:ascii="Times New Roman" w:hAnsi="Times New Roman" w:eastAsia="宋体"/>
                      <w:color w:val="auto"/>
                      <w:sz w:val="21"/>
                      <w:szCs w:val="21"/>
                    </w:rPr>
                    <w:t>100</w:t>
                  </w:r>
                </w:p>
              </w:tc>
              <w:tc>
                <w:tcPr>
                  <w:tcW w:w="833" w:type="pct"/>
                  <w:vMerge w:val="continue"/>
                  <w:tcBorders>
                    <w:tl2br w:val="nil"/>
                    <w:tr2bl w:val="nil"/>
                  </w:tcBorders>
                  <w:noWrap w:val="0"/>
                  <w:vAlign w:val="center"/>
                </w:tcPr>
                <w:p w14:paraId="35DE6E6E">
                  <w:pPr>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kern w:val="0"/>
                      <w:sz w:val="21"/>
                      <w:szCs w:val="21"/>
                    </w:rPr>
                  </w:pPr>
                </w:p>
              </w:tc>
            </w:tr>
            <w:tr w14:paraId="0E9B25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7" w:type="pct"/>
                  <w:vMerge w:val="continue"/>
                  <w:tcBorders>
                    <w:tl2br w:val="nil"/>
                    <w:tr2bl w:val="nil"/>
                  </w:tcBorders>
                  <w:noWrap w:val="0"/>
                  <w:vAlign w:val="center"/>
                </w:tcPr>
                <w:p w14:paraId="7FE761CA">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p>
              </w:tc>
              <w:tc>
                <w:tcPr>
                  <w:tcW w:w="815" w:type="pct"/>
                  <w:vMerge w:val="continue"/>
                  <w:tcBorders>
                    <w:tl2br w:val="nil"/>
                    <w:tr2bl w:val="nil"/>
                  </w:tcBorders>
                  <w:noWrap w:val="0"/>
                  <w:vAlign w:val="center"/>
                </w:tcPr>
                <w:p w14:paraId="62CF6497">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rPr>
                  </w:pPr>
                </w:p>
              </w:tc>
              <w:tc>
                <w:tcPr>
                  <w:tcW w:w="1277" w:type="dxa"/>
                  <w:tcBorders>
                    <w:tl2br w:val="nil"/>
                    <w:tr2bl w:val="nil"/>
                  </w:tcBorders>
                  <w:shd w:val="clear" w:color="auto" w:fill="auto"/>
                  <w:noWrap w:val="0"/>
                  <w:vAlign w:val="center"/>
                </w:tcPr>
                <w:p w14:paraId="59643CEE">
                  <w:pPr>
                    <w:adjustRightInd w:val="0"/>
                    <w:snapToGrid w:val="0"/>
                    <w:jc w:val="center"/>
                    <w:rPr>
                      <w:rFonts w:hint="eastAsia" w:ascii="Times New Roman" w:hAnsi="Times New Roman" w:cs="Times New Roman" w:eastAsiaTheme="minorEastAsia"/>
                      <w:color w:val="auto"/>
                      <w:kern w:val="0"/>
                      <w:sz w:val="18"/>
                      <w:szCs w:val="18"/>
                      <w:lang w:val="en-US" w:eastAsia="zh-CN" w:bidi="ar-SA"/>
                    </w:rPr>
                  </w:pPr>
                  <w:r>
                    <w:rPr>
                      <w:color w:val="auto"/>
                      <w:sz w:val="18"/>
                      <w:szCs w:val="18"/>
                    </w:rPr>
                    <w:t>LAS</w:t>
                  </w:r>
                </w:p>
              </w:tc>
              <w:tc>
                <w:tcPr>
                  <w:tcW w:w="1519" w:type="dxa"/>
                  <w:tcBorders>
                    <w:tl2br w:val="nil"/>
                    <w:tr2bl w:val="nil"/>
                  </w:tcBorders>
                  <w:shd w:val="clear" w:color="auto" w:fill="auto"/>
                  <w:noWrap w:val="0"/>
                  <w:vAlign w:val="center"/>
                </w:tcPr>
                <w:p w14:paraId="6F2174F4">
                  <w:pPr>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0.54</w:t>
                  </w:r>
                </w:p>
              </w:tc>
              <w:tc>
                <w:tcPr>
                  <w:tcW w:w="1033" w:type="pct"/>
                  <w:tcBorders>
                    <w:tl2br w:val="nil"/>
                    <w:tr2bl w:val="nil"/>
                  </w:tcBorders>
                  <w:noWrap w:val="0"/>
                  <w:vAlign w:val="center"/>
                </w:tcPr>
                <w:p w14:paraId="0684F2A6">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c>
                <w:tcPr>
                  <w:tcW w:w="833" w:type="pct"/>
                  <w:vMerge w:val="continue"/>
                  <w:tcBorders>
                    <w:tl2br w:val="nil"/>
                    <w:tr2bl w:val="nil"/>
                  </w:tcBorders>
                  <w:noWrap w:val="0"/>
                  <w:vAlign w:val="center"/>
                </w:tcPr>
                <w:p w14:paraId="1D74DA47">
                  <w:pPr>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kern w:val="0"/>
                      <w:sz w:val="21"/>
                      <w:szCs w:val="21"/>
                    </w:rPr>
                  </w:pPr>
                </w:p>
              </w:tc>
            </w:tr>
          </w:tbl>
          <w:p w14:paraId="4FE6CC8C">
            <w:pPr>
              <w:widowControl/>
              <w:adjustRightInd w:val="0"/>
              <w:snapToGrid w:val="0"/>
              <w:spacing w:line="360" w:lineRule="auto"/>
              <w:ind w:firstLine="480" w:firstLineChars="200"/>
              <w:jc w:val="left"/>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由表4-</w:t>
            </w:r>
            <w:r>
              <w:rPr>
                <w:rFonts w:hint="eastAsia" w:cs="Times New Roman"/>
                <w:color w:val="auto"/>
                <w:kern w:val="0"/>
                <w:sz w:val="24"/>
                <w:lang w:val="en-US" w:eastAsia="zh-CN"/>
              </w:rPr>
              <w:t>16</w:t>
            </w:r>
            <w:r>
              <w:rPr>
                <w:rFonts w:hint="default" w:ascii="Times New Roman" w:hAnsi="Times New Roman" w:eastAsia="宋体" w:cs="Times New Roman"/>
                <w:color w:val="auto"/>
                <w:kern w:val="0"/>
                <w:sz w:val="24"/>
                <w:lang w:val="en-US" w:eastAsia="zh-CN"/>
              </w:rPr>
              <w:t>可见，本项目废水经预处理后，出水水质可以达到涟水县经济开发区西区污水处理厂进水水质接管标准要求。</w:t>
            </w:r>
          </w:p>
          <w:p w14:paraId="48F4D55E">
            <w:pPr>
              <w:widowControl/>
              <w:adjustRightInd w:val="0"/>
              <w:snapToGrid w:val="0"/>
              <w:spacing w:line="360" w:lineRule="auto"/>
              <w:ind w:firstLine="480" w:firstLineChars="200"/>
              <w:jc w:val="left"/>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综上所述，本项目废水经预处理后接管至涟水县经济开发区西区污水处理厂集中处理，是可行的。</w:t>
            </w:r>
          </w:p>
          <w:p w14:paraId="23068FB8">
            <w:pPr>
              <w:widowControl/>
              <w:adjustRightInd w:val="0"/>
              <w:snapToGrid w:val="0"/>
              <w:spacing w:line="360" w:lineRule="auto"/>
              <w:ind w:firstLine="482" w:firstLineChars="200"/>
              <w:jc w:val="left"/>
              <w:rPr>
                <w:rFonts w:hint="default" w:ascii="Times New Roman" w:hAnsi="Times New Roman" w:eastAsia="宋体" w:cs="Times New Roman"/>
                <w:b/>
                <w:bCs/>
                <w:color w:val="auto"/>
                <w:kern w:val="0"/>
                <w:sz w:val="24"/>
                <w:lang w:val="en-US" w:eastAsia="zh-CN"/>
              </w:rPr>
            </w:pPr>
            <w:r>
              <w:rPr>
                <w:rFonts w:hint="eastAsia" w:cs="Times New Roman"/>
                <w:b/>
                <w:bCs/>
                <w:color w:val="auto"/>
                <w:kern w:val="0"/>
                <w:sz w:val="24"/>
                <w:lang w:val="en-US" w:eastAsia="zh-CN"/>
              </w:rPr>
              <w:t>3</w:t>
            </w:r>
            <w:r>
              <w:rPr>
                <w:rFonts w:hint="default" w:ascii="Times New Roman" w:hAnsi="Times New Roman" w:eastAsia="宋体" w:cs="Times New Roman"/>
                <w:b/>
                <w:bCs/>
                <w:color w:val="auto"/>
                <w:kern w:val="0"/>
                <w:sz w:val="24"/>
                <w:lang w:val="en-US" w:eastAsia="zh-CN"/>
              </w:rPr>
              <w:t>.噪声</w:t>
            </w:r>
          </w:p>
          <w:p w14:paraId="7E8AD1CC">
            <w:pPr>
              <w:widowControl/>
              <w:adjustRightInd w:val="0"/>
              <w:snapToGrid w:val="0"/>
              <w:spacing w:line="360" w:lineRule="auto"/>
              <w:ind w:firstLine="482" w:firstLineChars="200"/>
              <w:jc w:val="left"/>
              <w:rPr>
                <w:rFonts w:hint="default" w:ascii="Times New Roman" w:hAnsi="Times New Roman" w:eastAsia="宋体" w:cs="Times New Roman"/>
                <w:color w:val="auto"/>
                <w:kern w:val="0"/>
                <w:sz w:val="24"/>
                <w:lang w:val="en-US" w:eastAsia="zh-CN"/>
              </w:rPr>
            </w:pPr>
            <w:r>
              <w:rPr>
                <w:rFonts w:hint="eastAsia" w:cs="Times New Roman"/>
                <w:b/>
                <w:bCs/>
                <w:color w:val="auto"/>
                <w:kern w:val="0"/>
                <w:sz w:val="24"/>
                <w:lang w:val="en-US" w:eastAsia="zh-CN"/>
              </w:rPr>
              <w:t>3.1</w:t>
            </w:r>
            <w:r>
              <w:rPr>
                <w:rFonts w:hint="default" w:ascii="Times New Roman" w:hAnsi="Times New Roman" w:eastAsia="宋体" w:cs="Times New Roman"/>
                <w:b/>
                <w:bCs/>
                <w:color w:val="auto"/>
                <w:kern w:val="0"/>
                <w:sz w:val="24"/>
                <w:lang w:val="en-US" w:eastAsia="zh-CN"/>
              </w:rPr>
              <w:t>噪声源强及降噪措施</w:t>
            </w:r>
          </w:p>
          <w:p w14:paraId="36F11D7A">
            <w:pPr>
              <w:widowControl/>
              <w:adjustRightInd w:val="0"/>
              <w:snapToGrid w:val="0"/>
              <w:spacing w:line="360" w:lineRule="auto"/>
              <w:ind w:firstLine="480" w:firstLineChars="200"/>
              <w:jc w:val="left"/>
              <w:rPr>
                <w:rFonts w:hint="eastAsia" w:hAnsiTheme="minorEastAsia" w:eastAsiaTheme="minorEastAsia"/>
                <w:color w:val="auto"/>
                <w:kern w:val="0"/>
                <w:sz w:val="24"/>
              </w:rPr>
            </w:pPr>
            <w:r>
              <w:rPr>
                <w:rFonts w:hAnsiTheme="minorEastAsia" w:eastAsiaTheme="minorEastAsia"/>
                <w:color w:val="auto"/>
                <w:kern w:val="0"/>
                <w:sz w:val="24"/>
                <w:lang w:bidi="en-US"/>
              </w:rPr>
              <w:t>企业周边</w:t>
            </w:r>
            <w:r>
              <w:rPr>
                <w:rFonts w:eastAsiaTheme="minorEastAsia"/>
                <w:color w:val="auto"/>
                <w:kern w:val="0"/>
                <w:sz w:val="24"/>
                <w:lang w:bidi="en-US"/>
              </w:rPr>
              <w:t>50m</w:t>
            </w:r>
            <w:r>
              <w:rPr>
                <w:rFonts w:hAnsiTheme="minorEastAsia" w:eastAsiaTheme="minorEastAsia"/>
                <w:color w:val="auto"/>
                <w:kern w:val="0"/>
                <w:sz w:val="24"/>
                <w:lang w:bidi="en-US"/>
              </w:rPr>
              <w:t>范围内无声环境保护目标，建设项目</w:t>
            </w:r>
            <w:r>
              <w:rPr>
                <w:rFonts w:hAnsiTheme="minorEastAsia" w:eastAsiaTheme="minorEastAsia"/>
                <w:color w:val="auto"/>
                <w:sz w:val="24"/>
              </w:rPr>
              <w:t>噪声污染源为</w:t>
            </w:r>
            <w:r>
              <w:rPr>
                <w:color w:val="auto"/>
                <w:kern w:val="0"/>
                <w:sz w:val="24"/>
                <w:lang w:bidi="en-US"/>
              </w:rPr>
              <w:t>各生产设备</w:t>
            </w:r>
            <w:r>
              <w:rPr>
                <w:rFonts w:hint="eastAsia"/>
                <w:color w:val="auto"/>
                <w:kern w:val="0"/>
                <w:sz w:val="24"/>
                <w:lang w:bidi="en-US"/>
              </w:rPr>
              <w:t>、空气压缩机</w:t>
            </w:r>
            <w:r>
              <w:rPr>
                <w:color w:val="auto"/>
                <w:kern w:val="0"/>
                <w:sz w:val="24"/>
                <w:lang w:bidi="en-US"/>
              </w:rPr>
              <w:t>运行过程产生的噪声等，</w:t>
            </w:r>
            <w:r>
              <w:rPr>
                <w:rFonts w:hint="eastAsia"/>
                <w:color w:val="auto"/>
                <w:kern w:val="0"/>
                <w:sz w:val="24"/>
                <w:lang w:bidi="en-US"/>
              </w:rPr>
              <w:t>约为65</w:t>
            </w:r>
            <w:r>
              <w:rPr>
                <w:color w:val="auto"/>
                <w:kern w:val="0"/>
                <w:sz w:val="24"/>
                <w:lang w:bidi="en-US"/>
              </w:rPr>
              <w:t>~</w:t>
            </w:r>
            <w:r>
              <w:rPr>
                <w:rFonts w:hint="eastAsia"/>
                <w:color w:val="auto"/>
                <w:kern w:val="0"/>
                <w:sz w:val="24"/>
                <w:lang w:bidi="en-US"/>
              </w:rPr>
              <w:t>90</w:t>
            </w:r>
            <w:r>
              <w:rPr>
                <w:color w:val="auto"/>
                <w:kern w:val="0"/>
                <w:sz w:val="24"/>
                <w:lang w:bidi="en-US"/>
              </w:rPr>
              <w:t>dB</w:t>
            </w:r>
            <w:r>
              <w:rPr>
                <w:rFonts w:hint="eastAsia"/>
                <w:color w:val="auto"/>
                <w:kern w:val="0"/>
                <w:sz w:val="24"/>
                <w:lang w:bidi="en-US"/>
              </w:rPr>
              <w:t>。</w:t>
            </w:r>
            <w:r>
              <w:rPr>
                <w:rFonts w:hAnsiTheme="minorEastAsia" w:eastAsiaTheme="minorEastAsia"/>
                <w:color w:val="auto"/>
                <w:kern w:val="0"/>
                <w:sz w:val="24"/>
              </w:rPr>
              <w:t>建设项目主要设备噪声源强见表</w:t>
            </w:r>
            <w:r>
              <w:rPr>
                <w:rFonts w:eastAsiaTheme="minorEastAsia"/>
                <w:color w:val="auto"/>
                <w:kern w:val="0"/>
                <w:sz w:val="24"/>
              </w:rPr>
              <w:t>4</w:t>
            </w:r>
            <w:r>
              <w:rPr>
                <w:rFonts w:hint="eastAsia" w:eastAsiaTheme="minorEastAsia"/>
                <w:color w:val="auto"/>
                <w:kern w:val="0"/>
                <w:sz w:val="24"/>
                <w:lang w:val="en-US" w:eastAsia="zh-CN"/>
              </w:rPr>
              <w:t>-17</w:t>
            </w:r>
            <w:r>
              <w:rPr>
                <w:rFonts w:hint="eastAsia" w:eastAsiaTheme="minorEastAsia"/>
                <w:color w:val="auto"/>
                <w:kern w:val="0"/>
                <w:sz w:val="24"/>
              </w:rPr>
              <w:t>，表4</w:t>
            </w:r>
            <w:r>
              <w:rPr>
                <w:rFonts w:hint="eastAsia" w:eastAsiaTheme="minorEastAsia"/>
                <w:color w:val="auto"/>
                <w:kern w:val="0"/>
                <w:sz w:val="24"/>
                <w:lang w:val="en-US" w:eastAsia="zh-CN"/>
              </w:rPr>
              <w:t>-18</w:t>
            </w:r>
            <w:r>
              <w:rPr>
                <w:rFonts w:hAnsiTheme="minorEastAsia" w:eastAsiaTheme="minorEastAsia"/>
                <w:color w:val="auto"/>
                <w:kern w:val="0"/>
                <w:sz w:val="24"/>
              </w:rPr>
              <w:t>。</w:t>
            </w:r>
          </w:p>
          <w:p w14:paraId="42AEBDA2">
            <w:pPr>
              <w:widowControl/>
              <w:adjustRightInd w:val="0"/>
              <w:snapToGrid w:val="0"/>
              <w:ind w:firstLine="482" w:firstLineChars="200"/>
              <w:jc w:val="center"/>
              <w:rPr>
                <w:b/>
                <w:bCs/>
                <w:color w:val="auto"/>
                <w:kern w:val="0"/>
                <w:sz w:val="24"/>
              </w:rPr>
            </w:pPr>
            <w:r>
              <w:rPr>
                <w:b/>
                <w:bCs/>
                <w:color w:val="auto"/>
                <w:kern w:val="0"/>
                <w:sz w:val="24"/>
                <w:lang w:bidi="en-US"/>
              </w:rPr>
              <w:t>表4</w:t>
            </w:r>
            <w:r>
              <w:rPr>
                <w:rFonts w:hint="eastAsia"/>
                <w:b/>
                <w:bCs/>
                <w:color w:val="auto"/>
                <w:kern w:val="0"/>
                <w:sz w:val="24"/>
                <w:lang w:val="en-US" w:eastAsia="zh-CN" w:bidi="en-US"/>
              </w:rPr>
              <w:t>-17</w:t>
            </w:r>
            <w:r>
              <w:rPr>
                <w:b/>
                <w:bCs/>
                <w:color w:val="auto"/>
                <w:kern w:val="0"/>
                <w:sz w:val="24"/>
                <w:lang w:bidi="en-US"/>
              </w:rPr>
              <w:t xml:space="preserve">  建设项目</w:t>
            </w:r>
            <w:r>
              <w:rPr>
                <w:b/>
                <w:bCs/>
                <w:color w:val="auto"/>
                <w:kern w:val="0"/>
                <w:sz w:val="24"/>
              </w:rPr>
              <w:t>噪声源强调查清单（室内声源）</w:t>
            </w:r>
          </w:p>
          <w:tbl>
            <w:tblPr>
              <w:tblStyle w:val="3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398"/>
              <w:gridCol w:w="1120"/>
              <w:gridCol w:w="449"/>
              <w:gridCol w:w="741"/>
              <w:gridCol w:w="500"/>
              <w:gridCol w:w="500"/>
              <w:gridCol w:w="504"/>
              <w:gridCol w:w="529"/>
              <w:gridCol w:w="586"/>
              <w:gridCol w:w="603"/>
              <w:gridCol w:w="739"/>
              <w:gridCol w:w="586"/>
              <w:gridCol w:w="710"/>
              <w:gridCol w:w="563"/>
            </w:tblGrid>
            <w:tr w14:paraId="3395F6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33" w:type="pct"/>
                  <w:vMerge w:val="restart"/>
                  <w:vAlign w:val="center"/>
                </w:tcPr>
                <w:p w14:paraId="213DBAE1">
                  <w:pPr>
                    <w:widowControl/>
                    <w:adjustRightInd w:val="0"/>
                    <w:snapToGrid w:val="0"/>
                    <w:jc w:val="center"/>
                    <w:rPr>
                      <w:b/>
                      <w:bCs/>
                      <w:color w:val="auto"/>
                      <w:kern w:val="0"/>
                      <w:sz w:val="18"/>
                      <w:szCs w:val="18"/>
                      <w:lang w:bidi="en-US"/>
                    </w:rPr>
                  </w:pPr>
                  <w:r>
                    <w:rPr>
                      <w:rFonts w:hint="eastAsia"/>
                      <w:b/>
                      <w:bCs/>
                      <w:color w:val="auto"/>
                      <w:kern w:val="0"/>
                      <w:sz w:val="18"/>
                      <w:szCs w:val="18"/>
                      <w:lang w:bidi="en-US"/>
                    </w:rPr>
                    <w:t>序号</w:t>
                  </w:r>
                </w:p>
              </w:tc>
              <w:tc>
                <w:tcPr>
                  <w:tcW w:w="656" w:type="pct"/>
                  <w:vMerge w:val="restart"/>
                  <w:vAlign w:val="center"/>
                </w:tcPr>
                <w:p w14:paraId="67C2E984">
                  <w:pPr>
                    <w:widowControl/>
                    <w:adjustRightInd w:val="0"/>
                    <w:snapToGrid w:val="0"/>
                    <w:jc w:val="center"/>
                    <w:rPr>
                      <w:b/>
                      <w:bCs/>
                      <w:color w:val="auto"/>
                      <w:kern w:val="0"/>
                      <w:sz w:val="18"/>
                      <w:szCs w:val="18"/>
                      <w:lang w:bidi="en-US"/>
                    </w:rPr>
                  </w:pPr>
                  <w:r>
                    <w:rPr>
                      <w:b/>
                      <w:bCs/>
                      <w:color w:val="auto"/>
                      <w:kern w:val="0"/>
                      <w:sz w:val="18"/>
                      <w:szCs w:val="18"/>
                      <w:lang w:bidi="en-US"/>
                    </w:rPr>
                    <w:t>声源名称</w:t>
                  </w:r>
                </w:p>
              </w:tc>
              <w:tc>
                <w:tcPr>
                  <w:tcW w:w="263" w:type="pct"/>
                  <w:vMerge w:val="restart"/>
                  <w:vAlign w:val="center"/>
                </w:tcPr>
                <w:p w14:paraId="0CD946F2">
                  <w:pPr>
                    <w:widowControl/>
                    <w:adjustRightInd w:val="0"/>
                    <w:snapToGrid w:val="0"/>
                    <w:jc w:val="center"/>
                    <w:rPr>
                      <w:b/>
                      <w:bCs/>
                      <w:color w:val="auto"/>
                      <w:kern w:val="0"/>
                      <w:sz w:val="18"/>
                      <w:szCs w:val="18"/>
                      <w:lang w:bidi="en-US"/>
                    </w:rPr>
                  </w:pPr>
                  <w:r>
                    <w:rPr>
                      <w:b/>
                      <w:bCs/>
                      <w:color w:val="auto"/>
                      <w:kern w:val="0"/>
                      <w:sz w:val="18"/>
                      <w:szCs w:val="18"/>
                      <w:lang w:bidi="en-US"/>
                    </w:rPr>
                    <w:t>数量（台/套）</w:t>
                  </w:r>
                </w:p>
              </w:tc>
              <w:tc>
                <w:tcPr>
                  <w:tcW w:w="434" w:type="pct"/>
                  <w:vMerge w:val="restart"/>
                  <w:vAlign w:val="center"/>
                </w:tcPr>
                <w:p w14:paraId="3A3299E5">
                  <w:pPr>
                    <w:widowControl/>
                    <w:adjustRightInd w:val="0"/>
                    <w:snapToGrid w:val="0"/>
                    <w:jc w:val="center"/>
                    <w:rPr>
                      <w:b/>
                      <w:bCs/>
                      <w:color w:val="auto"/>
                      <w:kern w:val="0"/>
                      <w:sz w:val="18"/>
                      <w:szCs w:val="18"/>
                      <w:lang w:bidi="en-US"/>
                    </w:rPr>
                  </w:pPr>
                  <w:r>
                    <w:rPr>
                      <w:b/>
                      <w:bCs/>
                      <w:color w:val="auto"/>
                      <w:kern w:val="0"/>
                      <w:sz w:val="18"/>
                      <w:szCs w:val="18"/>
                      <w:lang w:bidi="en-US"/>
                    </w:rPr>
                    <w:t>（声压级/距声源距离）</w:t>
                  </w:r>
                </w:p>
              </w:tc>
              <w:tc>
                <w:tcPr>
                  <w:tcW w:w="293" w:type="pct"/>
                  <w:vMerge w:val="restart"/>
                  <w:vAlign w:val="center"/>
                </w:tcPr>
                <w:p w14:paraId="74360AE9">
                  <w:pPr>
                    <w:adjustRightInd w:val="0"/>
                    <w:snapToGrid w:val="0"/>
                    <w:jc w:val="center"/>
                    <w:rPr>
                      <w:b/>
                      <w:bCs/>
                      <w:color w:val="auto"/>
                      <w:kern w:val="0"/>
                      <w:sz w:val="18"/>
                      <w:szCs w:val="18"/>
                      <w:lang w:bidi="en-US"/>
                    </w:rPr>
                  </w:pPr>
                  <w:r>
                    <w:rPr>
                      <w:b/>
                      <w:bCs/>
                      <w:color w:val="auto"/>
                      <w:kern w:val="0"/>
                      <w:sz w:val="18"/>
                      <w:szCs w:val="18"/>
                      <w:lang w:bidi="en-US"/>
                    </w:rPr>
                    <w:t>声源控制措施</w:t>
                  </w:r>
                </w:p>
              </w:tc>
              <w:tc>
                <w:tcPr>
                  <w:tcW w:w="898" w:type="pct"/>
                  <w:gridSpan w:val="3"/>
                  <w:vAlign w:val="center"/>
                </w:tcPr>
                <w:p w14:paraId="7DD628FC">
                  <w:pPr>
                    <w:widowControl/>
                    <w:adjustRightInd w:val="0"/>
                    <w:snapToGrid w:val="0"/>
                    <w:jc w:val="center"/>
                    <w:rPr>
                      <w:b/>
                      <w:bCs/>
                      <w:color w:val="auto"/>
                      <w:kern w:val="0"/>
                      <w:sz w:val="18"/>
                      <w:szCs w:val="18"/>
                      <w:lang w:bidi="en-US"/>
                    </w:rPr>
                  </w:pPr>
                  <w:r>
                    <w:rPr>
                      <w:b/>
                      <w:bCs/>
                      <w:color w:val="auto"/>
                      <w:kern w:val="0"/>
                      <w:sz w:val="18"/>
                      <w:szCs w:val="18"/>
                      <w:lang w:bidi="en-US"/>
                    </w:rPr>
                    <w:t>空间相对位置/m*</w:t>
                  </w:r>
                </w:p>
              </w:tc>
              <w:tc>
                <w:tcPr>
                  <w:tcW w:w="343" w:type="pct"/>
                  <w:vMerge w:val="restart"/>
                  <w:vAlign w:val="center"/>
                </w:tcPr>
                <w:p w14:paraId="0F592E54">
                  <w:pPr>
                    <w:adjustRightInd w:val="0"/>
                    <w:snapToGrid w:val="0"/>
                    <w:jc w:val="center"/>
                    <w:rPr>
                      <w:b/>
                      <w:bCs/>
                      <w:color w:val="auto"/>
                      <w:kern w:val="0"/>
                      <w:sz w:val="18"/>
                      <w:szCs w:val="18"/>
                      <w:lang w:bidi="en-US"/>
                    </w:rPr>
                  </w:pPr>
                  <w:r>
                    <w:rPr>
                      <w:b/>
                      <w:bCs/>
                      <w:color w:val="auto"/>
                      <w:kern w:val="0"/>
                      <w:sz w:val="18"/>
                      <w:szCs w:val="18"/>
                      <w:lang w:bidi="en-US"/>
                    </w:rPr>
                    <w:t>距室内边界距离/m</w:t>
                  </w:r>
                </w:p>
              </w:tc>
              <w:tc>
                <w:tcPr>
                  <w:tcW w:w="353" w:type="pct"/>
                  <w:vMerge w:val="restart"/>
                  <w:vAlign w:val="center"/>
                </w:tcPr>
                <w:p w14:paraId="73D542FF">
                  <w:pPr>
                    <w:adjustRightInd w:val="0"/>
                    <w:snapToGrid w:val="0"/>
                    <w:jc w:val="center"/>
                    <w:rPr>
                      <w:b/>
                      <w:bCs/>
                      <w:color w:val="auto"/>
                      <w:kern w:val="0"/>
                      <w:sz w:val="18"/>
                      <w:szCs w:val="18"/>
                      <w:lang w:bidi="en-US"/>
                    </w:rPr>
                  </w:pPr>
                  <w:r>
                    <w:rPr>
                      <w:b/>
                      <w:bCs/>
                      <w:color w:val="auto"/>
                      <w:kern w:val="0"/>
                      <w:sz w:val="18"/>
                      <w:szCs w:val="18"/>
                      <w:lang w:bidi="en-US"/>
                    </w:rPr>
                    <w:t>室内边界声级/dB(A)</w:t>
                  </w:r>
                </w:p>
              </w:tc>
              <w:tc>
                <w:tcPr>
                  <w:tcW w:w="433" w:type="pct"/>
                  <w:vMerge w:val="restart"/>
                  <w:vAlign w:val="center"/>
                </w:tcPr>
                <w:p w14:paraId="0CE8AF00">
                  <w:pPr>
                    <w:widowControl/>
                    <w:adjustRightInd w:val="0"/>
                    <w:snapToGrid w:val="0"/>
                    <w:jc w:val="center"/>
                    <w:rPr>
                      <w:b/>
                      <w:bCs/>
                      <w:color w:val="auto"/>
                      <w:kern w:val="0"/>
                      <w:sz w:val="18"/>
                      <w:szCs w:val="18"/>
                      <w:lang w:bidi="en-US"/>
                    </w:rPr>
                  </w:pPr>
                  <w:r>
                    <w:rPr>
                      <w:b/>
                      <w:bCs/>
                      <w:color w:val="auto"/>
                      <w:kern w:val="0"/>
                      <w:sz w:val="18"/>
                      <w:szCs w:val="18"/>
                      <w:lang w:bidi="en-US"/>
                    </w:rPr>
                    <w:t>运行时段（h）</w:t>
                  </w:r>
                </w:p>
              </w:tc>
              <w:tc>
                <w:tcPr>
                  <w:tcW w:w="343" w:type="pct"/>
                  <w:vMerge w:val="restart"/>
                  <w:vAlign w:val="center"/>
                </w:tcPr>
                <w:p w14:paraId="62EA0939">
                  <w:pPr>
                    <w:widowControl/>
                    <w:adjustRightInd w:val="0"/>
                    <w:snapToGrid w:val="0"/>
                    <w:jc w:val="center"/>
                    <w:rPr>
                      <w:b/>
                      <w:bCs/>
                      <w:color w:val="auto"/>
                      <w:kern w:val="0"/>
                      <w:sz w:val="18"/>
                      <w:szCs w:val="18"/>
                      <w:lang w:bidi="en-US"/>
                    </w:rPr>
                  </w:pPr>
                  <w:r>
                    <w:rPr>
                      <w:b/>
                      <w:bCs/>
                      <w:color w:val="auto"/>
                      <w:kern w:val="0"/>
                      <w:sz w:val="18"/>
                      <w:szCs w:val="18"/>
                      <w:lang w:bidi="en-US"/>
                    </w:rPr>
                    <w:t>建筑物插入损失/ dB(A)</w:t>
                  </w:r>
                </w:p>
              </w:tc>
              <w:tc>
                <w:tcPr>
                  <w:tcW w:w="745" w:type="pct"/>
                  <w:gridSpan w:val="2"/>
                  <w:vAlign w:val="center"/>
                </w:tcPr>
                <w:p w14:paraId="779F1E46">
                  <w:pPr>
                    <w:widowControl/>
                    <w:adjustRightInd w:val="0"/>
                    <w:snapToGrid w:val="0"/>
                    <w:jc w:val="center"/>
                    <w:rPr>
                      <w:b/>
                      <w:bCs/>
                      <w:color w:val="auto"/>
                      <w:kern w:val="0"/>
                      <w:sz w:val="18"/>
                      <w:szCs w:val="18"/>
                      <w:lang w:bidi="en-US"/>
                    </w:rPr>
                  </w:pPr>
                  <w:r>
                    <w:rPr>
                      <w:b/>
                      <w:bCs/>
                      <w:color w:val="auto"/>
                      <w:kern w:val="0"/>
                      <w:sz w:val="18"/>
                      <w:szCs w:val="18"/>
                      <w:lang w:bidi="en-US"/>
                    </w:rPr>
                    <w:t>建筑物外噪声</w:t>
                  </w:r>
                </w:p>
              </w:tc>
            </w:tr>
            <w:tr w14:paraId="4C9AE5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33" w:type="pct"/>
                  <w:vMerge w:val="continue"/>
                  <w:vAlign w:val="center"/>
                </w:tcPr>
                <w:p w14:paraId="166A19CB">
                  <w:pPr>
                    <w:widowControl/>
                    <w:adjustRightInd w:val="0"/>
                    <w:snapToGrid w:val="0"/>
                    <w:jc w:val="center"/>
                    <w:rPr>
                      <w:b/>
                      <w:bCs/>
                      <w:color w:val="auto"/>
                      <w:kern w:val="0"/>
                      <w:sz w:val="18"/>
                      <w:szCs w:val="18"/>
                      <w:lang w:bidi="en-US"/>
                    </w:rPr>
                  </w:pPr>
                </w:p>
              </w:tc>
              <w:tc>
                <w:tcPr>
                  <w:tcW w:w="656" w:type="pct"/>
                  <w:vMerge w:val="continue"/>
                  <w:vAlign w:val="center"/>
                </w:tcPr>
                <w:p w14:paraId="7A181781">
                  <w:pPr>
                    <w:widowControl/>
                    <w:adjustRightInd w:val="0"/>
                    <w:snapToGrid w:val="0"/>
                    <w:jc w:val="center"/>
                    <w:rPr>
                      <w:b/>
                      <w:bCs/>
                      <w:color w:val="auto"/>
                      <w:kern w:val="0"/>
                      <w:sz w:val="18"/>
                      <w:szCs w:val="18"/>
                      <w:lang w:bidi="en-US"/>
                    </w:rPr>
                  </w:pPr>
                </w:p>
              </w:tc>
              <w:tc>
                <w:tcPr>
                  <w:tcW w:w="263" w:type="pct"/>
                  <w:vMerge w:val="continue"/>
                  <w:vAlign w:val="center"/>
                </w:tcPr>
                <w:p w14:paraId="7D87EE5B">
                  <w:pPr>
                    <w:widowControl/>
                    <w:adjustRightInd w:val="0"/>
                    <w:snapToGrid w:val="0"/>
                    <w:jc w:val="center"/>
                    <w:rPr>
                      <w:b/>
                      <w:bCs/>
                      <w:color w:val="auto"/>
                      <w:kern w:val="0"/>
                      <w:sz w:val="18"/>
                      <w:szCs w:val="18"/>
                      <w:lang w:bidi="en-US"/>
                    </w:rPr>
                  </w:pPr>
                </w:p>
              </w:tc>
              <w:tc>
                <w:tcPr>
                  <w:tcW w:w="434" w:type="pct"/>
                  <w:vMerge w:val="continue"/>
                  <w:vAlign w:val="center"/>
                </w:tcPr>
                <w:p w14:paraId="53312C61">
                  <w:pPr>
                    <w:widowControl/>
                    <w:adjustRightInd w:val="0"/>
                    <w:snapToGrid w:val="0"/>
                    <w:jc w:val="center"/>
                    <w:rPr>
                      <w:b/>
                      <w:bCs/>
                      <w:color w:val="auto"/>
                      <w:kern w:val="0"/>
                      <w:sz w:val="18"/>
                      <w:szCs w:val="18"/>
                      <w:lang w:bidi="en-US"/>
                    </w:rPr>
                  </w:pPr>
                </w:p>
              </w:tc>
              <w:tc>
                <w:tcPr>
                  <w:tcW w:w="293" w:type="pct"/>
                  <w:vMerge w:val="continue"/>
                  <w:vAlign w:val="center"/>
                </w:tcPr>
                <w:p w14:paraId="4429C50C">
                  <w:pPr>
                    <w:widowControl/>
                    <w:adjustRightInd w:val="0"/>
                    <w:snapToGrid w:val="0"/>
                    <w:jc w:val="center"/>
                    <w:rPr>
                      <w:b/>
                      <w:bCs/>
                      <w:color w:val="auto"/>
                      <w:kern w:val="0"/>
                      <w:sz w:val="18"/>
                      <w:szCs w:val="18"/>
                      <w:lang w:bidi="en-US"/>
                    </w:rPr>
                  </w:pPr>
                </w:p>
              </w:tc>
              <w:tc>
                <w:tcPr>
                  <w:tcW w:w="293" w:type="pct"/>
                  <w:vAlign w:val="center"/>
                </w:tcPr>
                <w:p w14:paraId="7092A062">
                  <w:pPr>
                    <w:widowControl/>
                    <w:adjustRightInd w:val="0"/>
                    <w:snapToGrid w:val="0"/>
                    <w:jc w:val="center"/>
                    <w:rPr>
                      <w:b/>
                      <w:bCs/>
                      <w:color w:val="auto"/>
                      <w:kern w:val="0"/>
                      <w:sz w:val="18"/>
                      <w:szCs w:val="18"/>
                      <w:lang w:bidi="en-US"/>
                    </w:rPr>
                  </w:pPr>
                  <w:r>
                    <w:rPr>
                      <w:b/>
                      <w:bCs/>
                      <w:color w:val="auto"/>
                      <w:kern w:val="0"/>
                      <w:sz w:val="18"/>
                      <w:szCs w:val="18"/>
                      <w:lang w:bidi="en-US"/>
                    </w:rPr>
                    <w:t>X</w:t>
                  </w:r>
                </w:p>
              </w:tc>
              <w:tc>
                <w:tcPr>
                  <w:tcW w:w="295" w:type="pct"/>
                  <w:vAlign w:val="center"/>
                </w:tcPr>
                <w:p w14:paraId="0CECB800">
                  <w:pPr>
                    <w:widowControl/>
                    <w:adjustRightInd w:val="0"/>
                    <w:snapToGrid w:val="0"/>
                    <w:jc w:val="center"/>
                    <w:rPr>
                      <w:b/>
                      <w:bCs/>
                      <w:color w:val="auto"/>
                      <w:kern w:val="0"/>
                      <w:sz w:val="18"/>
                      <w:szCs w:val="18"/>
                      <w:lang w:bidi="en-US"/>
                    </w:rPr>
                  </w:pPr>
                  <w:r>
                    <w:rPr>
                      <w:b/>
                      <w:bCs/>
                      <w:color w:val="auto"/>
                      <w:kern w:val="0"/>
                      <w:sz w:val="18"/>
                      <w:szCs w:val="18"/>
                      <w:lang w:bidi="en-US"/>
                    </w:rPr>
                    <w:t>Y</w:t>
                  </w:r>
                </w:p>
              </w:tc>
              <w:tc>
                <w:tcPr>
                  <w:tcW w:w="310" w:type="pct"/>
                  <w:vAlign w:val="center"/>
                </w:tcPr>
                <w:p w14:paraId="095366B0">
                  <w:pPr>
                    <w:widowControl/>
                    <w:adjustRightInd w:val="0"/>
                    <w:snapToGrid w:val="0"/>
                    <w:jc w:val="center"/>
                    <w:rPr>
                      <w:b/>
                      <w:bCs/>
                      <w:color w:val="auto"/>
                      <w:kern w:val="0"/>
                      <w:sz w:val="18"/>
                      <w:szCs w:val="18"/>
                      <w:lang w:bidi="en-US"/>
                    </w:rPr>
                  </w:pPr>
                  <w:r>
                    <w:rPr>
                      <w:b/>
                      <w:bCs/>
                      <w:color w:val="auto"/>
                      <w:kern w:val="0"/>
                      <w:sz w:val="18"/>
                      <w:szCs w:val="18"/>
                      <w:lang w:bidi="en-US"/>
                    </w:rPr>
                    <w:t>Z</w:t>
                  </w:r>
                </w:p>
              </w:tc>
              <w:tc>
                <w:tcPr>
                  <w:tcW w:w="343" w:type="pct"/>
                  <w:vMerge w:val="continue"/>
                  <w:vAlign w:val="center"/>
                </w:tcPr>
                <w:p w14:paraId="4B8F18C5">
                  <w:pPr>
                    <w:widowControl/>
                    <w:adjustRightInd w:val="0"/>
                    <w:snapToGrid w:val="0"/>
                    <w:jc w:val="center"/>
                    <w:rPr>
                      <w:b/>
                      <w:bCs/>
                      <w:color w:val="auto"/>
                      <w:kern w:val="0"/>
                      <w:sz w:val="18"/>
                      <w:szCs w:val="18"/>
                      <w:lang w:bidi="en-US"/>
                    </w:rPr>
                  </w:pPr>
                </w:p>
              </w:tc>
              <w:tc>
                <w:tcPr>
                  <w:tcW w:w="353" w:type="pct"/>
                  <w:vMerge w:val="continue"/>
                  <w:vAlign w:val="center"/>
                </w:tcPr>
                <w:p w14:paraId="45E64CFC">
                  <w:pPr>
                    <w:widowControl/>
                    <w:adjustRightInd w:val="0"/>
                    <w:snapToGrid w:val="0"/>
                    <w:jc w:val="center"/>
                    <w:rPr>
                      <w:b/>
                      <w:bCs/>
                      <w:color w:val="auto"/>
                      <w:kern w:val="0"/>
                      <w:sz w:val="18"/>
                      <w:szCs w:val="18"/>
                      <w:lang w:bidi="en-US"/>
                    </w:rPr>
                  </w:pPr>
                </w:p>
              </w:tc>
              <w:tc>
                <w:tcPr>
                  <w:tcW w:w="433" w:type="pct"/>
                  <w:vMerge w:val="continue"/>
                  <w:vAlign w:val="center"/>
                </w:tcPr>
                <w:p w14:paraId="2162754E">
                  <w:pPr>
                    <w:widowControl/>
                    <w:adjustRightInd w:val="0"/>
                    <w:snapToGrid w:val="0"/>
                    <w:jc w:val="center"/>
                    <w:rPr>
                      <w:b/>
                      <w:bCs/>
                      <w:color w:val="auto"/>
                      <w:kern w:val="0"/>
                      <w:sz w:val="18"/>
                      <w:szCs w:val="18"/>
                      <w:lang w:bidi="en-US"/>
                    </w:rPr>
                  </w:pPr>
                </w:p>
              </w:tc>
              <w:tc>
                <w:tcPr>
                  <w:tcW w:w="343" w:type="pct"/>
                  <w:vMerge w:val="continue"/>
                  <w:vAlign w:val="center"/>
                </w:tcPr>
                <w:p w14:paraId="51954383">
                  <w:pPr>
                    <w:widowControl/>
                    <w:adjustRightInd w:val="0"/>
                    <w:snapToGrid w:val="0"/>
                    <w:jc w:val="center"/>
                    <w:rPr>
                      <w:b/>
                      <w:bCs/>
                      <w:color w:val="auto"/>
                      <w:kern w:val="0"/>
                      <w:sz w:val="18"/>
                      <w:szCs w:val="18"/>
                      <w:lang w:bidi="en-US"/>
                    </w:rPr>
                  </w:pPr>
                </w:p>
              </w:tc>
              <w:tc>
                <w:tcPr>
                  <w:tcW w:w="416" w:type="pct"/>
                  <w:vAlign w:val="center"/>
                </w:tcPr>
                <w:p w14:paraId="448FE29E">
                  <w:pPr>
                    <w:widowControl/>
                    <w:adjustRightInd w:val="0"/>
                    <w:snapToGrid w:val="0"/>
                    <w:jc w:val="center"/>
                    <w:rPr>
                      <w:b/>
                      <w:bCs/>
                      <w:color w:val="auto"/>
                      <w:kern w:val="0"/>
                      <w:sz w:val="18"/>
                      <w:szCs w:val="18"/>
                      <w:lang w:bidi="en-US"/>
                    </w:rPr>
                  </w:pPr>
                  <w:r>
                    <w:rPr>
                      <w:b/>
                      <w:bCs/>
                      <w:color w:val="auto"/>
                      <w:kern w:val="0"/>
                      <w:sz w:val="18"/>
                      <w:szCs w:val="18"/>
                      <w:lang w:bidi="en-US"/>
                    </w:rPr>
                    <w:t>声压级/ dB(A</w:t>
                  </w:r>
                </w:p>
              </w:tc>
              <w:tc>
                <w:tcPr>
                  <w:tcW w:w="329" w:type="pct"/>
                  <w:vAlign w:val="center"/>
                </w:tcPr>
                <w:p w14:paraId="6F08BCED">
                  <w:pPr>
                    <w:widowControl/>
                    <w:adjustRightInd w:val="0"/>
                    <w:snapToGrid w:val="0"/>
                    <w:jc w:val="center"/>
                    <w:rPr>
                      <w:b/>
                      <w:bCs/>
                      <w:color w:val="auto"/>
                      <w:kern w:val="0"/>
                      <w:sz w:val="18"/>
                      <w:szCs w:val="18"/>
                      <w:lang w:bidi="en-US"/>
                    </w:rPr>
                  </w:pPr>
                  <w:r>
                    <w:rPr>
                      <w:b/>
                      <w:bCs/>
                      <w:color w:val="auto"/>
                      <w:kern w:val="0"/>
                      <w:sz w:val="18"/>
                      <w:szCs w:val="18"/>
                      <w:lang w:bidi="en-US"/>
                    </w:rPr>
                    <w:t>建筑物外距离</w:t>
                  </w:r>
                </w:p>
              </w:tc>
            </w:tr>
            <w:tr w14:paraId="0B5841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33" w:type="pct"/>
                  <w:shd w:val="clear" w:color="auto" w:fill="auto"/>
                  <w:vAlign w:val="center"/>
                </w:tcPr>
                <w:p w14:paraId="6B96020C">
                  <w:pPr>
                    <w:widowControl/>
                    <w:adjustRightInd w:val="0"/>
                    <w:snapToGrid w:val="0"/>
                    <w:jc w:val="center"/>
                    <w:rPr>
                      <w:rFonts w:hint="default" w:ascii="Times New Roman" w:hAnsi="Times New Roman" w:eastAsia="宋体" w:cs="Times New Roman"/>
                      <w:bCs/>
                      <w:color w:val="auto"/>
                      <w:kern w:val="0"/>
                      <w:sz w:val="18"/>
                      <w:szCs w:val="18"/>
                      <w:lang w:val="en-US" w:eastAsia="zh-CN" w:bidi="en-US"/>
                    </w:rPr>
                  </w:pPr>
                  <w:r>
                    <w:rPr>
                      <w:rFonts w:hint="default" w:ascii="Times New Roman" w:hAnsi="Times New Roman" w:eastAsia="等线" w:cs="Times New Roman"/>
                      <w:color w:val="auto"/>
                      <w:sz w:val="18"/>
                      <w:szCs w:val="18"/>
                    </w:rPr>
                    <w:t>1</w:t>
                  </w:r>
                </w:p>
              </w:tc>
              <w:tc>
                <w:tcPr>
                  <w:tcW w:w="656" w:type="pct"/>
                  <w:vAlign w:val="center"/>
                </w:tcPr>
                <w:p w14:paraId="213A0976">
                  <w:pPr>
                    <w:widowControl/>
                    <w:jc w:val="center"/>
                    <w:textAlignment w:val="center"/>
                    <w:rPr>
                      <w:rFonts w:hint="default" w:ascii="Times New Roman" w:hAnsi="Times New Roman" w:eastAsia="宋体" w:cs="Times New Roman"/>
                      <w:color w:val="auto"/>
                      <w:kern w:val="0"/>
                      <w:sz w:val="18"/>
                      <w:szCs w:val="18"/>
                      <w:lang w:eastAsia="zh-CN" w:bidi="ar"/>
                    </w:rPr>
                  </w:pPr>
                  <w:r>
                    <w:rPr>
                      <w:rFonts w:hint="default" w:ascii="Times New Roman" w:hAnsi="Times New Roman" w:eastAsia="宋体" w:cs="Times New Roman"/>
                      <w:color w:val="auto"/>
                      <w:kern w:val="0"/>
                      <w:sz w:val="18"/>
                      <w:szCs w:val="18"/>
                      <w:lang w:eastAsia="zh-CN" w:bidi="ar"/>
                    </w:rPr>
                    <w:t>立体冷库货架系统</w:t>
                  </w:r>
                </w:p>
              </w:tc>
              <w:tc>
                <w:tcPr>
                  <w:tcW w:w="263" w:type="pct"/>
                  <w:vAlign w:val="center"/>
                </w:tcPr>
                <w:p w14:paraId="7A9CBEB6">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1</w:t>
                  </w:r>
                </w:p>
              </w:tc>
              <w:tc>
                <w:tcPr>
                  <w:tcW w:w="434" w:type="pct"/>
                  <w:shd w:val="clear" w:color="auto" w:fill="auto"/>
                  <w:vAlign w:val="center"/>
                </w:tcPr>
                <w:p w14:paraId="74BC5B4D">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val="en-US" w:eastAsia="zh-CN" w:bidi="ar"/>
                    </w:rPr>
                  </w:pPr>
                  <w:r>
                    <w:rPr>
                      <w:rFonts w:hint="eastAsia"/>
                      <w:color w:val="auto"/>
                      <w:kern w:val="0"/>
                      <w:sz w:val="18"/>
                      <w:szCs w:val="18"/>
                      <w:lang w:val="en-US" w:eastAsia="zh-CN" w:bidi="ar"/>
                    </w:rPr>
                    <w:t>75~</w:t>
                  </w:r>
                  <w:r>
                    <w:rPr>
                      <w:rFonts w:hint="default" w:ascii="Times New Roman" w:hAnsi="Times New Roman" w:eastAsia="宋体" w:cs="Times New Roman"/>
                      <w:i w:val="0"/>
                      <w:iCs w:val="0"/>
                      <w:color w:val="auto"/>
                      <w:kern w:val="0"/>
                      <w:sz w:val="18"/>
                      <w:szCs w:val="18"/>
                      <w:u w:val="none"/>
                      <w:lang w:val="en-US" w:eastAsia="zh-CN" w:bidi="ar"/>
                    </w:rPr>
                    <w:t>8</w:t>
                  </w:r>
                  <w:r>
                    <w:rPr>
                      <w:rFonts w:hint="eastAsia" w:ascii="Times New Roman" w:hAnsi="Times New Roman" w:eastAsia="宋体" w:cs="Times New Roman"/>
                      <w:i w:val="0"/>
                      <w:iCs w:val="0"/>
                      <w:color w:val="auto"/>
                      <w:kern w:val="0"/>
                      <w:sz w:val="18"/>
                      <w:szCs w:val="18"/>
                      <w:u w:val="none"/>
                      <w:lang w:val="en-US" w:eastAsia="zh-CN" w:bidi="ar"/>
                    </w:rPr>
                    <w:t>5</w:t>
                  </w:r>
                  <w:r>
                    <w:rPr>
                      <w:rFonts w:hint="default"/>
                      <w:bCs/>
                      <w:color w:val="auto"/>
                      <w:kern w:val="0"/>
                      <w:sz w:val="18"/>
                      <w:szCs w:val="18"/>
                      <w:lang w:bidi="en-US"/>
                    </w:rPr>
                    <w:t>/1</w:t>
                  </w:r>
                </w:p>
              </w:tc>
              <w:tc>
                <w:tcPr>
                  <w:tcW w:w="293" w:type="pct"/>
                  <w:vMerge w:val="restart"/>
                  <w:shd w:val="clear" w:color="auto" w:fill="auto"/>
                  <w:vAlign w:val="center"/>
                </w:tcPr>
                <w:p w14:paraId="3AF744A9">
                  <w:pPr>
                    <w:adjustRightInd w:val="0"/>
                    <w:snapToGrid w:val="0"/>
                    <w:jc w:val="center"/>
                    <w:rPr>
                      <w:rFonts w:hint="default" w:ascii="Times New Roman" w:hAnsi="Times New Roman" w:eastAsia="宋体" w:cs="Times New Roman"/>
                      <w:b/>
                      <w:bCs/>
                      <w:color w:val="auto"/>
                      <w:kern w:val="0"/>
                      <w:sz w:val="18"/>
                      <w:szCs w:val="18"/>
                      <w:lang w:val="en-US" w:eastAsia="zh-CN" w:bidi="en-US"/>
                    </w:rPr>
                  </w:pPr>
                  <w:r>
                    <w:rPr>
                      <w:bCs/>
                      <w:color w:val="auto"/>
                      <w:kern w:val="0"/>
                      <w:sz w:val="18"/>
                      <w:szCs w:val="18"/>
                      <w:lang w:bidi="en-US"/>
                    </w:rPr>
                    <w:t>隔声、减振</w:t>
                  </w:r>
                </w:p>
              </w:tc>
              <w:tc>
                <w:tcPr>
                  <w:tcW w:w="293" w:type="pct"/>
                  <w:shd w:val="clear" w:color="auto" w:fill="auto"/>
                  <w:vAlign w:val="center"/>
                </w:tcPr>
                <w:p w14:paraId="6F28246D">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 xml:space="preserve">143 </w:t>
                  </w:r>
                </w:p>
              </w:tc>
              <w:tc>
                <w:tcPr>
                  <w:tcW w:w="295" w:type="pct"/>
                  <w:shd w:val="clear" w:color="auto" w:fill="auto"/>
                  <w:vAlign w:val="center"/>
                </w:tcPr>
                <w:p w14:paraId="27159504">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 xml:space="preserve">55 </w:t>
                  </w:r>
                </w:p>
              </w:tc>
              <w:tc>
                <w:tcPr>
                  <w:tcW w:w="310" w:type="pct"/>
                  <w:shd w:val="clear" w:color="auto" w:fill="auto"/>
                  <w:vAlign w:val="center"/>
                </w:tcPr>
                <w:p w14:paraId="42E8CC76">
                  <w:pPr>
                    <w:widowControl/>
                    <w:adjustRightInd w:val="0"/>
                    <w:snapToGrid w:val="0"/>
                    <w:jc w:val="center"/>
                    <w:rPr>
                      <w:rFonts w:hint="default" w:ascii="Times New Roman" w:hAnsi="Times New Roman" w:eastAsia="宋体" w:cs="Times New Roman"/>
                      <w:bCs/>
                      <w:color w:val="auto"/>
                      <w:kern w:val="0"/>
                      <w:sz w:val="18"/>
                      <w:szCs w:val="18"/>
                      <w:lang w:val="en-US" w:eastAsia="zh-CN" w:bidi="en-US"/>
                    </w:rPr>
                  </w:pPr>
                  <w:r>
                    <w:rPr>
                      <w:rFonts w:hint="eastAsia"/>
                      <w:bCs/>
                      <w:color w:val="auto"/>
                      <w:kern w:val="0"/>
                      <w:sz w:val="18"/>
                      <w:szCs w:val="18"/>
                      <w:lang w:bidi="en-US"/>
                    </w:rPr>
                    <w:t>1.5</w:t>
                  </w:r>
                </w:p>
              </w:tc>
              <w:tc>
                <w:tcPr>
                  <w:tcW w:w="343" w:type="pct"/>
                  <w:shd w:val="clear" w:color="auto" w:fill="auto"/>
                  <w:vAlign w:val="center"/>
                </w:tcPr>
                <w:p w14:paraId="54F870DA">
                  <w:pPr>
                    <w:widowControl/>
                    <w:adjustRightInd w:val="0"/>
                    <w:snapToGrid w:val="0"/>
                    <w:jc w:val="center"/>
                    <w:rPr>
                      <w:rFonts w:hint="default" w:ascii="Times New Roman" w:hAnsi="Times New Roman" w:eastAsia="宋体" w:cs="Times New Roman"/>
                      <w:bCs/>
                      <w:color w:val="auto"/>
                      <w:kern w:val="0"/>
                      <w:sz w:val="18"/>
                      <w:szCs w:val="18"/>
                      <w:lang w:val="en-US" w:eastAsia="zh-CN" w:bidi="en-US"/>
                    </w:rPr>
                  </w:pPr>
                  <w:r>
                    <w:rPr>
                      <w:rFonts w:hint="eastAsia"/>
                      <w:bCs/>
                      <w:color w:val="auto"/>
                      <w:kern w:val="0"/>
                      <w:sz w:val="18"/>
                      <w:szCs w:val="18"/>
                      <w:lang w:val="en-US" w:eastAsia="zh-CN" w:bidi="en-US"/>
                    </w:rPr>
                    <w:t>西20</w:t>
                  </w:r>
                </w:p>
              </w:tc>
              <w:tc>
                <w:tcPr>
                  <w:tcW w:w="353" w:type="pct"/>
                  <w:shd w:val="clear" w:color="auto" w:fill="auto"/>
                  <w:vAlign w:val="center"/>
                </w:tcPr>
                <w:p w14:paraId="7083D6EE">
                  <w:pPr>
                    <w:widowControl/>
                    <w:jc w:val="center"/>
                    <w:textAlignment w:val="bottom"/>
                    <w:rPr>
                      <w:rFonts w:hint="default" w:ascii="Times New Roman" w:hAnsi="Times New Roman" w:eastAsia="等线" w:cs="Times New Roman"/>
                      <w:color w:val="auto"/>
                      <w:kern w:val="0"/>
                      <w:sz w:val="18"/>
                      <w:szCs w:val="18"/>
                      <w:lang w:val="en-US" w:eastAsia="zh-CN" w:bidi="ar"/>
                    </w:rPr>
                  </w:pPr>
                  <w:r>
                    <w:rPr>
                      <w:rFonts w:hint="eastAsia" w:eastAsia="等线"/>
                      <w:color w:val="auto"/>
                      <w:kern w:val="0"/>
                      <w:sz w:val="18"/>
                      <w:szCs w:val="18"/>
                      <w:lang w:val="en-US" w:eastAsia="zh-CN" w:bidi="ar"/>
                    </w:rPr>
                    <w:t>62.0</w:t>
                  </w:r>
                </w:p>
              </w:tc>
              <w:tc>
                <w:tcPr>
                  <w:tcW w:w="433" w:type="pct"/>
                  <w:vMerge w:val="restart"/>
                  <w:shd w:val="clear" w:color="auto" w:fill="auto"/>
                  <w:vAlign w:val="center"/>
                </w:tcPr>
                <w:p w14:paraId="6067D817">
                  <w:pPr>
                    <w:widowControl/>
                    <w:adjustRightInd w:val="0"/>
                    <w:snapToGrid w:val="0"/>
                    <w:jc w:val="center"/>
                    <w:rPr>
                      <w:bCs/>
                      <w:color w:val="auto"/>
                      <w:kern w:val="0"/>
                      <w:sz w:val="18"/>
                      <w:szCs w:val="18"/>
                      <w:lang w:bidi="en-US"/>
                    </w:rPr>
                  </w:pPr>
                  <w:r>
                    <w:rPr>
                      <w:rFonts w:hint="eastAsia"/>
                      <w:bCs/>
                      <w:color w:val="auto"/>
                      <w:kern w:val="0"/>
                      <w:sz w:val="18"/>
                      <w:szCs w:val="18"/>
                      <w:lang w:bidi="en-US"/>
                    </w:rPr>
                    <w:t>9</w:t>
                  </w:r>
                  <w:r>
                    <w:rPr>
                      <w:bCs/>
                      <w:color w:val="auto"/>
                      <w:kern w:val="0"/>
                      <w:sz w:val="18"/>
                      <w:szCs w:val="18"/>
                      <w:lang w:bidi="en-US"/>
                    </w:rPr>
                    <w:t>:00-1</w:t>
                  </w:r>
                  <w:r>
                    <w:rPr>
                      <w:rFonts w:hint="eastAsia"/>
                      <w:bCs/>
                      <w:color w:val="auto"/>
                      <w:kern w:val="0"/>
                      <w:sz w:val="18"/>
                      <w:szCs w:val="18"/>
                      <w:lang w:bidi="en-US"/>
                    </w:rPr>
                    <w:t>7</w:t>
                  </w:r>
                  <w:r>
                    <w:rPr>
                      <w:bCs/>
                      <w:color w:val="auto"/>
                      <w:kern w:val="0"/>
                      <w:sz w:val="18"/>
                      <w:szCs w:val="18"/>
                      <w:lang w:bidi="en-US"/>
                    </w:rPr>
                    <w:t>:00</w:t>
                  </w:r>
                </w:p>
                <w:p w14:paraId="1823BF2A">
                  <w:pPr>
                    <w:widowControl/>
                    <w:adjustRightInd w:val="0"/>
                    <w:snapToGrid w:val="0"/>
                    <w:jc w:val="center"/>
                    <w:rPr>
                      <w:rFonts w:hint="default" w:ascii="Times New Roman" w:hAnsi="Times New Roman" w:eastAsia="宋体" w:cs="Times New Roman"/>
                      <w:bCs/>
                      <w:color w:val="auto"/>
                      <w:kern w:val="0"/>
                      <w:sz w:val="18"/>
                      <w:szCs w:val="18"/>
                      <w:lang w:val="en-US" w:eastAsia="zh-CN" w:bidi="en-US"/>
                    </w:rPr>
                  </w:pPr>
                  <w:r>
                    <w:rPr>
                      <w:bCs/>
                      <w:color w:val="auto"/>
                      <w:kern w:val="0"/>
                      <w:sz w:val="18"/>
                      <w:szCs w:val="18"/>
                      <w:lang w:bidi="en-US"/>
                    </w:rPr>
                    <w:t>年工作</w:t>
                  </w:r>
                  <w:r>
                    <w:rPr>
                      <w:rFonts w:hint="eastAsia"/>
                      <w:bCs/>
                      <w:color w:val="auto"/>
                      <w:kern w:val="0"/>
                      <w:sz w:val="18"/>
                      <w:szCs w:val="18"/>
                      <w:lang w:bidi="en-US"/>
                    </w:rPr>
                    <w:t>300</w:t>
                  </w:r>
                  <w:r>
                    <w:rPr>
                      <w:bCs/>
                      <w:color w:val="auto"/>
                      <w:kern w:val="0"/>
                      <w:sz w:val="18"/>
                      <w:szCs w:val="18"/>
                      <w:lang w:bidi="en-US"/>
                    </w:rPr>
                    <w:t>天</w:t>
                  </w:r>
                </w:p>
              </w:tc>
              <w:tc>
                <w:tcPr>
                  <w:tcW w:w="343" w:type="pct"/>
                  <w:shd w:val="clear" w:color="auto" w:fill="auto"/>
                  <w:vAlign w:val="center"/>
                </w:tcPr>
                <w:p w14:paraId="4F066BDA">
                  <w:pPr>
                    <w:widowControl/>
                    <w:adjustRightInd w:val="0"/>
                    <w:snapToGrid w:val="0"/>
                    <w:jc w:val="center"/>
                    <w:rPr>
                      <w:rFonts w:hint="default" w:ascii="Times New Roman" w:hAnsi="Times New Roman" w:eastAsia="宋体" w:cs="Times New Roman"/>
                      <w:bCs/>
                      <w:color w:val="auto"/>
                      <w:kern w:val="0"/>
                      <w:sz w:val="18"/>
                      <w:szCs w:val="18"/>
                      <w:lang w:val="en-US" w:eastAsia="zh-CN" w:bidi="en-US"/>
                    </w:rPr>
                  </w:pPr>
                  <w:r>
                    <w:rPr>
                      <w:rFonts w:hint="eastAsia"/>
                      <w:bCs/>
                      <w:color w:val="auto"/>
                      <w:kern w:val="0"/>
                      <w:sz w:val="18"/>
                      <w:szCs w:val="18"/>
                      <w:lang w:bidi="en-US"/>
                    </w:rPr>
                    <w:t>2</w:t>
                  </w:r>
                  <w:r>
                    <w:rPr>
                      <w:bCs/>
                      <w:color w:val="auto"/>
                      <w:kern w:val="0"/>
                      <w:sz w:val="18"/>
                      <w:szCs w:val="18"/>
                      <w:lang w:bidi="en-US"/>
                    </w:rPr>
                    <w:t>5</w:t>
                  </w:r>
                </w:p>
              </w:tc>
              <w:tc>
                <w:tcPr>
                  <w:tcW w:w="416" w:type="pct"/>
                  <w:shd w:val="clear" w:color="auto" w:fill="auto"/>
                  <w:vAlign w:val="center"/>
                </w:tcPr>
                <w:p w14:paraId="2413E294">
                  <w:pPr>
                    <w:widowControl/>
                    <w:jc w:val="center"/>
                    <w:textAlignment w:val="center"/>
                    <w:rPr>
                      <w:rFonts w:hint="default" w:ascii="Times New Roman" w:hAnsi="Times New Roman" w:eastAsia="等线" w:cs="Times New Roman"/>
                      <w:color w:val="auto"/>
                      <w:kern w:val="0"/>
                      <w:sz w:val="18"/>
                      <w:szCs w:val="18"/>
                      <w:lang w:val="en-US" w:eastAsia="zh-CN" w:bidi="ar"/>
                    </w:rPr>
                  </w:pPr>
                  <w:r>
                    <w:rPr>
                      <w:rFonts w:hint="eastAsia" w:eastAsia="等线"/>
                      <w:color w:val="auto"/>
                      <w:kern w:val="0"/>
                      <w:sz w:val="18"/>
                      <w:szCs w:val="18"/>
                      <w:lang w:val="en-US" w:eastAsia="zh-CN" w:bidi="ar"/>
                    </w:rPr>
                    <w:t>37.0</w:t>
                  </w:r>
                </w:p>
              </w:tc>
              <w:tc>
                <w:tcPr>
                  <w:tcW w:w="329" w:type="pct"/>
                  <w:vMerge w:val="restart"/>
                  <w:vAlign w:val="center"/>
                </w:tcPr>
                <w:p w14:paraId="5F78B12A">
                  <w:pPr>
                    <w:widowControl/>
                    <w:jc w:val="center"/>
                    <w:textAlignment w:val="center"/>
                    <w:rPr>
                      <w:rFonts w:hint="eastAsia" w:ascii="宋体" w:hAnsi="宋体" w:eastAsia="宋体" w:cs="宋体"/>
                      <w:color w:val="auto"/>
                      <w:kern w:val="0"/>
                      <w:szCs w:val="21"/>
                      <w:lang w:bidi="ar"/>
                    </w:rPr>
                  </w:pPr>
                  <w:r>
                    <w:rPr>
                      <w:bCs/>
                      <w:color w:val="auto"/>
                      <w:kern w:val="0"/>
                      <w:sz w:val="18"/>
                      <w:szCs w:val="18"/>
                      <w:lang w:bidi="en-US"/>
                    </w:rPr>
                    <w:t>1m</w:t>
                  </w:r>
                </w:p>
              </w:tc>
            </w:tr>
            <w:tr w14:paraId="2F2696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33" w:type="pct"/>
                  <w:shd w:val="clear" w:color="auto" w:fill="auto"/>
                  <w:vAlign w:val="center"/>
                </w:tcPr>
                <w:p w14:paraId="05FBAECB">
                  <w:pPr>
                    <w:widowControl/>
                    <w:adjustRightInd w:val="0"/>
                    <w:snapToGrid w:val="0"/>
                    <w:jc w:val="center"/>
                    <w:rPr>
                      <w:rFonts w:hint="default" w:ascii="Times New Roman" w:hAnsi="Times New Roman" w:eastAsia="宋体" w:cs="Times New Roman"/>
                      <w:bCs/>
                      <w:color w:val="auto"/>
                      <w:kern w:val="0"/>
                      <w:sz w:val="18"/>
                      <w:szCs w:val="18"/>
                      <w:lang w:val="en-US" w:eastAsia="zh-CN" w:bidi="en-US"/>
                    </w:rPr>
                  </w:pPr>
                  <w:r>
                    <w:rPr>
                      <w:rFonts w:hint="default" w:ascii="Times New Roman" w:hAnsi="Times New Roman" w:eastAsia="等线" w:cs="Times New Roman"/>
                      <w:color w:val="auto"/>
                      <w:sz w:val="18"/>
                      <w:szCs w:val="18"/>
                    </w:rPr>
                    <w:t>2</w:t>
                  </w:r>
                </w:p>
              </w:tc>
              <w:tc>
                <w:tcPr>
                  <w:tcW w:w="656" w:type="pct"/>
                  <w:vAlign w:val="center"/>
                </w:tcPr>
                <w:p w14:paraId="154493CF">
                  <w:pPr>
                    <w:widowControl/>
                    <w:jc w:val="center"/>
                    <w:textAlignment w:val="center"/>
                    <w:rPr>
                      <w:rFonts w:hint="default" w:ascii="Times New Roman" w:hAnsi="Times New Roman" w:eastAsia="宋体" w:cs="Times New Roman"/>
                      <w:color w:val="auto"/>
                      <w:kern w:val="0"/>
                      <w:sz w:val="18"/>
                      <w:szCs w:val="18"/>
                      <w:lang w:eastAsia="zh-CN" w:bidi="ar"/>
                    </w:rPr>
                  </w:pPr>
                  <w:r>
                    <w:rPr>
                      <w:rFonts w:hint="default" w:ascii="Times New Roman" w:hAnsi="Times New Roman" w:eastAsia="宋体" w:cs="Times New Roman"/>
                      <w:color w:val="auto"/>
                      <w:kern w:val="0"/>
                      <w:sz w:val="18"/>
                      <w:szCs w:val="18"/>
                      <w:lang w:eastAsia="zh-CN" w:bidi="ar"/>
                    </w:rPr>
                    <w:t>制冷系统</w:t>
                  </w:r>
                </w:p>
              </w:tc>
              <w:tc>
                <w:tcPr>
                  <w:tcW w:w="263" w:type="pct"/>
                  <w:vAlign w:val="center"/>
                </w:tcPr>
                <w:p w14:paraId="06410C25">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1</w:t>
                  </w:r>
                </w:p>
              </w:tc>
              <w:tc>
                <w:tcPr>
                  <w:tcW w:w="434" w:type="pct"/>
                  <w:shd w:val="clear" w:color="auto" w:fill="auto"/>
                  <w:vAlign w:val="center"/>
                </w:tcPr>
                <w:p w14:paraId="7F7239E4">
                  <w:pPr>
                    <w:widowControl/>
                    <w:jc w:val="center"/>
                    <w:textAlignment w:val="center"/>
                    <w:rPr>
                      <w:rFonts w:hint="default" w:ascii="Times New Roman" w:hAnsi="Times New Roman" w:eastAsia="宋体" w:cs="Times New Roman"/>
                      <w:bCs/>
                      <w:color w:val="auto"/>
                      <w:kern w:val="2"/>
                      <w:sz w:val="18"/>
                      <w:szCs w:val="18"/>
                      <w:lang w:val="en-US" w:eastAsia="zh-CN" w:bidi="ar-SA"/>
                    </w:rPr>
                  </w:pPr>
                  <w:r>
                    <w:rPr>
                      <w:rFonts w:hint="eastAsia"/>
                      <w:color w:val="auto"/>
                      <w:kern w:val="0"/>
                      <w:sz w:val="18"/>
                      <w:szCs w:val="18"/>
                      <w:lang w:val="en-US" w:eastAsia="zh-CN" w:bidi="ar"/>
                    </w:rPr>
                    <w:t>70~</w:t>
                  </w:r>
                  <w:r>
                    <w:rPr>
                      <w:color w:val="auto"/>
                      <w:kern w:val="0"/>
                      <w:sz w:val="18"/>
                      <w:szCs w:val="18"/>
                      <w:lang w:bidi="ar"/>
                    </w:rPr>
                    <w:t>80</w:t>
                  </w:r>
                  <w:r>
                    <w:rPr>
                      <w:rFonts w:hint="default"/>
                      <w:bCs/>
                      <w:color w:val="auto"/>
                      <w:kern w:val="0"/>
                      <w:sz w:val="18"/>
                      <w:szCs w:val="18"/>
                      <w:lang w:bidi="en-US"/>
                    </w:rPr>
                    <w:t>/1</w:t>
                  </w:r>
                </w:p>
              </w:tc>
              <w:tc>
                <w:tcPr>
                  <w:tcW w:w="293" w:type="pct"/>
                  <w:vMerge w:val="continue"/>
                  <w:shd w:val="clear" w:color="auto" w:fill="auto"/>
                  <w:vAlign w:val="center"/>
                </w:tcPr>
                <w:p w14:paraId="294320BA">
                  <w:pPr>
                    <w:adjustRightInd w:val="0"/>
                    <w:snapToGrid w:val="0"/>
                    <w:jc w:val="center"/>
                    <w:rPr>
                      <w:rFonts w:hint="default" w:ascii="Times New Roman" w:hAnsi="Times New Roman" w:eastAsia="宋体" w:cs="Times New Roman"/>
                      <w:b/>
                      <w:bCs/>
                      <w:color w:val="auto"/>
                      <w:kern w:val="0"/>
                      <w:sz w:val="18"/>
                      <w:szCs w:val="18"/>
                      <w:lang w:val="en-US" w:eastAsia="zh-CN" w:bidi="en-US"/>
                    </w:rPr>
                  </w:pPr>
                </w:p>
              </w:tc>
              <w:tc>
                <w:tcPr>
                  <w:tcW w:w="293" w:type="pct"/>
                  <w:shd w:val="clear" w:color="auto" w:fill="auto"/>
                  <w:vAlign w:val="center"/>
                </w:tcPr>
                <w:p w14:paraId="489AA6F3">
                  <w:pPr>
                    <w:widowControl/>
                    <w:jc w:val="center"/>
                    <w:textAlignment w:val="center"/>
                    <w:rPr>
                      <w:rFonts w:hint="default" w:ascii="Times New Roman" w:hAnsi="Times New Roman" w:eastAsia="宋体" w:cs="Times New Roman"/>
                      <w:bCs/>
                      <w:color w:val="auto"/>
                      <w:kern w:val="0"/>
                      <w:sz w:val="18"/>
                      <w:szCs w:val="18"/>
                      <w:lang w:val="en-US" w:eastAsia="zh-CN" w:bidi="en-US"/>
                    </w:rPr>
                  </w:pPr>
                  <w:r>
                    <w:rPr>
                      <w:color w:val="auto"/>
                      <w:kern w:val="0"/>
                      <w:sz w:val="18"/>
                      <w:szCs w:val="18"/>
                      <w:lang w:bidi="ar"/>
                    </w:rPr>
                    <w:t>155</w:t>
                  </w:r>
                </w:p>
              </w:tc>
              <w:tc>
                <w:tcPr>
                  <w:tcW w:w="295" w:type="pct"/>
                  <w:shd w:val="clear" w:color="auto" w:fill="auto"/>
                  <w:vAlign w:val="center"/>
                </w:tcPr>
                <w:p w14:paraId="6CE4B912">
                  <w:pPr>
                    <w:widowControl/>
                    <w:jc w:val="center"/>
                    <w:textAlignment w:val="center"/>
                    <w:rPr>
                      <w:rFonts w:hint="default" w:ascii="Times New Roman" w:hAnsi="Times New Roman" w:eastAsia="宋体" w:cs="Times New Roman"/>
                      <w:bCs/>
                      <w:color w:val="auto"/>
                      <w:kern w:val="0"/>
                      <w:sz w:val="18"/>
                      <w:szCs w:val="18"/>
                      <w:lang w:val="en-US" w:eastAsia="zh-CN" w:bidi="en-US"/>
                    </w:rPr>
                  </w:pPr>
                  <w:r>
                    <w:rPr>
                      <w:color w:val="auto"/>
                      <w:kern w:val="0"/>
                      <w:sz w:val="18"/>
                      <w:szCs w:val="18"/>
                      <w:lang w:bidi="ar"/>
                    </w:rPr>
                    <w:t>104</w:t>
                  </w:r>
                </w:p>
              </w:tc>
              <w:tc>
                <w:tcPr>
                  <w:tcW w:w="310" w:type="pct"/>
                  <w:shd w:val="clear" w:color="auto" w:fill="auto"/>
                  <w:vAlign w:val="center"/>
                </w:tcPr>
                <w:p w14:paraId="5F4DECC6">
                  <w:pPr>
                    <w:widowControl/>
                    <w:adjustRightInd w:val="0"/>
                    <w:snapToGrid w:val="0"/>
                    <w:jc w:val="center"/>
                    <w:rPr>
                      <w:rFonts w:hint="default" w:ascii="Times New Roman" w:hAnsi="Times New Roman" w:eastAsia="宋体" w:cs="Times New Roman"/>
                      <w:bCs/>
                      <w:color w:val="auto"/>
                      <w:kern w:val="0"/>
                      <w:sz w:val="18"/>
                      <w:szCs w:val="18"/>
                      <w:lang w:val="en-US" w:eastAsia="zh-CN" w:bidi="en-US"/>
                    </w:rPr>
                  </w:pPr>
                  <w:r>
                    <w:rPr>
                      <w:rFonts w:hint="eastAsia"/>
                      <w:bCs/>
                      <w:color w:val="auto"/>
                      <w:kern w:val="0"/>
                      <w:sz w:val="18"/>
                      <w:szCs w:val="18"/>
                      <w:lang w:bidi="en-US"/>
                    </w:rPr>
                    <w:t>1.5</w:t>
                  </w:r>
                </w:p>
              </w:tc>
              <w:tc>
                <w:tcPr>
                  <w:tcW w:w="343" w:type="pct"/>
                  <w:shd w:val="clear" w:color="auto" w:fill="auto"/>
                  <w:vAlign w:val="center"/>
                </w:tcPr>
                <w:p w14:paraId="06E00697">
                  <w:pPr>
                    <w:widowControl/>
                    <w:adjustRightInd w:val="0"/>
                    <w:snapToGrid w:val="0"/>
                    <w:jc w:val="center"/>
                    <w:rPr>
                      <w:rFonts w:hint="default" w:ascii="Times New Roman" w:hAnsi="Times New Roman" w:eastAsia="宋体" w:cs="Times New Roman"/>
                      <w:bCs/>
                      <w:color w:val="auto"/>
                      <w:kern w:val="0"/>
                      <w:sz w:val="18"/>
                      <w:szCs w:val="18"/>
                      <w:lang w:val="en-US" w:eastAsia="zh-CN" w:bidi="en-US"/>
                    </w:rPr>
                  </w:pPr>
                  <w:r>
                    <w:rPr>
                      <w:rFonts w:hint="eastAsia"/>
                      <w:bCs/>
                      <w:color w:val="auto"/>
                      <w:kern w:val="0"/>
                      <w:sz w:val="18"/>
                      <w:szCs w:val="18"/>
                      <w:lang w:val="en-US" w:eastAsia="zh-CN" w:bidi="en-US"/>
                    </w:rPr>
                    <w:t>北</w:t>
                  </w:r>
                  <w:r>
                    <w:rPr>
                      <w:rFonts w:hint="eastAsia"/>
                      <w:bCs/>
                      <w:color w:val="auto"/>
                      <w:kern w:val="0"/>
                      <w:sz w:val="18"/>
                      <w:szCs w:val="18"/>
                      <w:lang w:bidi="en-US"/>
                    </w:rPr>
                    <w:t>5</w:t>
                  </w:r>
                </w:p>
              </w:tc>
              <w:tc>
                <w:tcPr>
                  <w:tcW w:w="353" w:type="pct"/>
                  <w:shd w:val="clear" w:color="auto" w:fill="auto"/>
                  <w:vAlign w:val="center"/>
                </w:tcPr>
                <w:p w14:paraId="5684F684">
                  <w:pPr>
                    <w:widowControl/>
                    <w:jc w:val="center"/>
                    <w:textAlignment w:val="bottom"/>
                    <w:rPr>
                      <w:rFonts w:hint="default" w:ascii="Times New Roman" w:hAnsi="Times New Roman" w:eastAsia="宋体" w:cs="Times New Roman"/>
                      <w:bCs/>
                      <w:color w:val="auto"/>
                      <w:kern w:val="0"/>
                      <w:sz w:val="18"/>
                      <w:szCs w:val="18"/>
                      <w:lang w:val="en-US" w:eastAsia="zh-CN" w:bidi="en-US"/>
                    </w:rPr>
                  </w:pPr>
                  <w:r>
                    <w:rPr>
                      <w:rFonts w:eastAsia="等线"/>
                      <w:color w:val="auto"/>
                      <w:kern w:val="0"/>
                      <w:sz w:val="18"/>
                      <w:szCs w:val="18"/>
                      <w:lang w:bidi="ar"/>
                    </w:rPr>
                    <w:t>76.0</w:t>
                  </w:r>
                </w:p>
              </w:tc>
              <w:tc>
                <w:tcPr>
                  <w:tcW w:w="433" w:type="pct"/>
                  <w:vMerge w:val="continue"/>
                  <w:shd w:val="clear" w:color="auto" w:fill="auto"/>
                  <w:vAlign w:val="center"/>
                </w:tcPr>
                <w:p w14:paraId="053F6793">
                  <w:pPr>
                    <w:widowControl/>
                    <w:adjustRightInd w:val="0"/>
                    <w:snapToGrid w:val="0"/>
                    <w:jc w:val="center"/>
                    <w:rPr>
                      <w:rFonts w:hint="default" w:ascii="Times New Roman" w:hAnsi="Times New Roman" w:eastAsia="宋体" w:cs="Times New Roman"/>
                      <w:bCs/>
                      <w:color w:val="auto"/>
                      <w:kern w:val="0"/>
                      <w:sz w:val="18"/>
                      <w:szCs w:val="18"/>
                      <w:lang w:val="en-US" w:eastAsia="zh-CN" w:bidi="en-US"/>
                    </w:rPr>
                  </w:pPr>
                </w:p>
              </w:tc>
              <w:tc>
                <w:tcPr>
                  <w:tcW w:w="343" w:type="pct"/>
                  <w:shd w:val="clear" w:color="auto" w:fill="auto"/>
                  <w:vAlign w:val="center"/>
                </w:tcPr>
                <w:p w14:paraId="629D5A0E">
                  <w:pPr>
                    <w:widowControl/>
                    <w:adjustRightInd w:val="0"/>
                    <w:snapToGrid w:val="0"/>
                    <w:jc w:val="center"/>
                    <w:rPr>
                      <w:rFonts w:hint="default" w:ascii="Times New Roman" w:hAnsi="Times New Roman" w:eastAsia="宋体" w:cs="Times New Roman"/>
                      <w:bCs/>
                      <w:color w:val="auto"/>
                      <w:kern w:val="0"/>
                      <w:sz w:val="18"/>
                      <w:szCs w:val="18"/>
                      <w:lang w:val="en-US" w:eastAsia="zh-CN" w:bidi="en-US"/>
                    </w:rPr>
                  </w:pPr>
                  <w:r>
                    <w:rPr>
                      <w:rFonts w:hint="eastAsia"/>
                      <w:bCs/>
                      <w:color w:val="auto"/>
                      <w:kern w:val="0"/>
                      <w:sz w:val="18"/>
                      <w:szCs w:val="18"/>
                      <w:lang w:bidi="en-US"/>
                    </w:rPr>
                    <w:t>2</w:t>
                  </w:r>
                  <w:r>
                    <w:rPr>
                      <w:bCs/>
                      <w:color w:val="auto"/>
                      <w:kern w:val="0"/>
                      <w:sz w:val="18"/>
                      <w:szCs w:val="18"/>
                      <w:lang w:bidi="en-US"/>
                    </w:rPr>
                    <w:t>5</w:t>
                  </w:r>
                </w:p>
              </w:tc>
              <w:tc>
                <w:tcPr>
                  <w:tcW w:w="416" w:type="pct"/>
                  <w:shd w:val="clear" w:color="auto" w:fill="auto"/>
                  <w:vAlign w:val="center"/>
                </w:tcPr>
                <w:p w14:paraId="51FF1422">
                  <w:pPr>
                    <w:widowControl/>
                    <w:jc w:val="center"/>
                    <w:textAlignment w:val="center"/>
                    <w:rPr>
                      <w:rFonts w:hint="default" w:ascii="Times New Roman" w:hAnsi="Times New Roman" w:eastAsia="宋体" w:cs="Times New Roman"/>
                      <w:bCs/>
                      <w:color w:val="auto"/>
                      <w:kern w:val="0"/>
                      <w:sz w:val="18"/>
                      <w:szCs w:val="18"/>
                      <w:lang w:val="en-US" w:eastAsia="zh-CN" w:bidi="en-US"/>
                    </w:rPr>
                  </w:pPr>
                  <w:r>
                    <w:rPr>
                      <w:rFonts w:eastAsia="等线"/>
                      <w:color w:val="auto"/>
                      <w:kern w:val="0"/>
                      <w:sz w:val="18"/>
                      <w:szCs w:val="18"/>
                      <w:lang w:bidi="ar"/>
                    </w:rPr>
                    <w:t>51.0</w:t>
                  </w:r>
                </w:p>
              </w:tc>
              <w:tc>
                <w:tcPr>
                  <w:tcW w:w="329" w:type="pct"/>
                  <w:vMerge w:val="continue"/>
                  <w:vAlign w:val="center"/>
                </w:tcPr>
                <w:p w14:paraId="39CD11FA">
                  <w:pPr>
                    <w:widowControl/>
                    <w:jc w:val="center"/>
                    <w:textAlignment w:val="center"/>
                    <w:rPr>
                      <w:rFonts w:hint="eastAsia" w:ascii="宋体" w:hAnsi="宋体" w:eastAsia="宋体" w:cs="宋体"/>
                      <w:color w:val="auto"/>
                      <w:kern w:val="0"/>
                      <w:szCs w:val="21"/>
                      <w:lang w:bidi="ar"/>
                    </w:rPr>
                  </w:pPr>
                </w:p>
              </w:tc>
            </w:tr>
            <w:tr w14:paraId="405E30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33" w:type="pct"/>
                  <w:shd w:val="clear" w:color="auto" w:fill="auto"/>
                  <w:vAlign w:val="center"/>
                </w:tcPr>
                <w:p w14:paraId="68F4CC81">
                  <w:pPr>
                    <w:widowControl/>
                    <w:adjustRightInd w:val="0"/>
                    <w:snapToGrid w:val="0"/>
                    <w:jc w:val="center"/>
                    <w:rPr>
                      <w:rFonts w:hint="default" w:ascii="Times New Roman" w:hAnsi="Times New Roman" w:eastAsia="宋体" w:cs="Times New Roman"/>
                      <w:bCs/>
                      <w:color w:val="auto"/>
                      <w:kern w:val="0"/>
                      <w:sz w:val="18"/>
                      <w:szCs w:val="18"/>
                      <w:lang w:val="en-US" w:eastAsia="zh-CN" w:bidi="en-US"/>
                    </w:rPr>
                  </w:pPr>
                  <w:r>
                    <w:rPr>
                      <w:rFonts w:hint="default" w:ascii="Times New Roman" w:hAnsi="Times New Roman" w:eastAsia="等线" w:cs="Times New Roman"/>
                      <w:color w:val="auto"/>
                      <w:sz w:val="18"/>
                      <w:szCs w:val="18"/>
                    </w:rPr>
                    <w:t>3</w:t>
                  </w:r>
                </w:p>
              </w:tc>
              <w:tc>
                <w:tcPr>
                  <w:tcW w:w="656" w:type="pct"/>
                  <w:vAlign w:val="center"/>
                </w:tcPr>
                <w:p w14:paraId="66120798">
                  <w:pPr>
                    <w:widowControl/>
                    <w:jc w:val="center"/>
                    <w:textAlignment w:val="center"/>
                    <w:rPr>
                      <w:rFonts w:hint="default" w:ascii="Times New Roman" w:hAnsi="Times New Roman" w:eastAsia="宋体" w:cs="Times New Roman"/>
                      <w:color w:val="auto"/>
                      <w:kern w:val="0"/>
                      <w:sz w:val="18"/>
                      <w:szCs w:val="18"/>
                      <w:lang w:eastAsia="zh-CN" w:bidi="ar"/>
                    </w:rPr>
                  </w:pPr>
                  <w:r>
                    <w:rPr>
                      <w:rFonts w:hint="default" w:ascii="Times New Roman" w:hAnsi="Times New Roman" w:eastAsia="宋体" w:cs="Times New Roman"/>
                      <w:color w:val="auto"/>
                      <w:kern w:val="0"/>
                      <w:sz w:val="18"/>
                      <w:szCs w:val="18"/>
                      <w:lang w:eastAsia="zh-CN" w:bidi="ar"/>
                    </w:rPr>
                    <w:t>剖片机</w:t>
                  </w:r>
                </w:p>
              </w:tc>
              <w:tc>
                <w:tcPr>
                  <w:tcW w:w="263" w:type="pct"/>
                  <w:vAlign w:val="center"/>
                </w:tcPr>
                <w:p w14:paraId="20C230DD">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2</w:t>
                  </w:r>
                </w:p>
              </w:tc>
              <w:tc>
                <w:tcPr>
                  <w:tcW w:w="434" w:type="pct"/>
                  <w:shd w:val="clear" w:color="auto" w:fill="auto"/>
                  <w:vAlign w:val="center"/>
                </w:tcPr>
                <w:p w14:paraId="4AE7FD1C">
                  <w:pPr>
                    <w:widowControl/>
                    <w:jc w:val="center"/>
                    <w:textAlignment w:val="center"/>
                    <w:rPr>
                      <w:rFonts w:hint="default" w:ascii="Times New Roman" w:hAnsi="Times New Roman" w:eastAsia="宋体" w:cs="Times New Roman"/>
                      <w:bCs/>
                      <w:color w:val="auto"/>
                      <w:kern w:val="0"/>
                      <w:sz w:val="18"/>
                      <w:szCs w:val="18"/>
                      <w:lang w:val="en-US" w:eastAsia="zh-CN" w:bidi="en-US"/>
                    </w:rPr>
                  </w:pPr>
                  <w:r>
                    <w:rPr>
                      <w:rFonts w:hint="eastAsia"/>
                      <w:color w:val="auto"/>
                      <w:kern w:val="0"/>
                      <w:sz w:val="18"/>
                      <w:szCs w:val="18"/>
                      <w:lang w:val="en-US" w:eastAsia="zh-CN" w:bidi="ar"/>
                    </w:rPr>
                    <w:t>75~</w:t>
                  </w:r>
                  <w:r>
                    <w:rPr>
                      <w:color w:val="auto"/>
                      <w:kern w:val="0"/>
                      <w:sz w:val="18"/>
                      <w:szCs w:val="18"/>
                      <w:lang w:bidi="ar"/>
                    </w:rPr>
                    <w:t>85</w:t>
                  </w:r>
                  <w:r>
                    <w:rPr>
                      <w:rFonts w:hint="default"/>
                      <w:bCs/>
                      <w:color w:val="auto"/>
                      <w:kern w:val="0"/>
                      <w:sz w:val="18"/>
                      <w:szCs w:val="18"/>
                      <w:lang w:bidi="en-US"/>
                    </w:rPr>
                    <w:t>/1</w:t>
                  </w:r>
                </w:p>
              </w:tc>
              <w:tc>
                <w:tcPr>
                  <w:tcW w:w="293" w:type="pct"/>
                  <w:vMerge w:val="continue"/>
                  <w:shd w:val="clear" w:color="auto" w:fill="auto"/>
                  <w:vAlign w:val="center"/>
                </w:tcPr>
                <w:p w14:paraId="4BA47AE1">
                  <w:pPr>
                    <w:adjustRightInd w:val="0"/>
                    <w:snapToGrid w:val="0"/>
                    <w:jc w:val="center"/>
                    <w:rPr>
                      <w:rFonts w:hint="default" w:ascii="Times New Roman" w:hAnsi="Times New Roman" w:eastAsia="宋体" w:cs="Times New Roman"/>
                      <w:b/>
                      <w:bCs/>
                      <w:color w:val="auto"/>
                      <w:kern w:val="0"/>
                      <w:sz w:val="18"/>
                      <w:szCs w:val="18"/>
                      <w:lang w:val="en-US" w:eastAsia="zh-CN" w:bidi="en-US"/>
                    </w:rPr>
                  </w:pPr>
                </w:p>
              </w:tc>
              <w:tc>
                <w:tcPr>
                  <w:tcW w:w="293" w:type="pct"/>
                  <w:shd w:val="clear" w:color="auto" w:fill="auto"/>
                  <w:vAlign w:val="center"/>
                </w:tcPr>
                <w:p w14:paraId="2DC1BB44">
                  <w:pPr>
                    <w:widowControl/>
                    <w:jc w:val="center"/>
                    <w:textAlignment w:val="center"/>
                    <w:rPr>
                      <w:rFonts w:hint="default" w:ascii="Times New Roman" w:hAnsi="Times New Roman" w:eastAsia="宋体" w:cs="Times New Roman"/>
                      <w:bCs/>
                      <w:color w:val="auto"/>
                      <w:kern w:val="0"/>
                      <w:sz w:val="18"/>
                      <w:szCs w:val="18"/>
                      <w:lang w:val="en-US" w:eastAsia="zh-CN" w:bidi="en-US"/>
                    </w:rPr>
                  </w:pPr>
                  <w:r>
                    <w:rPr>
                      <w:color w:val="auto"/>
                      <w:kern w:val="0"/>
                      <w:sz w:val="18"/>
                      <w:szCs w:val="18"/>
                      <w:lang w:bidi="ar"/>
                    </w:rPr>
                    <w:t>158</w:t>
                  </w:r>
                </w:p>
              </w:tc>
              <w:tc>
                <w:tcPr>
                  <w:tcW w:w="295" w:type="pct"/>
                  <w:shd w:val="clear" w:color="auto" w:fill="auto"/>
                  <w:vAlign w:val="center"/>
                </w:tcPr>
                <w:p w14:paraId="2103919D">
                  <w:pPr>
                    <w:widowControl/>
                    <w:jc w:val="center"/>
                    <w:textAlignment w:val="center"/>
                    <w:rPr>
                      <w:rFonts w:hint="default" w:ascii="Times New Roman" w:hAnsi="Times New Roman" w:eastAsia="宋体" w:cs="Times New Roman"/>
                      <w:bCs/>
                      <w:color w:val="auto"/>
                      <w:kern w:val="0"/>
                      <w:sz w:val="18"/>
                      <w:szCs w:val="18"/>
                      <w:lang w:val="en-US" w:eastAsia="zh-CN" w:bidi="en-US"/>
                    </w:rPr>
                  </w:pPr>
                  <w:r>
                    <w:rPr>
                      <w:color w:val="auto"/>
                      <w:kern w:val="0"/>
                      <w:sz w:val="18"/>
                      <w:szCs w:val="18"/>
                      <w:lang w:bidi="ar"/>
                    </w:rPr>
                    <w:t>59</w:t>
                  </w:r>
                </w:p>
              </w:tc>
              <w:tc>
                <w:tcPr>
                  <w:tcW w:w="310" w:type="pct"/>
                  <w:shd w:val="clear" w:color="auto" w:fill="auto"/>
                  <w:vAlign w:val="center"/>
                </w:tcPr>
                <w:p w14:paraId="7CCAB16D">
                  <w:pPr>
                    <w:widowControl/>
                    <w:adjustRightInd w:val="0"/>
                    <w:snapToGrid w:val="0"/>
                    <w:jc w:val="center"/>
                    <w:rPr>
                      <w:rFonts w:hint="default" w:ascii="Times New Roman" w:hAnsi="Times New Roman" w:eastAsia="宋体" w:cs="Times New Roman"/>
                      <w:bCs/>
                      <w:color w:val="auto"/>
                      <w:kern w:val="0"/>
                      <w:sz w:val="18"/>
                      <w:szCs w:val="18"/>
                      <w:lang w:val="en-US" w:eastAsia="zh-CN" w:bidi="en-US"/>
                    </w:rPr>
                  </w:pPr>
                  <w:r>
                    <w:rPr>
                      <w:rFonts w:hint="eastAsia"/>
                      <w:bCs/>
                      <w:color w:val="auto"/>
                      <w:kern w:val="0"/>
                      <w:sz w:val="18"/>
                      <w:szCs w:val="18"/>
                      <w:lang w:bidi="en-US"/>
                    </w:rPr>
                    <w:t>1.5</w:t>
                  </w:r>
                </w:p>
              </w:tc>
              <w:tc>
                <w:tcPr>
                  <w:tcW w:w="343" w:type="pct"/>
                  <w:shd w:val="clear" w:color="auto" w:fill="auto"/>
                  <w:vAlign w:val="center"/>
                </w:tcPr>
                <w:p w14:paraId="784D5881">
                  <w:pPr>
                    <w:widowControl/>
                    <w:adjustRightInd w:val="0"/>
                    <w:snapToGrid w:val="0"/>
                    <w:jc w:val="center"/>
                    <w:rPr>
                      <w:rFonts w:hint="default" w:ascii="Times New Roman" w:hAnsi="Times New Roman" w:eastAsia="宋体" w:cs="Times New Roman"/>
                      <w:bCs/>
                      <w:color w:val="auto"/>
                      <w:kern w:val="0"/>
                      <w:sz w:val="18"/>
                      <w:szCs w:val="18"/>
                      <w:lang w:val="en-US" w:eastAsia="zh-CN" w:bidi="en-US"/>
                    </w:rPr>
                  </w:pPr>
                  <w:r>
                    <w:rPr>
                      <w:rFonts w:hint="eastAsia"/>
                      <w:bCs/>
                      <w:color w:val="auto"/>
                      <w:kern w:val="0"/>
                      <w:sz w:val="18"/>
                      <w:szCs w:val="18"/>
                      <w:lang w:val="en-US" w:eastAsia="zh-CN" w:bidi="en-US"/>
                    </w:rPr>
                    <w:t>东</w:t>
                  </w:r>
                  <w:r>
                    <w:rPr>
                      <w:rFonts w:hint="eastAsia"/>
                      <w:bCs/>
                      <w:color w:val="auto"/>
                      <w:kern w:val="0"/>
                      <w:sz w:val="18"/>
                      <w:szCs w:val="18"/>
                      <w:lang w:bidi="en-US"/>
                    </w:rPr>
                    <w:t>5</w:t>
                  </w:r>
                </w:p>
              </w:tc>
              <w:tc>
                <w:tcPr>
                  <w:tcW w:w="353" w:type="pct"/>
                  <w:shd w:val="clear" w:color="auto" w:fill="auto"/>
                  <w:vAlign w:val="center"/>
                </w:tcPr>
                <w:p w14:paraId="6FB656C4">
                  <w:pPr>
                    <w:widowControl/>
                    <w:jc w:val="center"/>
                    <w:textAlignment w:val="bottom"/>
                    <w:rPr>
                      <w:rFonts w:hint="default" w:ascii="Times New Roman" w:hAnsi="Times New Roman" w:eastAsia="宋体" w:cs="Times New Roman"/>
                      <w:bCs/>
                      <w:color w:val="auto"/>
                      <w:kern w:val="0"/>
                      <w:sz w:val="18"/>
                      <w:szCs w:val="18"/>
                      <w:lang w:val="en-US" w:eastAsia="zh-CN" w:bidi="en-US"/>
                    </w:rPr>
                  </w:pPr>
                  <w:r>
                    <w:rPr>
                      <w:rFonts w:eastAsia="等线"/>
                      <w:color w:val="auto"/>
                      <w:kern w:val="0"/>
                      <w:sz w:val="18"/>
                      <w:szCs w:val="18"/>
                      <w:lang w:bidi="ar"/>
                    </w:rPr>
                    <w:t>71.0</w:t>
                  </w:r>
                </w:p>
              </w:tc>
              <w:tc>
                <w:tcPr>
                  <w:tcW w:w="433" w:type="pct"/>
                  <w:vMerge w:val="continue"/>
                  <w:shd w:val="clear" w:color="auto" w:fill="auto"/>
                  <w:vAlign w:val="center"/>
                </w:tcPr>
                <w:p w14:paraId="113D52EF">
                  <w:pPr>
                    <w:widowControl/>
                    <w:adjustRightInd w:val="0"/>
                    <w:snapToGrid w:val="0"/>
                    <w:jc w:val="center"/>
                    <w:rPr>
                      <w:rFonts w:hint="default" w:ascii="Times New Roman" w:hAnsi="Times New Roman" w:eastAsia="宋体" w:cs="Times New Roman"/>
                      <w:bCs/>
                      <w:color w:val="auto"/>
                      <w:kern w:val="0"/>
                      <w:sz w:val="18"/>
                      <w:szCs w:val="18"/>
                      <w:lang w:val="en-US" w:eastAsia="zh-CN" w:bidi="en-US"/>
                    </w:rPr>
                  </w:pPr>
                </w:p>
              </w:tc>
              <w:tc>
                <w:tcPr>
                  <w:tcW w:w="343" w:type="pct"/>
                  <w:shd w:val="clear" w:color="auto" w:fill="auto"/>
                  <w:vAlign w:val="center"/>
                </w:tcPr>
                <w:p w14:paraId="788D81EE">
                  <w:pPr>
                    <w:widowControl/>
                    <w:adjustRightInd w:val="0"/>
                    <w:snapToGrid w:val="0"/>
                    <w:jc w:val="center"/>
                    <w:rPr>
                      <w:rFonts w:hint="default" w:ascii="Times New Roman" w:hAnsi="Times New Roman" w:eastAsia="宋体" w:cs="Times New Roman"/>
                      <w:bCs/>
                      <w:color w:val="auto"/>
                      <w:kern w:val="0"/>
                      <w:sz w:val="18"/>
                      <w:szCs w:val="18"/>
                      <w:lang w:val="en-US" w:eastAsia="zh-CN" w:bidi="en-US"/>
                    </w:rPr>
                  </w:pPr>
                  <w:r>
                    <w:rPr>
                      <w:rFonts w:hint="eastAsia"/>
                      <w:bCs/>
                      <w:color w:val="auto"/>
                      <w:kern w:val="0"/>
                      <w:sz w:val="18"/>
                      <w:szCs w:val="18"/>
                      <w:lang w:bidi="en-US"/>
                    </w:rPr>
                    <w:t>2</w:t>
                  </w:r>
                  <w:r>
                    <w:rPr>
                      <w:bCs/>
                      <w:color w:val="auto"/>
                      <w:kern w:val="0"/>
                      <w:sz w:val="18"/>
                      <w:szCs w:val="18"/>
                      <w:lang w:bidi="en-US"/>
                    </w:rPr>
                    <w:t>5</w:t>
                  </w:r>
                </w:p>
              </w:tc>
              <w:tc>
                <w:tcPr>
                  <w:tcW w:w="416" w:type="pct"/>
                  <w:shd w:val="clear" w:color="auto" w:fill="auto"/>
                  <w:vAlign w:val="center"/>
                </w:tcPr>
                <w:p w14:paraId="43D8994D">
                  <w:pPr>
                    <w:widowControl/>
                    <w:jc w:val="center"/>
                    <w:textAlignment w:val="center"/>
                    <w:rPr>
                      <w:rFonts w:hint="default" w:ascii="Times New Roman" w:hAnsi="Times New Roman" w:eastAsia="宋体" w:cs="Times New Roman"/>
                      <w:bCs/>
                      <w:color w:val="auto"/>
                      <w:kern w:val="0"/>
                      <w:sz w:val="18"/>
                      <w:szCs w:val="18"/>
                      <w:lang w:val="en-US" w:eastAsia="zh-CN" w:bidi="en-US"/>
                    </w:rPr>
                  </w:pPr>
                  <w:r>
                    <w:rPr>
                      <w:rFonts w:eastAsia="等线"/>
                      <w:color w:val="auto"/>
                      <w:kern w:val="0"/>
                      <w:sz w:val="18"/>
                      <w:szCs w:val="18"/>
                      <w:lang w:bidi="ar"/>
                    </w:rPr>
                    <w:t>46.0</w:t>
                  </w:r>
                </w:p>
              </w:tc>
              <w:tc>
                <w:tcPr>
                  <w:tcW w:w="329" w:type="pct"/>
                  <w:vMerge w:val="continue"/>
                  <w:vAlign w:val="center"/>
                </w:tcPr>
                <w:p w14:paraId="50186C57">
                  <w:pPr>
                    <w:widowControl/>
                    <w:jc w:val="center"/>
                    <w:textAlignment w:val="center"/>
                    <w:rPr>
                      <w:rFonts w:hint="eastAsia" w:ascii="宋体" w:hAnsi="宋体" w:eastAsia="宋体" w:cs="宋体"/>
                      <w:color w:val="auto"/>
                      <w:kern w:val="0"/>
                      <w:szCs w:val="21"/>
                      <w:lang w:bidi="ar"/>
                    </w:rPr>
                  </w:pPr>
                </w:p>
              </w:tc>
            </w:tr>
            <w:tr w14:paraId="1377C0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33" w:type="pct"/>
                  <w:shd w:val="clear" w:color="auto" w:fill="auto"/>
                  <w:vAlign w:val="center"/>
                </w:tcPr>
                <w:p w14:paraId="450411ED">
                  <w:pPr>
                    <w:widowControl/>
                    <w:adjustRightInd w:val="0"/>
                    <w:snapToGrid w:val="0"/>
                    <w:jc w:val="center"/>
                    <w:rPr>
                      <w:rFonts w:hint="default" w:ascii="Times New Roman" w:hAnsi="Times New Roman" w:eastAsia="宋体" w:cs="Times New Roman"/>
                      <w:bCs/>
                      <w:color w:val="auto"/>
                      <w:kern w:val="0"/>
                      <w:sz w:val="18"/>
                      <w:szCs w:val="18"/>
                      <w:lang w:val="en-US" w:eastAsia="zh-CN" w:bidi="en-US"/>
                    </w:rPr>
                  </w:pPr>
                  <w:r>
                    <w:rPr>
                      <w:rFonts w:hint="default" w:ascii="Times New Roman" w:hAnsi="Times New Roman" w:eastAsia="等线" w:cs="Times New Roman"/>
                      <w:color w:val="auto"/>
                      <w:sz w:val="18"/>
                      <w:szCs w:val="18"/>
                    </w:rPr>
                    <w:t>4</w:t>
                  </w:r>
                </w:p>
              </w:tc>
              <w:tc>
                <w:tcPr>
                  <w:tcW w:w="656" w:type="pct"/>
                  <w:vAlign w:val="center"/>
                </w:tcPr>
                <w:p w14:paraId="0EB11DC9">
                  <w:pPr>
                    <w:widowControl/>
                    <w:jc w:val="center"/>
                    <w:textAlignment w:val="center"/>
                    <w:rPr>
                      <w:rFonts w:hint="default" w:ascii="Times New Roman" w:hAnsi="Times New Roman" w:eastAsia="宋体" w:cs="Times New Roman"/>
                      <w:color w:val="auto"/>
                      <w:kern w:val="0"/>
                      <w:sz w:val="18"/>
                      <w:szCs w:val="18"/>
                      <w:lang w:eastAsia="zh-CN" w:bidi="ar"/>
                    </w:rPr>
                  </w:pPr>
                  <w:r>
                    <w:rPr>
                      <w:rFonts w:hint="default" w:ascii="Times New Roman" w:hAnsi="Times New Roman" w:eastAsia="宋体" w:cs="Times New Roman"/>
                      <w:color w:val="auto"/>
                      <w:kern w:val="0"/>
                      <w:sz w:val="18"/>
                      <w:szCs w:val="18"/>
                      <w:lang w:eastAsia="zh-CN" w:bidi="ar"/>
                    </w:rPr>
                    <w:t>卧式输送拌料机</w:t>
                  </w:r>
                </w:p>
              </w:tc>
              <w:tc>
                <w:tcPr>
                  <w:tcW w:w="263" w:type="pct"/>
                  <w:vAlign w:val="center"/>
                </w:tcPr>
                <w:p w14:paraId="5FF958E6">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2</w:t>
                  </w:r>
                </w:p>
              </w:tc>
              <w:tc>
                <w:tcPr>
                  <w:tcW w:w="434" w:type="pct"/>
                  <w:shd w:val="clear" w:color="auto" w:fill="auto"/>
                  <w:vAlign w:val="center"/>
                </w:tcPr>
                <w:p w14:paraId="4A475E34">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eastAsia"/>
                      <w:color w:val="auto"/>
                      <w:kern w:val="0"/>
                      <w:sz w:val="18"/>
                      <w:szCs w:val="18"/>
                      <w:lang w:val="en-US" w:eastAsia="zh-CN" w:bidi="ar"/>
                    </w:rPr>
                    <w:t>60~</w:t>
                  </w:r>
                  <w:r>
                    <w:rPr>
                      <w:rFonts w:hint="eastAsia" w:ascii="Times New Roman" w:hAnsi="Times New Roman" w:eastAsia="宋体" w:cs="Times New Roman"/>
                      <w:color w:val="auto"/>
                      <w:kern w:val="0"/>
                      <w:sz w:val="18"/>
                      <w:szCs w:val="18"/>
                      <w:lang w:val="en-US" w:eastAsia="zh-CN" w:bidi="ar"/>
                    </w:rPr>
                    <w:t>70</w:t>
                  </w:r>
                  <w:r>
                    <w:rPr>
                      <w:rFonts w:hint="default"/>
                      <w:bCs/>
                      <w:color w:val="auto"/>
                      <w:kern w:val="0"/>
                      <w:sz w:val="18"/>
                      <w:szCs w:val="18"/>
                      <w:lang w:bidi="en-US"/>
                    </w:rPr>
                    <w:t>/1</w:t>
                  </w:r>
                </w:p>
              </w:tc>
              <w:tc>
                <w:tcPr>
                  <w:tcW w:w="293" w:type="pct"/>
                  <w:vMerge w:val="continue"/>
                  <w:shd w:val="clear" w:color="auto" w:fill="auto"/>
                  <w:vAlign w:val="center"/>
                </w:tcPr>
                <w:p w14:paraId="1F032235">
                  <w:pPr>
                    <w:adjustRightInd w:val="0"/>
                    <w:snapToGrid w:val="0"/>
                    <w:jc w:val="center"/>
                    <w:rPr>
                      <w:rFonts w:hint="default" w:ascii="Times New Roman" w:hAnsi="Times New Roman" w:eastAsia="宋体" w:cs="Times New Roman"/>
                      <w:b/>
                      <w:bCs/>
                      <w:color w:val="auto"/>
                      <w:kern w:val="0"/>
                      <w:sz w:val="18"/>
                      <w:szCs w:val="18"/>
                      <w:lang w:val="en-US" w:eastAsia="zh-CN" w:bidi="en-US"/>
                    </w:rPr>
                  </w:pPr>
                </w:p>
              </w:tc>
              <w:tc>
                <w:tcPr>
                  <w:tcW w:w="293" w:type="pct"/>
                  <w:shd w:val="clear" w:color="auto" w:fill="auto"/>
                  <w:vAlign w:val="center"/>
                </w:tcPr>
                <w:p w14:paraId="2C80C662">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 xml:space="preserve">120 </w:t>
                  </w:r>
                </w:p>
              </w:tc>
              <w:tc>
                <w:tcPr>
                  <w:tcW w:w="295" w:type="pct"/>
                  <w:shd w:val="clear" w:color="auto" w:fill="auto"/>
                  <w:vAlign w:val="center"/>
                </w:tcPr>
                <w:p w14:paraId="57F56485">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 xml:space="preserve">40 </w:t>
                  </w:r>
                </w:p>
              </w:tc>
              <w:tc>
                <w:tcPr>
                  <w:tcW w:w="310" w:type="pct"/>
                  <w:shd w:val="clear" w:color="auto" w:fill="auto"/>
                  <w:vAlign w:val="center"/>
                </w:tcPr>
                <w:p w14:paraId="18C5AD58">
                  <w:pPr>
                    <w:widowControl/>
                    <w:adjustRightInd w:val="0"/>
                    <w:snapToGrid w:val="0"/>
                    <w:jc w:val="center"/>
                    <w:rPr>
                      <w:rFonts w:hint="default" w:ascii="Times New Roman" w:hAnsi="Times New Roman" w:eastAsia="宋体" w:cs="Times New Roman"/>
                      <w:bCs/>
                      <w:color w:val="auto"/>
                      <w:kern w:val="0"/>
                      <w:sz w:val="18"/>
                      <w:szCs w:val="18"/>
                      <w:lang w:val="en-US" w:eastAsia="zh-CN" w:bidi="en-US"/>
                    </w:rPr>
                  </w:pPr>
                  <w:r>
                    <w:rPr>
                      <w:rFonts w:hint="eastAsia"/>
                      <w:bCs/>
                      <w:color w:val="auto"/>
                      <w:kern w:val="0"/>
                      <w:sz w:val="18"/>
                      <w:szCs w:val="18"/>
                      <w:lang w:bidi="en-US"/>
                    </w:rPr>
                    <w:t>1.5</w:t>
                  </w:r>
                </w:p>
              </w:tc>
              <w:tc>
                <w:tcPr>
                  <w:tcW w:w="343" w:type="pct"/>
                  <w:shd w:val="clear" w:color="auto" w:fill="auto"/>
                  <w:vAlign w:val="center"/>
                </w:tcPr>
                <w:p w14:paraId="08F20D18">
                  <w:pPr>
                    <w:widowControl/>
                    <w:adjustRightInd w:val="0"/>
                    <w:snapToGrid w:val="0"/>
                    <w:jc w:val="center"/>
                    <w:rPr>
                      <w:rFonts w:hint="default" w:ascii="Times New Roman" w:hAnsi="Times New Roman" w:eastAsia="宋体" w:cs="Times New Roman"/>
                      <w:bCs/>
                      <w:color w:val="auto"/>
                      <w:kern w:val="0"/>
                      <w:sz w:val="18"/>
                      <w:szCs w:val="18"/>
                      <w:lang w:val="en-US" w:eastAsia="zh-CN" w:bidi="en-US"/>
                    </w:rPr>
                  </w:pPr>
                  <w:r>
                    <w:rPr>
                      <w:rFonts w:hint="eastAsia"/>
                      <w:bCs/>
                      <w:color w:val="auto"/>
                      <w:kern w:val="0"/>
                      <w:sz w:val="18"/>
                      <w:szCs w:val="18"/>
                      <w:lang w:val="en-US" w:eastAsia="zh-CN" w:bidi="en-US"/>
                    </w:rPr>
                    <w:t>西</w:t>
                  </w:r>
                  <w:r>
                    <w:rPr>
                      <w:rFonts w:hint="eastAsia"/>
                      <w:bCs/>
                      <w:color w:val="auto"/>
                      <w:kern w:val="0"/>
                      <w:sz w:val="18"/>
                      <w:szCs w:val="18"/>
                      <w:lang w:bidi="en-US"/>
                    </w:rPr>
                    <w:t>1</w:t>
                  </w:r>
                  <w:r>
                    <w:rPr>
                      <w:rFonts w:hint="eastAsia"/>
                      <w:bCs/>
                      <w:color w:val="auto"/>
                      <w:kern w:val="0"/>
                      <w:sz w:val="18"/>
                      <w:szCs w:val="18"/>
                      <w:lang w:val="en-US" w:eastAsia="zh-CN" w:bidi="en-US"/>
                    </w:rPr>
                    <w:t>5</w:t>
                  </w:r>
                </w:p>
              </w:tc>
              <w:tc>
                <w:tcPr>
                  <w:tcW w:w="353" w:type="pct"/>
                  <w:shd w:val="clear" w:color="auto" w:fill="auto"/>
                  <w:vAlign w:val="center"/>
                </w:tcPr>
                <w:p w14:paraId="44BA2C73">
                  <w:pPr>
                    <w:widowControl/>
                    <w:jc w:val="center"/>
                    <w:textAlignment w:val="bottom"/>
                    <w:rPr>
                      <w:rFonts w:hint="default" w:ascii="Times New Roman" w:hAnsi="Times New Roman" w:eastAsia="等线" w:cs="Times New Roman"/>
                      <w:color w:val="auto"/>
                      <w:kern w:val="0"/>
                      <w:sz w:val="18"/>
                      <w:szCs w:val="18"/>
                      <w:lang w:val="en-US" w:eastAsia="zh-CN" w:bidi="ar"/>
                    </w:rPr>
                  </w:pPr>
                  <w:r>
                    <w:rPr>
                      <w:rFonts w:hint="eastAsia" w:eastAsia="等线"/>
                      <w:color w:val="auto"/>
                      <w:kern w:val="0"/>
                      <w:sz w:val="18"/>
                      <w:szCs w:val="18"/>
                      <w:lang w:val="en-US" w:eastAsia="zh-CN" w:bidi="ar"/>
                    </w:rPr>
                    <w:t>46.5</w:t>
                  </w:r>
                </w:p>
              </w:tc>
              <w:tc>
                <w:tcPr>
                  <w:tcW w:w="433" w:type="pct"/>
                  <w:vMerge w:val="continue"/>
                  <w:shd w:val="clear" w:color="auto" w:fill="auto"/>
                  <w:vAlign w:val="center"/>
                </w:tcPr>
                <w:p w14:paraId="776D0804">
                  <w:pPr>
                    <w:widowControl/>
                    <w:adjustRightInd w:val="0"/>
                    <w:snapToGrid w:val="0"/>
                    <w:jc w:val="center"/>
                    <w:rPr>
                      <w:rFonts w:hint="default" w:ascii="Times New Roman" w:hAnsi="Times New Roman" w:eastAsia="宋体" w:cs="Times New Roman"/>
                      <w:bCs/>
                      <w:color w:val="auto"/>
                      <w:kern w:val="0"/>
                      <w:sz w:val="18"/>
                      <w:szCs w:val="18"/>
                      <w:lang w:val="en-US" w:eastAsia="zh-CN" w:bidi="en-US"/>
                    </w:rPr>
                  </w:pPr>
                </w:p>
              </w:tc>
              <w:tc>
                <w:tcPr>
                  <w:tcW w:w="343" w:type="pct"/>
                  <w:shd w:val="clear" w:color="auto" w:fill="auto"/>
                  <w:vAlign w:val="center"/>
                </w:tcPr>
                <w:p w14:paraId="1AA2C655">
                  <w:pPr>
                    <w:widowControl/>
                    <w:adjustRightInd w:val="0"/>
                    <w:snapToGrid w:val="0"/>
                    <w:jc w:val="center"/>
                    <w:rPr>
                      <w:rFonts w:hint="default" w:ascii="Times New Roman" w:hAnsi="Times New Roman" w:eastAsia="宋体" w:cs="Times New Roman"/>
                      <w:bCs/>
                      <w:color w:val="auto"/>
                      <w:kern w:val="0"/>
                      <w:sz w:val="18"/>
                      <w:szCs w:val="18"/>
                      <w:lang w:val="en-US" w:eastAsia="zh-CN" w:bidi="en-US"/>
                    </w:rPr>
                  </w:pPr>
                  <w:r>
                    <w:rPr>
                      <w:rFonts w:hint="eastAsia"/>
                      <w:bCs/>
                      <w:color w:val="auto"/>
                      <w:kern w:val="0"/>
                      <w:sz w:val="18"/>
                      <w:szCs w:val="18"/>
                      <w:lang w:bidi="en-US"/>
                    </w:rPr>
                    <w:t>2</w:t>
                  </w:r>
                  <w:r>
                    <w:rPr>
                      <w:bCs/>
                      <w:color w:val="auto"/>
                      <w:kern w:val="0"/>
                      <w:sz w:val="18"/>
                      <w:szCs w:val="18"/>
                      <w:lang w:bidi="en-US"/>
                    </w:rPr>
                    <w:t>5</w:t>
                  </w:r>
                </w:p>
              </w:tc>
              <w:tc>
                <w:tcPr>
                  <w:tcW w:w="416" w:type="pct"/>
                  <w:shd w:val="clear" w:color="auto" w:fill="auto"/>
                  <w:vAlign w:val="center"/>
                </w:tcPr>
                <w:p w14:paraId="6CC903B6">
                  <w:pPr>
                    <w:widowControl/>
                    <w:jc w:val="center"/>
                    <w:textAlignment w:val="center"/>
                    <w:rPr>
                      <w:rFonts w:hint="default" w:ascii="Times New Roman" w:hAnsi="Times New Roman" w:eastAsia="等线" w:cs="Times New Roman"/>
                      <w:color w:val="auto"/>
                      <w:kern w:val="0"/>
                      <w:sz w:val="18"/>
                      <w:szCs w:val="18"/>
                      <w:lang w:val="en-US" w:eastAsia="zh-CN" w:bidi="ar"/>
                    </w:rPr>
                  </w:pPr>
                  <w:r>
                    <w:rPr>
                      <w:rFonts w:hint="eastAsia" w:eastAsia="等线"/>
                      <w:color w:val="auto"/>
                      <w:kern w:val="0"/>
                      <w:sz w:val="18"/>
                      <w:szCs w:val="18"/>
                      <w:lang w:val="en-US" w:eastAsia="zh-CN" w:bidi="ar"/>
                    </w:rPr>
                    <w:t>21.5</w:t>
                  </w:r>
                </w:p>
              </w:tc>
              <w:tc>
                <w:tcPr>
                  <w:tcW w:w="329" w:type="pct"/>
                  <w:vMerge w:val="continue"/>
                  <w:vAlign w:val="center"/>
                </w:tcPr>
                <w:p w14:paraId="7244FCB8">
                  <w:pPr>
                    <w:widowControl/>
                    <w:jc w:val="center"/>
                    <w:textAlignment w:val="center"/>
                    <w:rPr>
                      <w:rFonts w:hint="eastAsia" w:ascii="宋体" w:hAnsi="宋体" w:eastAsia="宋体" w:cs="宋体"/>
                      <w:color w:val="auto"/>
                      <w:kern w:val="0"/>
                      <w:szCs w:val="21"/>
                      <w:lang w:bidi="ar"/>
                    </w:rPr>
                  </w:pPr>
                </w:p>
              </w:tc>
            </w:tr>
            <w:tr w14:paraId="23C857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33" w:type="pct"/>
                  <w:shd w:val="clear" w:color="auto" w:fill="auto"/>
                  <w:vAlign w:val="center"/>
                </w:tcPr>
                <w:p w14:paraId="280583C4">
                  <w:pPr>
                    <w:widowControl/>
                    <w:adjustRightInd w:val="0"/>
                    <w:snapToGrid w:val="0"/>
                    <w:jc w:val="center"/>
                    <w:rPr>
                      <w:rFonts w:hint="default" w:ascii="Times New Roman" w:hAnsi="Times New Roman" w:eastAsia="宋体" w:cs="Times New Roman"/>
                      <w:bCs/>
                      <w:color w:val="auto"/>
                      <w:kern w:val="0"/>
                      <w:sz w:val="18"/>
                      <w:szCs w:val="18"/>
                      <w:lang w:val="en-US" w:eastAsia="zh-CN" w:bidi="en-US"/>
                    </w:rPr>
                  </w:pPr>
                  <w:r>
                    <w:rPr>
                      <w:rFonts w:hint="default" w:ascii="Times New Roman" w:hAnsi="Times New Roman" w:eastAsia="等线" w:cs="Times New Roman"/>
                      <w:color w:val="auto"/>
                      <w:sz w:val="18"/>
                      <w:szCs w:val="18"/>
                    </w:rPr>
                    <w:t>5</w:t>
                  </w:r>
                </w:p>
              </w:tc>
              <w:tc>
                <w:tcPr>
                  <w:tcW w:w="656" w:type="pct"/>
                  <w:vAlign w:val="center"/>
                </w:tcPr>
                <w:p w14:paraId="73548FF3">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X光机</w:t>
                  </w:r>
                </w:p>
              </w:tc>
              <w:tc>
                <w:tcPr>
                  <w:tcW w:w="263" w:type="pct"/>
                  <w:vAlign w:val="center"/>
                </w:tcPr>
                <w:p w14:paraId="38002D58">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2</w:t>
                  </w:r>
                </w:p>
              </w:tc>
              <w:tc>
                <w:tcPr>
                  <w:tcW w:w="434" w:type="pct"/>
                  <w:shd w:val="clear" w:color="auto" w:fill="auto"/>
                  <w:vAlign w:val="center"/>
                </w:tcPr>
                <w:p w14:paraId="1F035BCA">
                  <w:pPr>
                    <w:widowControl/>
                    <w:jc w:val="center"/>
                    <w:textAlignment w:val="center"/>
                    <w:rPr>
                      <w:rFonts w:hint="default" w:ascii="Times New Roman" w:hAnsi="Times New Roman" w:eastAsia="宋体" w:cs="Times New Roman"/>
                      <w:bCs/>
                      <w:color w:val="auto"/>
                      <w:kern w:val="2"/>
                      <w:sz w:val="18"/>
                      <w:szCs w:val="18"/>
                      <w:lang w:val="en-US" w:eastAsia="zh-CN" w:bidi="ar-SA"/>
                    </w:rPr>
                  </w:pPr>
                  <w:r>
                    <w:rPr>
                      <w:rFonts w:hint="eastAsia"/>
                      <w:color w:val="auto"/>
                      <w:kern w:val="0"/>
                      <w:sz w:val="18"/>
                      <w:szCs w:val="18"/>
                      <w:lang w:val="en-US" w:eastAsia="zh-CN" w:bidi="ar"/>
                    </w:rPr>
                    <w:t>60~</w:t>
                  </w:r>
                  <w:r>
                    <w:rPr>
                      <w:color w:val="auto"/>
                      <w:kern w:val="0"/>
                      <w:sz w:val="18"/>
                      <w:szCs w:val="18"/>
                      <w:lang w:bidi="ar"/>
                    </w:rPr>
                    <w:t>70</w:t>
                  </w:r>
                  <w:r>
                    <w:rPr>
                      <w:rFonts w:hint="default"/>
                      <w:bCs/>
                      <w:color w:val="auto"/>
                      <w:kern w:val="0"/>
                      <w:sz w:val="18"/>
                      <w:szCs w:val="18"/>
                      <w:lang w:bidi="en-US"/>
                    </w:rPr>
                    <w:t>/1</w:t>
                  </w:r>
                </w:p>
              </w:tc>
              <w:tc>
                <w:tcPr>
                  <w:tcW w:w="293" w:type="pct"/>
                  <w:vMerge w:val="continue"/>
                  <w:shd w:val="clear" w:color="auto" w:fill="auto"/>
                  <w:vAlign w:val="center"/>
                </w:tcPr>
                <w:p w14:paraId="24C8474A">
                  <w:pPr>
                    <w:adjustRightInd w:val="0"/>
                    <w:snapToGrid w:val="0"/>
                    <w:jc w:val="center"/>
                    <w:rPr>
                      <w:rFonts w:hint="default" w:ascii="Times New Roman" w:hAnsi="Times New Roman" w:eastAsia="宋体" w:cs="Times New Roman"/>
                      <w:b/>
                      <w:bCs/>
                      <w:color w:val="auto"/>
                      <w:kern w:val="0"/>
                      <w:sz w:val="18"/>
                      <w:szCs w:val="18"/>
                      <w:lang w:val="en-US" w:eastAsia="zh-CN" w:bidi="en-US"/>
                    </w:rPr>
                  </w:pPr>
                </w:p>
              </w:tc>
              <w:tc>
                <w:tcPr>
                  <w:tcW w:w="293" w:type="pct"/>
                  <w:shd w:val="clear" w:color="auto" w:fill="auto"/>
                  <w:vAlign w:val="center"/>
                </w:tcPr>
                <w:p w14:paraId="6DBF7A4B">
                  <w:pPr>
                    <w:widowControl/>
                    <w:jc w:val="center"/>
                    <w:textAlignment w:val="center"/>
                    <w:rPr>
                      <w:rFonts w:hint="default" w:ascii="Times New Roman" w:hAnsi="Times New Roman" w:eastAsia="宋体" w:cs="Times New Roman"/>
                      <w:bCs/>
                      <w:color w:val="auto"/>
                      <w:kern w:val="0"/>
                      <w:sz w:val="18"/>
                      <w:szCs w:val="18"/>
                      <w:lang w:val="en-US" w:eastAsia="zh-CN" w:bidi="en-US"/>
                    </w:rPr>
                  </w:pPr>
                  <w:r>
                    <w:rPr>
                      <w:color w:val="auto"/>
                      <w:kern w:val="0"/>
                      <w:sz w:val="18"/>
                      <w:szCs w:val="18"/>
                      <w:lang w:bidi="ar"/>
                    </w:rPr>
                    <w:t>120</w:t>
                  </w:r>
                </w:p>
              </w:tc>
              <w:tc>
                <w:tcPr>
                  <w:tcW w:w="295" w:type="pct"/>
                  <w:shd w:val="clear" w:color="auto" w:fill="auto"/>
                  <w:vAlign w:val="center"/>
                </w:tcPr>
                <w:p w14:paraId="101627EB">
                  <w:pPr>
                    <w:widowControl/>
                    <w:jc w:val="center"/>
                    <w:textAlignment w:val="center"/>
                    <w:rPr>
                      <w:rFonts w:hint="default" w:ascii="Times New Roman" w:hAnsi="Times New Roman" w:eastAsia="宋体" w:cs="Times New Roman"/>
                      <w:bCs/>
                      <w:color w:val="auto"/>
                      <w:kern w:val="0"/>
                      <w:sz w:val="18"/>
                      <w:szCs w:val="18"/>
                      <w:lang w:val="en-US" w:eastAsia="zh-CN" w:bidi="en-US"/>
                    </w:rPr>
                  </w:pPr>
                  <w:r>
                    <w:rPr>
                      <w:color w:val="auto"/>
                      <w:kern w:val="0"/>
                      <w:sz w:val="18"/>
                      <w:szCs w:val="18"/>
                      <w:lang w:bidi="ar"/>
                    </w:rPr>
                    <w:t>75</w:t>
                  </w:r>
                </w:p>
              </w:tc>
              <w:tc>
                <w:tcPr>
                  <w:tcW w:w="310" w:type="pct"/>
                  <w:shd w:val="clear" w:color="auto" w:fill="auto"/>
                  <w:vAlign w:val="center"/>
                </w:tcPr>
                <w:p w14:paraId="6AD04FDD">
                  <w:pPr>
                    <w:widowControl/>
                    <w:adjustRightInd w:val="0"/>
                    <w:snapToGrid w:val="0"/>
                    <w:jc w:val="center"/>
                    <w:rPr>
                      <w:rFonts w:hint="default" w:ascii="Times New Roman" w:hAnsi="Times New Roman" w:eastAsia="宋体" w:cs="Times New Roman"/>
                      <w:bCs/>
                      <w:color w:val="auto"/>
                      <w:kern w:val="0"/>
                      <w:sz w:val="18"/>
                      <w:szCs w:val="18"/>
                      <w:lang w:val="en-US" w:eastAsia="zh-CN" w:bidi="en-US"/>
                    </w:rPr>
                  </w:pPr>
                  <w:r>
                    <w:rPr>
                      <w:rFonts w:hint="eastAsia"/>
                      <w:bCs/>
                      <w:color w:val="auto"/>
                      <w:kern w:val="0"/>
                      <w:sz w:val="18"/>
                      <w:szCs w:val="18"/>
                      <w:lang w:bidi="en-US"/>
                    </w:rPr>
                    <w:t>1.5</w:t>
                  </w:r>
                </w:p>
              </w:tc>
              <w:tc>
                <w:tcPr>
                  <w:tcW w:w="343" w:type="pct"/>
                  <w:shd w:val="clear" w:color="auto" w:fill="auto"/>
                  <w:vAlign w:val="center"/>
                </w:tcPr>
                <w:p w14:paraId="769CA5F0">
                  <w:pPr>
                    <w:widowControl/>
                    <w:adjustRightInd w:val="0"/>
                    <w:snapToGrid w:val="0"/>
                    <w:jc w:val="center"/>
                    <w:rPr>
                      <w:rFonts w:hint="default" w:ascii="Times New Roman" w:hAnsi="Times New Roman" w:eastAsia="宋体" w:cs="Times New Roman"/>
                      <w:bCs/>
                      <w:color w:val="auto"/>
                      <w:kern w:val="0"/>
                      <w:sz w:val="18"/>
                      <w:szCs w:val="18"/>
                      <w:lang w:val="en-US" w:eastAsia="zh-CN" w:bidi="en-US"/>
                    </w:rPr>
                  </w:pPr>
                  <w:r>
                    <w:rPr>
                      <w:rFonts w:hint="eastAsia"/>
                      <w:bCs/>
                      <w:color w:val="auto"/>
                      <w:kern w:val="0"/>
                      <w:sz w:val="18"/>
                      <w:szCs w:val="18"/>
                      <w:lang w:val="en-US" w:eastAsia="zh-CN" w:bidi="en-US"/>
                    </w:rPr>
                    <w:t>西</w:t>
                  </w:r>
                  <w:r>
                    <w:rPr>
                      <w:rFonts w:hint="eastAsia"/>
                      <w:bCs/>
                      <w:color w:val="auto"/>
                      <w:kern w:val="0"/>
                      <w:sz w:val="18"/>
                      <w:szCs w:val="18"/>
                      <w:lang w:bidi="en-US"/>
                    </w:rPr>
                    <w:t>15</w:t>
                  </w:r>
                </w:p>
              </w:tc>
              <w:tc>
                <w:tcPr>
                  <w:tcW w:w="353" w:type="pct"/>
                  <w:shd w:val="clear" w:color="auto" w:fill="auto"/>
                  <w:vAlign w:val="center"/>
                </w:tcPr>
                <w:p w14:paraId="5EC55CDD">
                  <w:pPr>
                    <w:widowControl/>
                    <w:jc w:val="center"/>
                    <w:textAlignment w:val="bottom"/>
                    <w:rPr>
                      <w:rFonts w:hint="default" w:ascii="Times New Roman" w:hAnsi="Times New Roman" w:eastAsia="宋体" w:cs="Times New Roman"/>
                      <w:bCs/>
                      <w:color w:val="auto"/>
                      <w:kern w:val="0"/>
                      <w:sz w:val="18"/>
                      <w:szCs w:val="18"/>
                      <w:lang w:val="en-US" w:eastAsia="zh-CN" w:bidi="en-US"/>
                    </w:rPr>
                  </w:pPr>
                  <w:r>
                    <w:rPr>
                      <w:rFonts w:eastAsia="等线"/>
                      <w:color w:val="auto"/>
                      <w:kern w:val="0"/>
                      <w:sz w:val="18"/>
                      <w:szCs w:val="18"/>
                      <w:lang w:bidi="ar"/>
                    </w:rPr>
                    <w:t>54.3</w:t>
                  </w:r>
                </w:p>
              </w:tc>
              <w:tc>
                <w:tcPr>
                  <w:tcW w:w="433" w:type="pct"/>
                  <w:vMerge w:val="continue"/>
                  <w:shd w:val="clear" w:color="auto" w:fill="auto"/>
                  <w:vAlign w:val="center"/>
                </w:tcPr>
                <w:p w14:paraId="4C567B48">
                  <w:pPr>
                    <w:widowControl/>
                    <w:adjustRightInd w:val="0"/>
                    <w:snapToGrid w:val="0"/>
                    <w:jc w:val="center"/>
                    <w:rPr>
                      <w:rFonts w:hint="default" w:ascii="Times New Roman" w:hAnsi="Times New Roman" w:eastAsia="宋体" w:cs="Times New Roman"/>
                      <w:bCs/>
                      <w:color w:val="auto"/>
                      <w:kern w:val="0"/>
                      <w:sz w:val="18"/>
                      <w:szCs w:val="18"/>
                      <w:lang w:val="en-US" w:eastAsia="zh-CN" w:bidi="en-US"/>
                    </w:rPr>
                  </w:pPr>
                </w:p>
              </w:tc>
              <w:tc>
                <w:tcPr>
                  <w:tcW w:w="343" w:type="pct"/>
                  <w:shd w:val="clear" w:color="auto" w:fill="auto"/>
                  <w:vAlign w:val="center"/>
                </w:tcPr>
                <w:p w14:paraId="01878A39">
                  <w:pPr>
                    <w:widowControl/>
                    <w:adjustRightInd w:val="0"/>
                    <w:snapToGrid w:val="0"/>
                    <w:jc w:val="center"/>
                    <w:rPr>
                      <w:rFonts w:hint="default" w:ascii="Times New Roman" w:hAnsi="Times New Roman" w:eastAsia="宋体" w:cs="Times New Roman"/>
                      <w:bCs/>
                      <w:color w:val="auto"/>
                      <w:kern w:val="0"/>
                      <w:sz w:val="18"/>
                      <w:szCs w:val="18"/>
                      <w:lang w:val="en-US" w:eastAsia="zh-CN" w:bidi="en-US"/>
                    </w:rPr>
                  </w:pPr>
                  <w:r>
                    <w:rPr>
                      <w:rFonts w:hint="eastAsia"/>
                      <w:bCs/>
                      <w:color w:val="auto"/>
                      <w:kern w:val="0"/>
                      <w:sz w:val="18"/>
                      <w:szCs w:val="18"/>
                      <w:lang w:bidi="en-US"/>
                    </w:rPr>
                    <w:t>2</w:t>
                  </w:r>
                  <w:r>
                    <w:rPr>
                      <w:bCs/>
                      <w:color w:val="auto"/>
                      <w:kern w:val="0"/>
                      <w:sz w:val="18"/>
                      <w:szCs w:val="18"/>
                      <w:lang w:bidi="en-US"/>
                    </w:rPr>
                    <w:t>5</w:t>
                  </w:r>
                </w:p>
              </w:tc>
              <w:tc>
                <w:tcPr>
                  <w:tcW w:w="416" w:type="pct"/>
                  <w:shd w:val="clear" w:color="auto" w:fill="auto"/>
                  <w:vAlign w:val="center"/>
                </w:tcPr>
                <w:p w14:paraId="180DCD69">
                  <w:pPr>
                    <w:widowControl/>
                    <w:jc w:val="center"/>
                    <w:textAlignment w:val="center"/>
                    <w:rPr>
                      <w:rFonts w:hint="default" w:ascii="Times New Roman" w:hAnsi="Times New Roman" w:eastAsia="宋体" w:cs="Times New Roman"/>
                      <w:bCs/>
                      <w:color w:val="auto"/>
                      <w:kern w:val="0"/>
                      <w:sz w:val="18"/>
                      <w:szCs w:val="18"/>
                      <w:lang w:val="en-US" w:eastAsia="zh-CN" w:bidi="en-US"/>
                    </w:rPr>
                  </w:pPr>
                  <w:r>
                    <w:rPr>
                      <w:rFonts w:eastAsia="等线"/>
                      <w:color w:val="auto"/>
                      <w:kern w:val="0"/>
                      <w:sz w:val="18"/>
                      <w:szCs w:val="18"/>
                      <w:lang w:bidi="ar"/>
                    </w:rPr>
                    <w:t>29.3</w:t>
                  </w:r>
                </w:p>
              </w:tc>
              <w:tc>
                <w:tcPr>
                  <w:tcW w:w="329" w:type="pct"/>
                  <w:vMerge w:val="continue"/>
                  <w:vAlign w:val="center"/>
                </w:tcPr>
                <w:p w14:paraId="58C2C818">
                  <w:pPr>
                    <w:widowControl/>
                    <w:jc w:val="center"/>
                    <w:textAlignment w:val="center"/>
                    <w:rPr>
                      <w:rFonts w:hint="eastAsia" w:ascii="宋体" w:hAnsi="宋体" w:eastAsia="宋体" w:cs="宋体"/>
                      <w:color w:val="auto"/>
                      <w:kern w:val="0"/>
                      <w:szCs w:val="21"/>
                      <w:lang w:bidi="ar"/>
                    </w:rPr>
                  </w:pPr>
                </w:p>
              </w:tc>
            </w:tr>
            <w:tr w14:paraId="31102F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33" w:type="pct"/>
                  <w:shd w:val="clear" w:color="auto" w:fill="auto"/>
                  <w:vAlign w:val="center"/>
                </w:tcPr>
                <w:p w14:paraId="32A1E5D4">
                  <w:pPr>
                    <w:widowControl/>
                    <w:adjustRightInd w:val="0"/>
                    <w:snapToGrid w:val="0"/>
                    <w:jc w:val="center"/>
                    <w:rPr>
                      <w:rFonts w:hint="default" w:ascii="Times New Roman" w:hAnsi="Times New Roman" w:eastAsia="等线" w:cs="Times New Roman"/>
                      <w:color w:val="auto"/>
                      <w:kern w:val="2"/>
                      <w:sz w:val="18"/>
                      <w:szCs w:val="18"/>
                      <w:lang w:val="en-US" w:eastAsia="zh-CN" w:bidi="ar-SA"/>
                    </w:rPr>
                  </w:pPr>
                  <w:r>
                    <w:rPr>
                      <w:rFonts w:hint="default" w:ascii="Times New Roman" w:hAnsi="Times New Roman" w:eastAsia="等线" w:cs="Times New Roman"/>
                      <w:color w:val="auto"/>
                      <w:sz w:val="18"/>
                      <w:szCs w:val="18"/>
                    </w:rPr>
                    <w:t>6</w:t>
                  </w:r>
                </w:p>
              </w:tc>
              <w:tc>
                <w:tcPr>
                  <w:tcW w:w="656" w:type="pct"/>
                  <w:vAlign w:val="center"/>
                </w:tcPr>
                <w:p w14:paraId="49863C24">
                  <w:pPr>
                    <w:widowControl/>
                    <w:jc w:val="center"/>
                    <w:textAlignment w:val="center"/>
                    <w:rPr>
                      <w:rFonts w:hint="default" w:ascii="Times New Roman" w:hAnsi="Times New Roman" w:eastAsia="宋体" w:cs="Times New Roman"/>
                      <w:color w:val="auto"/>
                      <w:kern w:val="0"/>
                      <w:sz w:val="18"/>
                      <w:szCs w:val="18"/>
                      <w:lang w:eastAsia="zh-CN" w:bidi="ar"/>
                    </w:rPr>
                  </w:pPr>
                  <w:r>
                    <w:rPr>
                      <w:rFonts w:hint="default" w:ascii="Times New Roman" w:hAnsi="Times New Roman" w:eastAsia="宋体" w:cs="Times New Roman"/>
                      <w:color w:val="auto"/>
                      <w:kern w:val="0"/>
                      <w:sz w:val="18"/>
                      <w:szCs w:val="18"/>
                      <w:lang w:eastAsia="zh-CN" w:bidi="ar"/>
                    </w:rPr>
                    <w:t>螺旋单冻机</w:t>
                  </w:r>
                </w:p>
              </w:tc>
              <w:tc>
                <w:tcPr>
                  <w:tcW w:w="263" w:type="pct"/>
                  <w:vAlign w:val="center"/>
                </w:tcPr>
                <w:p w14:paraId="230D985D">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1</w:t>
                  </w:r>
                </w:p>
              </w:tc>
              <w:tc>
                <w:tcPr>
                  <w:tcW w:w="434" w:type="pct"/>
                  <w:shd w:val="clear" w:color="auto" w:fill="auto"/>
                  <w:vAlign w:val="center"/>
                </w:tcPr>
                <w:p w14:paraId="2A253C5B">
                  <w:pPr>
                    <w:widowControl/>
                    <w:jc w:val="center"/>
                    <w:textAlignment w:val="center"/>
                    <w:rPr>
                      <w:rFonts w:hint="default" w:ascii="Times New Roman" w:hAnsi="Times New Roman" w:eastAsia="宋体" w:cs="Times New Roman"/>
                      <w:bCs/>
                      <w:color w:val="auto"/>
                      <w:kern w:val="2"/>
                      <w:sz w:val="18"/>
                      <w:szCs w:val="18"/>
                      <w:lang w:val="en-US" w:eastAsia="zh-CN" w:bidi="ar-SA"/>
                    </w:rPr>
                  </w:pPr>
                  <w:r>
                    <w:rPr>
                      <w:rFonts w:hint="eastAsia"/>
                      <w:color w:val="auto"/>
                      <w:kern w:val="0"/>
                      <w:sz w:val="18"/>
                      <w:szCs w:val="18"/>
                      <w:lang w:val="en-US" w:eastAsia="zh-CN" w:bidi="ar"/>
                    </w:rPr>
                    <w:t>70~</w:t>
                  </w:r>
                  <w:r>
                    <w:rPr>
                      <w:color w:val="auto"/>
                      <w:kern w:val="0"/>
                      <w:sz w:val="18"/>
                      <w:szCs w:val="18"/>
                      <w:lang w:bidi="ar"/>
                    </w:rPr>
                    <w:t>80</w:t>
                  </w:r>
                  <w:r>
                    <w:rPr>
                      <w:rFonts w:hint="default"/>
                      <w:bCs/>
                      <w:color w:val="auto"/>
                      <w:kern w:val="0"/>
                      <w:sz w:val="18"/>
                      <w:szCs w:val="18"/>
                      <w:lang w:bidi="en-US"/>
                    </w:rPr>
                    <w:t>/1</w:t>
                  </w:r>
                </w:p>
              </w:tc>
              <w:tc>
                <w:tcPr>
                  <w:tcW w:w="293" w:type="pct"/>
                  <w:vMerge w:val="continue"/>
                  <w:shd w:val="clear" w:color="auto" w:fill="auto"/>
                  <w:vAlign w:val="center"/>
                </w:tcPr>
                <w:p w14:paraId="62D37702">
                  <w:pPr>
                    <w:adjustRightInd w:val="0"/>
                    <w:snapToGrid w:val="0"/>
                    <w:jc w:val="center"/>
                    <w:rPr>
                      <w:rFonts w:hint="default" w:ascii="Times New Roman" w:hAnsi="Times New Roman" w:eastAsia="宋体" w:cs="Times New Roman"/>
                      <w:b/>
                      <w:bCs/>
                      <w:color w:val="auto"/>
                      <w:kern w:val="0"/>
                      <w:sz w:val="18"/>
                      <w:szCs w:val="18"/>
                      <w:lang w:val="en-US" w:eastAsia="zh-CN" w:bidi="en-US"/>
                    </w:rPr>
                  </w:pPr>
                </w:p>
              </w:tc>
              <w:tc>
                <w:tcPr>
                  <w:tcW w:w="293" w:type="pct"/>
                  <w:shd w:val="clear" w:color="auto" w:fill="auto"/>
                  <w:vAlign w:val="center"/>
                </w:tcPr>
                <w:p w14:paraId="62E2BD60">
                  <w:pPr>
                    <w:widowControl/>
                    <w:jc w:val="center"/>
                    <w:textAlignment w:val="center"/>
                    <w:rPr>
                      <w:rFonts w:hint="default" w:ascii="Times New Roman" w:hAnsi="Times New Roman" w:eastAsia="宋体" w:cs="Times New Roman"/>
                      <w:bCs/>
                      <w:color w:val="auto"/>
                      <w:kern w:val="0"/>
                      <w:sz w:val="18"/>
                      <w:szCs w:val="18"/>
                      <w:lang w:val="en-US" w:eastAsia="zh-CN" w:bidi="en-US"/>
                    </w:rPr>
                  </w:pPr>
                  <w:r>
                    <w:rPr>
                      <w:color w:val="auto"/>
                      <w:kern w:val="0"/>
                      <w:sz w:val="18"/>
                      <w:szCs w:val="18"/>
                      <w:lang w:bidi="ar"/>
                    </w:rPr>
                    <w:t>120</w:t>
                  </w:r>
                </w:p>
              </w:tc>
              <w:tc>
                <w:tcPr>
                  <w:tcW w:w="295" w:type="pct"/>
                  <w:shd w:val="clear" w:color="auto" w:fill="auto"/>
                  <w:vAlign w:val="center"/>
                </w:tcPr>
                <w:p w14:paraId="21825D53">
                  <w:pPr>
                    <w:widowControl/>
                    <w:jc w:val="center"/>
                    <w:textAlignment w:val="center"/>
                    <w:rPr>
                      <w:rFonts w:hint="default" w:ascii="Times New Roman" w:hAnsi="Times New Roman" w:eastAsia="宋体" w:cs="Times New Roman"/>
                      <w:bCs/>
                      <w:color w:val="auto"/>
                      <w:kern w:val="0"/>
                      <w:sz w:val="18"/>
                      <w:szCs w:val="18"/>
                      <w:lang w:val="en-US" w:eastAsia="zh-CN" w:bidi="en-US"/>
                    </w:rPr>
                  </w:pPr>
                  <w:r>
                    <w:rPr>
                      <w:color w:val="auto"/>
                      <w:kern w:val="0"/>
                      <w:sz w:val="18"/>
                      <w:szCs w:val="18"/>
                      <w:lang w:bidi="ar"/>
                    </w:rPr>
                    <w:t>59</w:t>
                  </w:r>
                </w:p>
              </w:tc>
              <w:tc>
                <w:tcPr>
                  <w:tcW w:w="310" w:type="pct"/>
                  <w:shd w:val="clear" w:color="auto" w:fill="auto"/>
                  <w:vAlign w:val="center"/>
                </w:tcPr>
                <w:p w14:paraId="312BE9E3">
                  <w:pPr>
                    <w:widowControl/>
                    <w:adjustRightInd w:val="0"/>
                    <w:snapToGrid w:val="0"/>
                    <w:jc w:val="center"/>
                    <w:rPr>
                      <w:rFonts w:hint="default" w:ascii="Times New Roman" w:hAnsi="Times New Roman" w:eastAsia="宋体" w:cs="Times New Roman"/>
                      <w:bCs/>
                      <w:color w:val="auto"/>
                      <w:kern w:val="0"/>
                      <w:sz w:val="18"/>
                      <w:szCs w:val="18"/>
                      <w:lang w:val="en-US" w:eastAsia="zh-CN" w:bidi="en-US"/>
                    </w:rPr>
                  </w:pPr>
                  <w:r>
                    <w:rPr>
                      <w:rFonts w:hint="eastAsia"/>
                      <w:bCs/>
                      <w:color w:val="auto"/>
                      <w:kern w:val="0"/>
                      <w:sz w:val="18"/>
                      <w:szCs w:val="18"/>
                      <w:lang w:bidi="en-US"/>
                    </w:rPr>
                    <w:t>1.5</w:t>
                  </w:r>
                </w:p>
              </w:tc>
              <w:tc>
                <w:tcPr>
                  <w:tcW w:w="343" w:type="pct"/>
                  <w:shd w:val="clear" w:color="auto" w:fill="auto"/>
                  <w:vAlign w:val="center"/>
                </w:tcPr>
                <w:p w14:paraId="28DC47F1">
                  <w:pPr>
                    <w:widowControl/>
                    <w:adjustRightInd w:val="0"/>
                    <w:snapToGrid w:val="0"/>
                    <w:jc w:val="center"/>
                    <w:rPr>
                      <w:rFonts w:hint="default" w:ascii="Times New Roman" w:hAnsi="Times New Roman" w:eastAsia="宋体" w:cs="Times New Roman"/>
                      <w:bCs/>
                      <w:color w:val="auto"/>
                      <w:kern w:val="0"/>
                      <w:sz w:val="18"/>
                      <w:szCs w:val="18"/>
                      <w:lang w:val="en-US" w:eastAsia="zh-CN" w:bidi="en-US"/>
                    </w:rPr>
                  </w:pPr>
                  <w:r>
                    <w:rPr>
                      <w:rFonts w:hint="eastAsia"/>
                      <w:bCs/>
                      <w:color w:val="auto"/>
                      <w:kern w:val="0"/>
                      <w:sz w:val="18"/>
                      <w:szCs w:val="18"/>
                      <w:lang w:val="en-US" w:eastAsia="zh-CN" w:bidi="en-US"/>
                    </w:rPr>
                    <w:t>西</w:t>
                  </w:r>
                  <w:r>
                    <w:rPr>
                      <w:rFonts w:hint="eastAsia"/>
                      <w:bCs/>
                      <w:color w:val="auto"/>
                      <w:kern w:val="0"/>
                      <w:sz w:val="18"/>
                      <w:szCs w:val="18"/>
                      <w:lang w:bidi="en-US"/>
                    </w:rPr>
                    <w:t>20</w:t>
                  </w:r>
                </w:p>
              </w:tc>
              <w:tc>
                <w:tcPr>
                  <w:tcW w:w="353" w:type="pct"/>
                  <w:shd w:val="clear" w:color="auto" w:fill="auto"/>
                  <w:vAlign w:val="center"/>
                </w:tcPr>
                <w:p w14:paraId="3BF1BC48">
                  <w:pPr>
                    <w:widowControl/>
                    <w:jc w:val="center"/>
                    <w:textAlignment w:val="bottom"/>
                    <w:rPr>
                      <w:rFonts w:hint="default" w:ascii="Times New Roman" w:hAnsi="Times New Roman" w:eastAsia="宋体" w:cs="Times New Roman"/>
                      <w:bCs/>
                      <w:color w:val="auto"/>
                      <w:kern w:val="0"/>
                      <w:sz w:val="18"/>
                      <w:szCs w:val="18"/>
                      <w:lang w:val="en-US" w:eastAsia="zh-CN" w:bidi="en-US"/>
                    </w:rPr>
                  </w:pPr>
                  <w:r>
                    <w:rPr>
                      <w:rFonts w:eastAsia="等线"/>
                      <w:color w:val="auto"/>
                      <w:kern w:val="0"/>
                      <w:sz w:val="18"/>
                      <w:szCs w:val="18"/>
                      <w:lang w:bidi="ar"/>
                    </w:rPr>
                    <w:t>60.0</w:t>
                  </w:r>
                </w:p>
              </w:tc>
              <w:tc>
                <w:tcPr>
                  <w:tcW w:w="433" w:type="pct"/>
                  <w:vMerge w:val="continue"/>
                  <w:shd w:val="clear" w:color="auto" w:fill="auto"/>
                  <w:vAlign w:val="center"/>
                </w:tcPr>
                <w:p w14:paraId="5DEDD3F3">
                  <w:pPr>
                    <w:widowControl/>
                    <w:adjustRightInd w:val="0"/>
                    <w:snapToGrid w:val="0"/>
                    <w:jc w:val="center"/>
                    <w:rPr>
                      <w:rFonts w:hint="default" w:ascii="Times New Roman" w:hAnsi="Times New Roman" w:eastAsia="宋体" w:cs="Times New Roman"/>
                      <w:bCs/>
                      <w:color w:val="auto"/>
                      <w:kern w:val="0"/>
                      <w:sz w:val="18"/>
                      <w:szCs w:val="18"/>
                      <w:lang w:val="en-US" w:eastAsia="zh-CN" w:bidi="en-US"/>
                    </w:rPr>
                  </w:pPr>
                </w:p>
              </w:tc>
              <w:tc>
                <w:tcPr>
                  <w:tcW w:w="343" w:type="pct"/>
                  <w:shd w:val="clear" w:color="auto" w:fill="auto"/>
                  <w:vAlign w:val="center"/>
                </w:tcPr>
                <w:p w14:paraId="2FD06DA7">
                  <w:pPr>
                    <w:widowControl/>
                    <w:adjustRightInd w:val="0"/>
                    <w:snapToGrid w:val="0"/>
                    <w:jc w:val="center"/>
                    <w:rPr>
                      <w:rFonts w:hint="default" w:ascii="Times New Roman" w:hAnsi="Times New Roman" w:eastAsia="宋体" w:cs="Times New Roman"/>
                      <w:bCs/>
                      <w:color w:val="auto"/>
                      <w:kern w:val="0"/>
                      <w:sz w:val="18"/>
                      <w:szCs w:val="18"/>
                      <w:lang w:val="en-US" w:eastAsia="zh-CN" w:bidi="en-US"/>
                    </w:rPr>
                  </w:pPr>
                  <w:r>
                    <w:rPr>
                      <w:rFonts w:hint="eastAsia"/>
                      <w:bCs/>
                      <w:color w:val="auto"/>
                      <w:kern w:val="0"/>
                      <w:sz w:val="18"/>
                      <w:szCs w:val="18"/>
                      <w:lang w:bidi="en-US"/>
                    </w:rPr>
                    <w:t>2</w:t>
                  </w:r>
                  <w:r>
                    <w:rPr>
                      <w:bCs/>
                      <w:color w:val="auto"/>
                      <w:kern w:val="0"/>
                      <w:sz w:val="18"/>
                      <w:szCs w:val="18"/>
                      <w:lang w:bidi="en-US"/>
                    </w:rPr>
                    <w:t>5</w:t>
                  </w:r>
                </w:p>
              </w:tc>
              <w:tc>
                <w:tcPr>
                  <w:tcW w:w="416" w:type="pct"/>
                  <w:shd w:val="clear" w:color="auto" w:fill="auto"/>
                  <w:vAlign w:val="center"/>
                </w:tcPr>
                <w:p w14:paraId="604ED214">
                  <w:pPr>
                    <w:widowControl/>
                    <w:jc w:val="center"/>
                    <w:textAlignment w:val="center"/>
                    <w:rPr>
                      <w:rFonts w:hint="default" w:ascii="Times New Roman" w:hAnsi="Times New Roman" w:eastAsia="宋体" w:cs="Times New Roman"/>
                      <w:bCs/>
                      <w:color w:val="auto"/>
                      <w:kern w:val="0"/>
                      <w:sz w:val="18"/>
                      <w:szCs w:val="18"/>
                      <w:lang w:val="en-US" w:eastAsia="zh-CN" w:bidi="en-US"/>
                    </w:rPr>
                  </w:pPr>
                  <w:r>
                    <w:rPr>
                      <w:rFonts w:eastAsia="等线"/>
                      <w:color w:val="auto"/>
                      <w:kern w:val="0"/>
                      <w:sz w:val="18"/>
                      <w:szCs w:val="18"/>
                      <w:lang w:bidi="ar"/>
                    </w:rPr>
                    <w:t>35.0</w:t>
                  </w:r>
                </w:p>
              </w:tc>
              <w:tc>
                <w:tcPr>
                  <w:tcW w:w="329" w:type="pct"/>
                  <w:vMerge w:val="continue"/>
                  <w:vAlign w:val="center"/>
                </w:tcPr>
                <w:p w14:paraId="7E3BAF9B">
                  <w:pPr>
                    <w:widowControl/>
                    <w:jc w:val="center"/>
                    <w:textAlignment w:val="center"/>
                    <w:rPr>
                      <w:rFonts w:hint="eastAsia" w:ascii="宋体" w:hAnsi="宋体" w:eastAsia="宋体" w:cs="宋体"/>
                      <w:color w:val="auto"/>
                      <w:kern w:val="0"/>
                      <w:szCs w:val="21"/>
                      <w:lang w:bidi="ar"/>
                    </w:rPr>
                  </w:pPr>
                </w:p>
              </w:tc>
            </w:tr>
            <w:tr w14:paraId="6845C5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33" w:type="pct"/>
                  <w:shd w:val="clear" w:color="auto" w:fill="auto"/>
                  <w:vAlign w:val="center"/>
                </w:tcPr>
                <w:p w14:paraId="15A86535">
                  <w:pPr>
                    <w:widowControl/>
                    <w:adjustRightInd w:val="0"/>
                    <w:snapToGrid w:val="0"/>
                    <w:jc w:val="center"/>
                    <w:rPr>
                      <w:rFonts w:hint="default" w:ascii="Times New Roman" w:hAnsi="Times New Roman" w:eastAsia="等线" w:cs="Times New Roman"/>
                      <w:color w:val="auto"/>
                      <w:kern w:val="2"/>
                      <w:sz w:val="18"/>
                      <w:szCs w:val="18"/>
                      <w:lang w:val="en-US" w:eastAsia="zh-CN" w:bidi="ar-SA"/>
                    </w:rPr>
                  </w:pPr>
                  <w:r>
                    <w:rPr>
                      <w:rFonts w:hint="default" w:ascii="Times New Roman" w:hAnsi="Times New Roman" w:eastAsia="等线" w:cs="Times New Roman"/>
                      <w:color w:val="auto"/>
                      <w:sz w:val="18"/>
                      <w:szCs w:val="18"/>
                    </w:rPr>
                    <w:t>7</w:t>
                  </w:r>
                </w:p>
              </w:tc>
              <w:tc>
                <w:tcPr>
                  <w:tcW w:w="656" w:type="pct"/>
                  <w:vAlign w:val="center"/>
                </w:tcPr>
                <w:p w14:paraId="1E0C6098">
                  <w:pPr>
                    <w:widowControl/>
                    <w:jc w:val="center"/>
                    <w:textAlignment w:val="center"/>
                    <w:rPr>
                      <w:rFonts w:hint="default" w:ascii="Times New Roman" w:hAnsi="Times New Roman" w:eastAsia="宋体" w:cs="Times New Roman"/>
                      <w:color w:val="auto"/>
                      <w:kern w:val="0"/>
                      <w:sz w:val="18"/>
                      <w:szCs w:val="18"/>
                      <w:lang w:eastAsia="zh-CN" w:bidi="ar"/>
                    </w:rPr>
                  </w:pPr>
                  <w:r>
                    <w:rPr>
                      <w:rFonts w:hint="default" w:ascii="Times New Roman" w:hAnsi="Times New Roman" w:eastAsia="宋体" w:cs="Times New Roman"/>
                      <w:color w:val="auto"/>
                      <w:kern w:val="0"/>
                      <w:sz w:val="18"/>
                      <w:szCs w:val="18"/>
                      <w:lang w:eastAsia="zh-CN" w:bidi="ar"/>
                    </w:rPr>
                    <w:t>机械臂</w:t>
                  </w:r>
                </w:p>
              </w:tc>
              <w:tc>
                <w:tcPr>
                  <w:tcW w:w="263" w:type="pct"/>
                  <w:vAlign w:val="center"/>
                </w:tcPr>
                <w:p w14:paraId="695A23B7">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1</w:t>
                  </w:r>
                </w:p>
              </w:tc>
              <w:tc>
                <w:tcPr>
                  <w:tcW w:w="434" w:type="pct"/>
                  <w:shd w:val="clear" w:color="auto" w:fill="auto"/>
                  <w:vAlign w:val="center"/>
                </w:tcPr>
                <w:p w14:paraId="1C9C6997">
                  <w:pPr>
                    <w:widowControl/>
                    <w:jc w:val="center"/>
                    <w:textAlignment w:val="center"/>
                    <w:rPr>
                      <w:rFonts w:hint="default" w:ascii="Times New Roman" w:hAnsi="Times New Roman" w:eastAsia="宋体" w:cs="Times New Roman"/>
                      <w:bCs/>
                      <w:color w:val="auto"/>
                      <w:kern w:val="0"/>
                      <w:sz w:val="18"/>
                      <w:szCs w:val="18"/>
                      <w:lang w:val="en-US" w:eastAsia="zh-CN" w:bidi="en-US"/>
                    </w:rPr>
                  </w:pPr>
                  <w:r>
                    <w:rPr>
                      <w:rFonts w:hint="eastAsia"/>
                      <w:color w:val="auto"/>
                      <w:kern w:val="0"/>
                      <w:sz w:val="18"/>
                      <w:szCs w:val="18"/>
                      <w:lang w:val="en-US" w:eastAsia="zh-CN" w:bidi="ar"/>
                    </w:rPr>
                    <w:t>75~</w:t>
                  </w:r>
                  <w:r>
                    <w:rPr>
                      <w:color w:val="auto"/>
                      <w:kern w:val="0"/>
                      <w:sz w:val="18"/>
                      <w:szCs w:val="18"/>
                      <w:lang w:bidi="ar"/>
                    </w:rPr>
                    <w:t>85</w:t>
                  </w:r>
                  <w:r>
                    <w:rPr>
                      <w:rFonts w:hint="default"/>
                      <w:bCs/>
                      <w:color w:val="auto"/>
                      <w:kern w:val="0"/>
                      <w:sz w:val="18"/>
                      <w:szCs w:val="18"/>
                      <w:lang w:bidi="en-US"/>
                    </w:rPr>
                    <w:t>/1</w:t>
                  </w:r>
                </w:p>
              </w:tc>
              <w:tc>
                <w:tcPr>
                  <w:tcW w:w="293" w:type="pct"/>
                  <w:vMerge w:val="continue"/>
                  <w:shd w:val="clear" w:color="auto" w:fill="auto"/>
                  <w:vAlign w:val="center"/>
                </w:tcPr>
                <w:p w14:paraId="7303E33C">
                  <w:pPr>
                    <w:adjustRightInd w:val="0"/>
                    <w:snapToGrid w:val="0"/>
                    <w:jc w:val="center"/>
                    <w:rPr>
                      <w:rFonts w:hint="default" w:ascii="Times New Roman" w:hAnsi="Times New Roman" w:eastAsia="宋体" w:cs="Times New Roman"/>
                      <w:b/>
                      <w:bCs/>
                      <w:color w:val="auto"/>
                      <w:kern w:val="0"/>
                      <w:sz w:val="18"/>
                      <w:szCs w:val="18"/>
                      <w:lang w:val="en-US" w:eastAsia="zh-CN" w:bidi="en-US"/>
                    </w:rPr>
                  </w:pPr>
                </w:p>
              </w:tc>
              <w:tc>
                <w:tcPr>
                  <w:tcW w:w="293" w:type="pct"/>
                  <w:shd w:val="clear" w:color="auto" w:fill="auto"/>
                  <w:vAlign w:val="center"/>
                </w:tcPr>
                <w:p w14:paraId="592C31BC">
                  <w:pPr>
                    <w:widowControl/>
                    <w:jc w:val="center"/>
                    <w:textAlignment w:val="center"/>
                    <w:rPr>
                      <w:rFonts w:hint="default" w:ascii="Times New Roman" w:hAnsi="Times New Roman" w:eastAsia="宋体" w:cs="Times New Roman"/>
                      <w:bCs/>
                      <w:color w:val="auto"/>
                      <w:kern w:val="0"/>
                      <w:sz w:val="18"/>
                      <w:szCs w:val="18"/>
                      <w:lang w:val="en-US" w:eastAsia="zh-CN" w:bidi="en-US"/>
                    </w:rPr>
                  </w:pPr>
                  <w:r>
                    <w:rPr>
                      <w:color w:val="auto"/>
                      <w:kern w:val="0"/>
                      <w:sz w:val="18"/>
                      <w:szCs w:val="18"/>
                      <w:lang w:bidi="ar"/>
                    </w:rPr>
                    <w:t>149</w:t>
                  </w:r>
                </w:p>
              </w:tc>
              <w:tc>
                <w:tcPr>
                  <w:tcW w:w="295" w:type="pct"/>
                  <w:shd w:val="clear" w:color="auto" w:fill="auto"/>
                  <w:vAlign w:val="center"/>
                </w:tcPr>
                <w:p w14:paraId="7C427A1D">
                  <w:pPr>
                    <w:widowControl/>
                    <w:jc w:val="center"/>
                    <w:textAlignment w:val="center"/>
                    <w:rPr>
                      <w:rFonts w:hint="default" w:ascii="Times New Roman" w:hAnsi="Times New Roman" w:eastAsia="宋体" w:cs="Times New Roman"/>
                      <w:bCs/>
                      <w:color w:val="auto"/>
                      <w:kern w:val="0"/>
                      <w:sz w:val="18"/>
                      <w:szCs w:val="18"/>
                      <w:lang w:val="en-US" w:eastAsia="zh-CN" w:bidi="en-US"/>
                    </w:rPr>
                  </w:pPr>
                  <w:r>
                    <w:rPr>
                      <w:color w:val="auto"/>
                      <w:kern w:val="0"/>
                      <w:sz w:val="18"/>
                      <w:szCs w:val="18"/>
                      <w:lang w:bidi="ar"/>
                    </w:rPr>
                    <w:t>51</w:t>
                  </w:r>
                </w:p>
              </w:tc>
              <w:tc>
                <w:tcPr>
                  <w:tcW w:w="310" w:type="pct"/>
                  <w:shd w:val="clear" w:color="auto" w:fill="auto"/>
                  <w:vAlign w:val="center"/>
                </w:tcPr>
                <w:p w14:paraId="60F3035D">
                  <w:pPr>
                    <w:widowControl/>
                    <w:adjustRightInd w:val="0"/>
                    <w:snapToGrid w:val="0"/>
                    <w:jc w:val="center"/>
                    <w:rPr>
                      <w:rFonts w:hint="default" w:ascii="Times New Roman" w:hAnsi="Times New Roman" w:eastAsia="宋体" w:cs="Times New Roman"/>
                      <w:bCs/>
                      <w:color w:val="auto"/>
                      <w:kern w:val="0"/>
                      <w:sz w:val="18"/>
                      <w:szCs w:val="18"/>
                      <w:lang w:val="en-US" w:eastAsia="zh-CN" w:bidi="en-US"/>
                    </w:rPr>
                  </w:pPr>
                  <w:r>
                    <w:rPr>
                      <w:rFonts w:hint="eastAsia"/>
                      <w:bCs/>
                      <w:color w:val="auto"/>
                      <w:kern w:val="0"/>
                      <w:sz w:val="18"/>
                      <w:szCs w:val="18"/>
                      <w:lang w:bidi="en-US"/>
                    </w:rPr>
                    <w:t>1.5</w:t>
                  </w:r>
                </w:p>
              </w:tc>
              <w:tc>
                <w:tcPr>
                  <w:tcW w:w="343" w:type="pct"/>
                  <w:shd w:val="clear" w:color="auto" w:fill="auto"/>
                  <w:vAlign w:val="center"/>
                </w:tcPr>
                <w:p w14:paraId="6411B6B0">
                  <w:pPr>
                    <w:widowControl/>
                    <w:adjustRightInd w:val="0"/>
                    <w:snapToGrid w:val="0"/>
                    <w:jc w:val="center"/>
                    <w:rPr>
                      <w:rFonts w:hint="default" w:ascii="Times New Roman" w:hAnsi="Times New Roman" w:eastAsia="宋体" w:cs="Times New Roman"/>
                      <w:bCs/>
                      <w:color w:val="auto"/>
                      <w:kern w:val="0"/>
                      <w:sz w:val="18"/>
                      <w:szCs w:val="18"/>
                      <w:lang w:val="en-US" w:eastAsia="zh-CN" w:bidi="en-US"/>
                    </w:rPr>
                  </w:pPr>
                  <w:r>
                    <w:rPr>
                      <w:rFonts w:hint="eastAsia"/>
                      <w:bCs/>
                      <w:color w:val="auto"/>
                      <w:kern w:val="0"/>
                      <w:sz w:val="18"/>
                      <w:szCs w:val="18"/>
                      <w:lang w:val="en-US" w:eastAsia="zh-CN" w:bidi="en-US"/>
                    </w:rPr>
                    <w:t>东</w:t>
                  </w:r>
                  <w:r>
                    <w:rPr>
                      <w:rFonts w:hint="eastAsia"/>
                      <w:bCs/>
                      <w:color w:val="auto"/>
                      <w:kern w:val="0"/>
                      <w:sz w:val="18"/>
                      <w:szCs w:val="18"/>
                      <w:lang w:bidi="en-US"/>
                    </w:rPr>
                    <w:t>10</w:t>
                  </w:r>
                </w:p>
              </w:tc>
              <w:tc>
                <w:tcPr>
                  <w:tcW w:w="353" w:type="pct"/>
                  <w:shd w:val="clear" w:color="auto" w:fill="auto"/>
                  <w:vAlign w:val="center"/>
                </w:tcPr>
                <w:p w14:paraId="150258F7">
                  <w:pPr>
                    <w:widowControl/>
                    <w:jc w:val="center"/>
                    <w:textAlignment w:val="bottom"/>
                    <w:rPr>
                      <w:rFonts w:hint="default" w:ascii="Times New Roman" w:hAnsi="Times New Roman" w:eastAsia="宋体" w:cs="Times New Roman"/>
                      <w:bCs/>
                      <w:color w:val="auto"/>
                      <w:kern w:val="0"/>
                      <w:sz w:val="18"/>
                      <w:szCs w:val="18"/>
                      <w:lang w:val="en-US" w:eastAsia="zh-CN" w:bidi="en-US"/>
                    </w:rPr>
                  </w:pPr>
                  <w:r>
                    <w:rPr>
                      <w:rFonts w:eastAsia="等线"/>
                      <w:color w:val="auto"/>
                      <w:kern w:val="0"/>
                      <w:sz w:val="18"/>
                      <w:szCs w:val="18"/>
                      <w:lang w:bidi="ar"/>
                    </w:rPr>
                    <w:t>68.0</w:t>
                  </w:r>
                </w:p>
              </w:tc>
              <w:tc>
                <w:tcPr>
                  <w:tcW w:w="433" w:type="pct"/>
                  <w:vMerge w:val="continue"/>
                  <w:shd w:val="clear" w:color="auto" w:fill="auto"/>
                  <w:vAlign w:val="center"/>
                </w:tcPr>
                <w:p w14:paraId="4C72B391">
                  <w:pPr>
                    <w:widowControl/>
                    <w:adjustRightInd w:val="0"/>
                    <w:snapToGrid w:val="0"/>
                    <w:jc w:val="center"/>
                    <w:rPr>
                      <w:rFonts w:hint="default" w:ascii="Times New Roman" w:hAnsi="Times New Roman" w:eastAsia="宋体" w:cs="Times New Roman"/>
                      <w:bCs/>
                      <w:color w:val="auto"/>
                      <w:kern w:val="0"/>
                      <w:sz w:val="18"/>
                      <w:szCs w:val="18"/>
                      <w:lang w:val="en-US" w:eastAsia="zh-CN" w:bidi="en-US"/>
                    </w:rPr>
                  </w:pPr>
                </w:p>
              </w:tc>
              <w:tc>
                <w:tcPr>
                  <w:tcW w:w="343" w:type="pct"/>
                  <w:shd w:val="clear" w:color="auto" w:fill="auto"/>
                  <w:vAlign w:val="center"/>
                </w:tcPr>
                <w:p w14:paraId="6DB1197A">
                  <w:pPr>
                    <w:widowControl/>
                    <w:adjustRightInd w:val="0"/>
                    <w:snapToGrid w:val="0"/>
                    <w:jc w:val="center"/>
                    <w:rPr>
                      <w:rFonts w:hint="default" w:ascii="Times New Roman" w:hAnsi="Times New Roman" w:eastAsia="宋体" w:cs="Times New Roman"/>
                      <w:bCs/>
                      <w:color w:val="auto"/>
                      <w:kern w:val="0"/>
                      <w:sz w:val="18"/>
                      <w:szCs w:val="18"/>
                      <w:lang w:val="en-US" w:eastAsia="zh-CN" w:bidi="en-US"/>
                    </w:rPr>
                  </w:pPr>
                  <w:r>
                    <w:rPr>
                      <w:rFonts w:hint="eastAsia"/>
                      <w:bCs/>
                      <w:color w:val="auto"/>
                      <w:kern w:val="0"/>
                      <w:sz w:val="18"/>
                      <w:szCs w:val="18"/>
                      <w:lang w:bidi="en-US"/>
                    </w:rPr>
                    <w:t>2</w:t>
                  </w:r>
                  <w:r>
                    <w:rPr>
                      <w:bCs/>
                      <w:color w:val="auto"/>
                      <w:kern w:val="0"/>
                      <w:sz w:val="18"/>
                      <w:szCs w:val="18"/>
                      <w:lang w:bidi="en-US"/>
                    </w:rPr>
                    <w:t>5</w:t>
                  </w:r>
                </w:p>
              </w:tc>
              <w:tc>
                <w:tcPr>
                  <w:tcW w:w="416" w:type="pct"/>
                  <w:shd w:val="clear" w:color="auto" w:fill="auto"/>
                  <w:vAlign w:val="center"/>
                </w:tcPr>
                <w:p w14:paraId="6CDD7918">
                  <w:pPr>
                    <w:widowControl/>
                    <w:jc w:val="center"/>
                    <w:textAlignment w:val="center"/>
                    <w:rPr>
                      <w:rFonts w:hint="default" w:ascii="Times New Roman" w:hAnsi="Times New Roman" w:eastAsia="宋体" w:cs="Times New Roman"/>
                      <w:bCs/>
                      <w:color w:val="auto"/>
                      <w:kern w:val="0"/>
                      <w:sz w:val="18"/>
                      <w:szCs w:val="18"/>
                      <w:lang w:val="en-US" w:eastAsia="zh-CN" w:bidi="en-US"/>
                    </w:rPr>
                  </w:pPr>
                  <w:r>
                    <w:rPr>
                      <w:rFonts w:eastAsia="等线"/>
                      <w:color w:val="auto"/>
                      <w:kern w:val="0"/>
                      <w:sz w:val="18"/>
                      <w:szCs w:val="18"/>
                      <w:lang w:bidi="ar"/>
                    </w:rPr>
                    <w:t>43.0</w:t>
                  </w:r>
                </w:p>
              </w:tc>
              <w:tc>
                <w:tcPr>
                  <w:tcW w:w="329" w:type="pct"/>
                  <w:vMerge w:val="continue"/>
                  <w:vAlign w:val="center"/>
                </w:tcPr>
                <w:p w14:paraId="4BCC974F">
                  <w:pPr>
                    <w:widowControl/>
                    <w:jc w:val="center"/>
                    <w:textAlignment w:val="center"/>
                    <w:rPr>
                      <w:rFonts w:hint="eastAsia" w:ascii="宋体" w:hAnsi="宋体" w:eastAsia="宋体" w:cs="宋体"/>
                      <w:color w:val="auto"/>
                      <w:kern w:val="0"/>
                      <w:szCs w:val="21"/>
                      <w:lang w:bidi="ar"/>
                    </w:rPr>
                  </w:pPr>
                </w:p>
              </w:tc>
            </w:tr>
            <w:tr w14:paraId="0804F7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33" w:type="pct"/>
                  <w:shd w:val="clear" w:color="auto" w:fill="auto"/>
                  <w:vAlign w:val="center"/>
                </w:tcPr>
                <w:p w14:paraId="3D893F49">
                  <w:pPr>
                    <w:widowControl/>
                    <w:adjustRightInd w:val="0"/>
                    <w:snapToGrid w:val="0"/>
                    <w:jc w:val="center"/>
                    <w:rPr>
                      <w:rFonts w:hint="default" w:ascii="Times New Roman" w:hAnsi="Times New Roman" w:eastAsia="等线" w:cs="Times New Roman"/>
                      <w:color w:val="auto"/>
                      <w:kern w:val="2"/>
                      <w:sz w:val="18"/>
                      <w:szCs w:val="18"/>
                      <w:lang w:val="en-US" w:eastAsia="zh-CN" w:bidi="ar-SA"/>
                    </w:rPr>
                  </w:pPr>
                  <w:r>
                    <w:rPr>
                      <w:rFonts w:hint="default" w:ascii="Times New Roman" w:hAnsi="Times New Roman" w:eastAsia="等线" w:cs="Times New Roman"/>
                      <w:color w:val="auto"/>
                      <w:sz w:val="18"/>
                      <w:szCs w:val="18"/>
                    </w:rPr>
                    <w:t>8</w:t>
                  </w:r>
                </w:p>
              </w:tc>
              <w:tc>
                <w:tcPr>
                  <w:tcW w:w="656" w:type="pct"/>
                  <w:vAlign w:val="center"/>
                </w:tcPr>
                <w:p w14:paraId="31D29AB7">
                  <w:pPr>
                    <w:widowControl/>
                    <w:jc w:val="center"/>
                    <w:textAlignment w:val="center"/>
                    <w:rPr>
                      <w:rFonts w:hint="default" w:ascii="Times New Roman" w:hAnsi="Times New Roman" w:eastAsia="宋体" w:cs="Times New Roman"/>
                      <w:color w:val="auto"/>
                      <w:kern w:val="0"/>
                      <w:sz w:val="18"/>
                      <w:szCs w:val="18"/>
                      <w:lang w:eastAsia="zh-CN" w:bidi="ar"/>
                    </w:rPr>
                  </w:pPr>
                  <w:r>
                    <w:rPr>
                      <w:rFonts w:hint="default" w:ascii="Times New Roman" w:hAnsi="Times New Roman" w:eastAsia="宋体" w:cs="Times New Roman"/>
                      <w:color w:val="auto"/>
                      <w:kern w:val="0"/>
                      <w:sz w:val="18"/>
                      <w:szCs w:val="18"/>
                      <w:lang w:eastAsia="zh-CN" w:bidi="ar"/>
                    </w:rPr>
                    <w:t>切丁机</w:t>
                  </w:r>
                </w:p>
              </w:tc>
              <w:tc>
                <w:tcPr>
                  <w:tcW w:w="263" w:type="pct"/>
                  <w:vAlign w:val="center"/>
                </w:tcPr>
                <w:p w14:paraId="086CD9CB">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2</w:t>
                  </w:r>
                </w:p>
              </w:tc>
              <w:tc>
                <w:tcPr>
                  <w:tcW w:w="434" w:type="pct"/>
                  <w:shd w:val="clear" w:color="auto" w:fill="auto"/>
                  <w:vAlign w:val="center"/>
                </w:tcPr>
                <w:p w14:paraId="21A866C5">
                  <w:pPr>
                    <w:widowControl/>
                    <w:jc w:val="center"/>
                    <w:textAlignment w:val="center"/>
                    <w:rPr>
                      <w:rFonts w:hint="default" w:ascii="Times New Roman" w:hAnsi="Times New Roman" w:eastAsia="宋体" w:cs="Times New Roman"/>
                      <w:bCs/>
                      <w:color w:val="auto"/>
                      <w:kern w:val="0"/>
                      <w:sz w:val="18"/>
                      <w:szCs w:val="18"/>
                      <w:lang w:val="en-US" w:eastAsia="zh-CN" w:bidi="en-US"/>
                    </w:rPr>
                  </w:pPr>
                  <w:r>
                    <w:rPr>
                      <w:rFonts w:hint="eastAsia"/>
                      <w:color w:val="auto"/>
                      <w:kern w:val="0"/>
                      <w:sz w:val="18"/>
                      <w:szCs w:val="18"/>
                      <w:lang w:val="en-US" w:eastAsia="zh-CN" w:bidi="ar"/>
                    </w:rPr>
                    <w:t>75~</w:t>
                  </w:r>
                  <w:r>
                    <w:rPr>
                      <w:color w:val="auto"/>
                      <w:kern w:val="0"/>
                      <w:sz w:val="18"/>
                      <w:szCs w:val="18"/>
                      <w:lang w:bidi="ar"/>
                    </w:rPr>
                    <w:t>85</w:t>
                  </w:r>
                  <w:r>
                    <w:rPr>
                      <w:rFonts w:hint="default"/>
                      <w:bCs/>
                      <w:color w:val="auto"/>
                      <w:kern w:val="0"/>
                      <w:sz w:val="18"/>
                      <w:szCs w:val="18"/>
                      <w:lang w:bidi="en-US"/>
                    </w:rPr>
                    <w:t>/1</w:t>
                  </w:r>
                </w:p>
              </w:tc>
              <w:tc>
                <w:tcPr>
                  <w:tcW w:w="293" w:type="pct"/>
                  <w:vMerge w:val="continue"/>
                  <w:shd w:val="clear" w:color="auto" w:fill="auto"/>
                  <w:vAlign w:val="center"/>
                </w:tcPr>
                <w:p w14:paraId="450A8A16">
                  <w:pPr>
                    <w:adjustRightInd w:val="0"/>
                    <w:snapToGrid w:val="0"/>
                    <w:jc w:val="center"/>
                    <w:rPr>
                      <w:rFonts w:hint="default" w:ascii="Times New Roman" w:hAnsi="Times New Roman" w:eastAsia="宋体" w:cs="Times New Roman"/>
                      <w:b/>
                      <w:bCs/>
                      <w:color w:val="auto"/>
                      <w:kern w:val="0"/>
                      <w:sz w:val="18"/>
                      <w:szCs w:val="18"/>
                      <w:lang w:val="en-US" w:eastAsia="zh-CN" w:bidi="en-US"/>
                    </w:rPr>
                  </w:pPr>
                </w:p>
              </w:tc>
              <w:tc>
                <w:tcPr>
                  <w:tcW w:w="293" w:type="pct"/>
                  <w:shd w:val="clear" w:color="auto" w:fill="auto"/>
                  <w:vAlign w:val="center"/>
                </w:tcPr>
                <w:p w14:paraId="7BE4568C">
                  <w:pPr>
                    <w:widowControl/>
                    <w:jc w:val="center"/>
                    <w:textAlignment w:val="center"/>
                    <w:rPr>
                      <w:rFonts w:hint="default" w:ascii="Times New Roman" w:hAnsi="Times New Roman" w:eastAsia="宋体" w:cs="Times New Roman"/>
                      <w:bCs/>
                      <w:color w:val="auto"/>
                      <w:kern w:val="0"/>
                      <w:sz w:val="18"/>
                      <w:szCs w:val="18"/>
                      <w:lang w:val="en-US" w:eastAsia="zh-CN" w:bidi="en-US"/>
                    </w:rPr>
                  </w:pPr>
                  <w:r>
                    <w:rPr>
                      <w:color w:val="auto"/>
                      <w:kern w:val="0"/>
                      <w:sz w:val="18"/>
                      <w:szCs w:val="18"/>
                      <w:lang w:bidi="ar"/>
                    </w:rPr>
                    <w:t>158</w:t>
                  </w:r>
                </w:p>
              </w:tc>
              <w:tc>
                <w:tcPr>
                  <w:tcW w:w="295" w:type="pct"/>
                  <w:shd w:val="clear" w:color="auto" w:fill="auto"/>
                  <w:vAlign w:val="center"/>
                </w:tcPr>
                <w:p w14:paraId="25536131">
                  <w:pPr>
                    <w:widowControl/>
                    <w:jc w:val="center"/>
                    <w:textAlignment w:val="center"/>
                    <w:rPr>
                      <w:rFonts w:hint="default" w:ascii="Times New Roman" w:hAnsi="Times New Roman" w:eastAsia="宋体" w:cs="Times New Roman"/>
                      <w:bCs/>
                      <w:color w:val="auto"/>
                      <w:kern w:val="0"/>
                      <w:sz w:val="18"/>
                      <w:szCs w:val="18"/>
                      <w:lang w:val="en-US" w:eastAsia="zh-CN" w:bidi="en-US"/>
                    </w:rPr>
                  </w:pPr>
                  <w:r>
                    <w:rPr>
                      <w:color w:val="auto"/>
                      <w:kern w:val="0"/>
                      <w:sz w:val="18"/>
                      <w:szCs w:val="18"/>
                      <w:lang w:bidi="ar"/>
                    </w:rPr>
                    <w:t>59</w:t>
                  </w:r>
                </w:p>
              </w:tc>
              <w:tc>
                <w:tcPr>
                  <w:tcW w:w="310" w:type="pct"/>
                  <w:shd w:val="clear" w:color="auto" w:fill="auto"/>
                  <w:vAlign w:val="center"/>
                </w:tcPr>
                <w:p w14:paraId="5224E8BB">
                  <w:pPr>
                    <w:widowControl/>
                    <w:adjustRightInd w:val="0"/>
                    <w:snapToGrid w:val="0"/>
                    <w:jc w:val="center"/>
                    <w:rPr>
                      <w:rFonts w:hint="default" w:ascii="Times New Roman" w:hAnsi="Times New Roman" w:eastAsia="宋体" w:cs="Times New Roman"/>
                      <w:bCs/>
                      <w:color w:val="auto"/>
                      <w:kern w:val="0"/>
                      <w:sz w:val="18"/>
                      <w:szCs w:val="18"/>
                      <w:lang w:val="en-US" w:eastAsia="zh-CN" w:bidi="en-US"/>
                    </w:rPr>
                  </w:pPr>
                  <w:r>
                    <w:rPr>
                      <w:rFonts w:hint="eastAsia"/>
                      <w:bCs/>
                      <w:color w:val="auto"/>
                      <w:kern w:val="0"/>
                      <w:sz w:val="18"/>
                      <w:szCs w:val="18"/>
                      <w:lang w:bidi="en-US"/>
                    </w:rPr>
                    <w:t>1.5</w:t>
                  </w:r>
                </w:p>
              </w:tc>
              <w:tc>
                <w:tcPr>
                  <w:tcW w:w="343" w:type="pct"/>
                  <w:shd w:val="clear" w:color="auto" w:fill="auto"/>
                  <w:vAlign w:val="center"/>
                </w:tcPr>
                <w:p w14:paraId="0C20CAEC">
                  <w:pPr>
                    <w:widowControl/>
                    <w:adjustRightInd w:val="0"/>
                    <w:snapToGrid w:val="0"/>
                    <w:jc w:val="center"/>
                    <w:rPr>
                      <w:rFonts w:hint="default" w:ascii="Times New Roman" w:hAnsi="Times New Roman" w:eastAsia="宋体" w:cs="Times New Roman"/>
                      <w:bCs/>
                      <w:color w:val="auto"/>
                      <w:kern w:val="0"/>
                      <w:sz w:val="18"/>
                      <w:szCs w:val="18"/>
                      <w:lang w:val="en-US" w:eastAsia="zh-CN" w:bidi="en-US"/>
                    </w:rPr>
                  </w:pPr>
                  <w:r>
                    <w:rPr>
                      <w:rFonts w:hint="eastAsia"/>
                      <w:bCs/>
                      <w:color w:val="auto"/>
                      <w:kern w:val="0"/>
                      <w:sz w:val="18"/>
                      <w:szCs w:val="18"/>
                      <w:lang w:val="en-US" w:eastAsia="zh-CN" w:bidi="en-US"/>
                    </w:rPr>
                    <w:t>东</w:t>
                  </w:r>
                  <w:r>
                    <w:rPr>
                      <w:rFonts w:hint="eastAsia"/>
                      <w:bCs/>
                      <w:color w:val="auto"/>
                      <w:kern w:val="0"/>
                      <w:sz w:val="18"/>
                      <w:szCs w:val="18"/>
                      <w:lang w:bidi="en-US"/>
                    </w:rPr>
                    <w:t>5</w:t>
                  </w:r>
                </w:p>
              </w:tc>
              <w:tc>
                <w:tcPr>
                  <w:tcW w:w="353" w:type="pct"/>
                  <w:shd w:val="clear" w:color="auto" w:fill="auto"/>
                  <w:vAlign w:val="center"/>
                </w:tcPr>
                <w:p w14:paraId="67EC741B">
                  <w:pPr>
                    <w:widowControl/>
                    <w:jc w:val="center"/>
                    <w:textAlignment w:val="bottom"/>
                    <w:rPr>
                      <w:rFonts w:hint="default" w:ascii="Times New Roman" w:hAnsi="Times New Roman" w:eastAsia="宋体" w:cs="Times New Roman"/>
                      <w:bCs/>
                      <w:color w:val="auto"/>
                      <w:kern w:val="0"/>
                      <w:sz w:val="18"/>
                      <w:szCs w:val="18"/>
                      <w:lang w:val="en-US" w:eastAsia="zh-CN" w:bidi="en-US"/>
                    </w:rPr>
                  </w:pPr>
                  <w:r>
                    <w:rPr>
                      <w:rFonts w:eastAsia="等线"/>
                      <w:color w:val="auto"/>
                      <w:kern w:val="0"/>
                      <w:sz w:val="18"/>
                      <w:szCs w:val="18"/>
                      <w:lang w:bidi="ar"/>
                    </w:rPr>
                    <w:t>71.0</w:t>
                  </w:r>
                </w:p>
              </w:tc>
              <w:tc>
                <w:tcPr>
                  <w:tcW w:w="433" w:type="pct"/>
                  <w:vMerge w:val="continue"/>
                  <w:shd w:val="clear" w:color="auto" w:fill="auto"/>
                  <w:vAlign w:val="center"/>
                </w:tcPr>
                <w:p w14:paraId="715C80E7">
                  <w:pPr>
                    <w:widowControl/>
                    <w:adjustRightInd w:val="0"/>
                    <w:snapToGrid w:val="0"/>
                    <w:jc w:val="center"/>
                    <w:rPr>
                      <w:rFonts w:hint="default" w:ascii="Times New Roman" w:hAnsi="Times New Roman" w:eastAsia="宋体" w:cs="Times New Roman"/>
                      <w:bCs/>
                      <w:color w:val="auto"/>
                      <w:kern w:val="0"/>
                      <w:sz w:val="18"/>
                      <w:szCs w:val="18"/>
                      <w:lang w:val="en-US" w:eastAsia="zh-CN" w:bidi="en-US"/>
                    </w:rPr>
                  </w:pPr>
                </w:p>
              </w:tc>
              <w:tc>
                <w:tcPr>
                  <w:tcW w:w="343" w:type="pct"/>
                  <w:shd w:val="clear" w:color="auto" w:fill="auto"/>
                  <w:vAlign w:val="center"/>
                </w:tcPr>
                <w:p w14:paraId="54E4F349">
                  <w:pPr>
                    <w:widowControl/>
                    <w:adjustRightInd w:val="0"/>
                    <w:snapToGrid w:val="0"/>
                    <w:jc w:val="center"/>
                    <w:rPr>
                      <w:rFonts w:hint="default" w:ascii="Times New Roman" w:hAnsi="Times New Roman" w:eastAsia="宋体" w:cs="Times New Roman"/>
                      <w:bCs/>
                      <w:color w:val="auto"/>
                      <w:kern w:val="0"/>
                      <w:sz w:val="18"/>
                      <w:szCs w:val="18"/>
                      <w:lang w:val="en-US" w:eastAsia="zh-CN" w:bidi="en-US"/>
                    </w:rPr>
                  </w:pPr>
                  <w:r>
                    <w:rPr>
                      <w:rFonts w:hint="eastAsia"/>
                      <w:bCs/>
                      <w:color w:val="auto"/>
                      <w:kern w:val="0"/>
                      <w:sz w:val="18"/>
                      <w:szCs w:val="18"/>
                      <w:lang w:bidi="en-US"/>
                    </w:rPr>
                    <w:t>2</w:t>
                  </w:r>
                  <w:r>
                    <w:rPr>
                      <w:bCs/>
                      <w:color w:val="auto"/>
                      <w:kern w:val="0"/>
                      <w:sz w:val="18"/>
                      <w:szCs w:val="18"/>
                      <w:lang w:bidi="en-US"/>
                    </w:rPr>
                    <w:t>5</w:t>
                  </w:r>
                </w:p>
              </w:tc>
              <w:tc>
                <w:tcPr>
                  <w:tcW w:w="416" w:type="pct"/>
                  <w:shd w:val="clear" w:color="auto" w:fill="auto"/>
                  <w:vAlign w:val="center"/>
                </w:tcPr>
                <w:p w14:paraId="06C5015E">
                  <w:pPr>
                    <w:widowControl/>
                    <w:jc w:val="center"/>
                    <w:textAlignment w:val="center"/>
                    <w:rPr>
                      <w:rFonts w:hint="default" w:ascii="Times New Roman" w:hAnsi="Times New Roman" w:eastAsia="宋体" w:cs="Times New Roman"/>
                      <w:bCs/>
                      <w:color w:val="auto"/>
                      <w:kern w:val="0"/>
                      <w:sz w:val="18"/>
                      <w:szCs w:val="18"/>
                      <w:lang w:val="en-US" w:eastAsia="zh-CN" w:bidi="en-US"/>
                    </w:rPr>
                  </w:pPr>
                  <w:r>
                    <w:rPr>
                      <w:rFonts w:eastAsia="等线"/>
                      <w:color w:val="auto"/>
                      <w:kern w:val="0"/>
                      <w:sz w:val="18"/>
                      <w:szCs w:val="18"/>
                      <w:lang w:bidi="ar"/>
                    </w:rPr>
                    <w:t>46.0</w:t>
                  </w:r>
                </w:p>
              </w:tc>
              <w:tc>
                <w:tcPr>
                  <w:tcW w:w="329" w:type="pct"/>
                  <w:vMerge w:val="continue"/>
                  <w:vAlign w:val="center"/>
                </w:tcPr>
                <w:p w14:paraId="33F559D9">
                  <w:pPr>
                    <w:widowControl/>
                    <w:jc w:val="center"/>
                    <w:textAlignment w:val="center"/>
                    <w:rPr>
                      <w:rFonts w:hint="eastAsia" w:ascii="宋体" w:hAnsi="宋体" w:eastAsia="宋体" w:cs="宋体"/>
                      <w:color w:val="auto"/>
                      <w:kern w:val="0"/>
                      <w:szCs w:val="21"/>
                      <w:lang w:bidi="ar"/>
                    </w:rPr>
                  </w:pPr>
                </w:p>
              </w:tc>
            </w:tr>
            <w:tr w14:paraId="18F570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33" w:type="pct"/>
                  <w:shd w:val="clear" w:color="auto" w:fill="auto"/>
                  <w:vAlign w:val="center"/>
                </w:tcPr>
                <w:p w14:paraId="283EA8E2">
                  <w:pPr>
                    <w:widowControl/>
                    <w:adjustRightInd w:val="0"/>
                    <w:snapToGrid w:val="0"/>
                    <w:jc w:val="center"/>
                    <w:rPr>
                      <w:rFonts w:hint="default" w:ascii="Times New Roman" w:hAnsi="Times New Roman" w:eastAsia="等线" w:cs="Times New Roman"/>
                      <w:color w:val="auto"/>
                      <w:kern w:val="2"/>
                      <w:sz w:val="18"/>
                      <w:szCs w:val="18"/>
                      <w:lang w:val="en-US" w:eastAsia="zh-CN" w:bidi="ar-SA"/>
                    </w:rPr>
                  </w:pPr>
                  <w:r>
                    <w:rPr>
                      <w:rFonts w:hint="default" w:ascii="Times New Roman" w:hAnsi="Times New Roman" w:eastAsia="等线" w:cs="Times New Roman"/>
                      <w:color w:val="auto"/>
                      <w:sz w:val="18"/>
                      <w:szCs w:val="18"/>
                    </w:rPr>
                    <w:t>9</w:t>
                  </w:r>
                </w:p>
              </w:tc>
              <w:tc>
                <w:tcPr>
                  <w:tcW w:w="656" w:type="pct"/>
                  <w:vAlign w:val="center"/>
                </w:tcPr>
                <w:p w14:paraId="466611B7">
                  <w:pPr>
                    <w:widowControl/>
                    <w:jc w:val="center"/>
                    <w:textAlignment w:val="center"/>
                    <w:rPr>
                      <w:rFonts w:hint="default" w:ascii="Times New Roman" w:hAnsi="Times New Roman" w:eastAsia="宋体" w:cs="Times New Roman"/>
                      <w:color w:val="auto"/>
                      <w:kern w:val="0"/>
                      <w:sz w:val="18"/>
                      <w:szCs w:val="18"/>
                      <w:lang w:eastAsia="zh-CN" w:bidi="ar"/>
                    </w:rPr>
                  </w:pPr>
                  <w:r>
                    <w:rPr>
                      <w:rFonts w:hint="default" w:ascii="Times New Roman" w:hAnsi="Times New Roman" w:eastAsia="宋体" w:cs="Times New Roman"/>
                      <w:color w:val="auto"/>
                      <w:kern w:val="0"/>
                      <w:sz w:val="18"/>
                      <w:szCs w:val="18"/>
                      <w:lang w:eastAsia="zh-CN" w:bidi="ar"/>
                    </w:rPr>
                    <w:t>蒸烤机</w:t>
                  </w:r>
                </w:p>
              </w:tc>
              <w:tc>
                <w:tcPr>
                  <w:tcW w:w="263" w:type="pct"/>
                  <w:vAlign w:val="center"/>
                </w:tcPr>
                <w:p w14:paraId="260612B9">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3</w:t>
                  </w:r>
                </w:p>
              </w:tc>
              <w:tc>
                <w:tcPr>
                  <w:tcW w:w="434" w:type="pct"/>
                  <w:shd w:val="clear" w:color="auto" w:fill="auto"/>
                  <w:vAlign w:val="center"/>
                </w:tcPr>
                <w:p w14:paraId="5E23DE6A">
                  <w:pPr>
                    <w:widowControl/>
                    <w:jc w:val="center"/>
                    <w:textAlignment w:val="center"/>
                    <w:rPr>
                      <w:rFonts w:hint="default" w:ascii="Times New Roman" w:hAnsi="Times New Roman" w:eastAsia="宋体" w:cs="Times New Roman"/>
                      <w:bCs/>
                      <w:color w:val="auto"/>
                      <w:kern w:val="2"/>
                      <w:sz w:val="18"/>
                      <w:szCs w:val="18"/>
                      <w:lang w:val="en-US" w:eastAsia="zh-CN" w:bidi="ar-SA"/>
                    </w:rPr>
                  </w:pPr>
                  <w:r>
                    <w:rPr>
                      <w:rFonts w:hint="eastAsia"/>
                      <w:color w:val="auto"/>
                      <w:kern w:val="0"/>
                      <w:sz w:val="18"/>
                      <w:szCs w:val="18"/>
                      <w:lang w:val="en-US" w:eastAsia="zh-CN" w:bidi="ar"/>
                    </w:rPr>
                    <w:t>70~</w:t>
                  </w:r>
                  <w:r>
                    <w:rPr>
                      <w:color w:val="auto"/>
                      <w:kern w:val="0"/>
                      <w:sz w:val="18"/>
                      <w:szCs w:val="18"/>
                      <w:lang w:bidi="ar"/>
                    </w:rPr>
                    <w:t>80</w:t>
                  </w:r>
                  <w:r>
                    <w:rPr>
                      <w:rFonts w:hint="default"/>
                      <w:bCs/>
                      <w:color w:val="auto"/>
                      <w:kern w:val="0"/>
                      <w:sz w:val="18"/>
                      <w:szCs w:val="18"/>
                      <w:lang w:bidi="en-US"/>
                    </w:rPr>
                    <w:t>/1</w:t>
                  </w:r>
                </w:p>
              </w:tc>
              <w:tc>
                <w:tcPr>
                  <w:tcW w:w="293" w:type="pct"/>
                  <w:vMerge w:val="continue"/>
                  <w:shd w:val="clear" w:color="auto" w:fill="auto"/>
                  <w:vAlign w:val="center"/>
                </w:tcPr>
                <w:p w14:paraId="7CC4ADDC">
                  <w:pPr>
                    <w:adjustRightInd w:val="0"/>
                    <w:snapToGrid w:val="0"/>
                    <w:jc w:val="center"/>
                    <w:rPr>
                      <w:rFonts w:hint="default" w:ascii="Times New Roman" w:hAnsi="Times New Roman" w:eastAsia="宋体" w:cs="Times New Roman"/>
                      <w:b/>
                      <w:bCs/>
                      <w:color w:val="auto"/>
                      <w:kern w:val="0"/>
                      <w:sz w:val="18"/>
                      <w:szCs w:val="18"/>
                      <w:lang w:val="en-US" w:eastAsia="zh-CN" w:bidi="en-US"/>
                    </w:rPr>
                  </w:pPr>
                </w:p>
              </w:tc>
              <w:tc>
                <w:tcPr>
                  <w:tcW w:w="293" w:type="pct"/>
                  <w:shd w:val="clear" w:color="auto" w:fill="auto"/>
                  <w:vAlign w:val="center"/>
                </w:tcPr>
                <w:p w14:paraId="7FAA61D1">
                  <w:pPr>
                    <w:widowControl/>
                    <w:jc w:val="center"/>
                    <w:textAlignment w:val="center"/>
                    <w:rPr>
                      <w:rFonts w:hint="default" w:ascii="Times New Roman" w:hAnsi="Times New Roman" w:eastAsia="宋体" w:cs="Times New Roman"/>
                      <w:bCs/>
                      <w:color w:val="auto"/>
                      <w:kern w:val="0"/>
                      <w:sz w:val="18"/>
                      <w:szCs w:val="18"/>
                      <w:lang w:val="en-US" w:eastAsia="zh-CN" w:bidi="en-US"/>
                    </w:rPr>
                  </w:pPr>
                  <w:r>
                    <w:rPr>
                      <w:color w:val="auto"/>
                      <w:kern w:val="0"/>
                      <w:sz w:val="18"/>
                      <w:szCs w:val="18"/>
                      <w:lang w:bidi="ar"/>
                    </w:rPr>
                    <w:t>126</w:t>
                  </w:r>
                </w:p>
              </w:tc>
              <w:tc>
                <w:tcPr>
                  <w:tcW w:w="295" w:type="pct"/>
                  <w:shd w:val="clear" w:color="auto" w:fill="auto"/>
                  <w:vAlign w:val="center"/>
                </w:tcPr>
                <w:p w14:paraId="51E864CF">
                  <w:pPr>
                    <w:widowControl/>
                    <w:jc w:val="center"/>
                    <w:textAlignment w:val="center"/>
                    <w:rPr>
                      <w:rFonts w:hint="default" w:ascii="Times New Roman" w:hAnsi="Times New Roman" w:eastAsia="宋体" w:cs="Times New Roman"/>
                      <w:bCs/>
                      <w:color w:val="auto"/>
                      <w:kern w:val="0"/>
                      <w:sz w:val="18"/>
                      <w:szCs w:val="18"/>
                      <w:lang w:val="en-US" w:eastAsia="zh-CN" w:bidi="en-US"/>
                    </w:rPr>
                  </w:pPr>
                  <w:r>
                    <w:rPr>
                      <w:color w:val="auto"/>
                      <w:kern w:val="0"/>
                      <w:sz w:val="18"/>
                      <w:szCs w:val="18"/>
                      <w:lang w:bidi="ar"/>
                    </w:rPr>
                    <w:t>45</w:t>
                  </w:r>
                </w:p>
              </w:tc>
              <w:tc>
                <w:tcPr>
                  <w:tcW w:w="310" w:type="pct"/>
                  <w:shd w:val="clear" w:color="auto" w:fill="auto"/>
                  <w:vAlign w:val="center"/>
                </w:tcPr>
                <w:p w14:paraId="6FA8BCDB">
                  <w:pPr>
                    <w:widowControl/>
                    <w:adjustRightInd w:val="0"/>
                    <w:snapToGrid w:val="0"/>
                    <w:jc w:val="center"/>
                    <w:rPr>
                      <w:rFonts w:hint="default" w:ascii="Times New Roman" w:hAnsi="Times New Roman" w:eastAsia="宋体" w:cs="Times New Roman"/>
                      <w:bCs/>
                      <w:color w:val="auto"/>
                      <w:kern w:val="0"/>
                      <w:sz w:val="18"/>
                      <w:szCs w:val="18"/>
                      <w:lang w:val="en-US" w:eastAsia="zh-CN" w:bidi="en-US"/>
                    </w:rPr>
                  </w:pPr>
                  <w:r>
                    <w:rPr>
                      <w:rFonts w:hint="eastAsia"/>
                      <w:bCs/>
                      <w:color w:val="auto"/>
                      <w:kern w:val="0"/>
                      <w:sz w:val="18"/>
                      <w:szCs w:val="18"/>
                      <w:lang w:bidi="en-US"/>
                    </w:rPr>
                    <w:t>1.5</w:t>
                  </w:r>
                </w:p>
              </w:tc>
              <w:tc>
                <w:tcPr>
                  <w:tcW w:w="343" w:type="pct"/>
                  <w:shd w:val="clear" w:color="auto" w:fill="auto"/>
                  <w:vAlign w:val="center"/>
                </w:tcPr>
                <w:p w14:paraId="2FF0BF47">
                  <w:pPr>
                    <w:widowControl/>
                    <w:adjustRightInd w:val="0"/>
                    <w:snapToGrid w:val="0"/>
                    <w:jc w:val="center"/>
                    <w:rPr>
                      <w:rFonts w:hint="default" w:ascii="Times New Roman" w:hAnsi="Times New Roman" w:eastAsia="宋体" w:cs="Times New Roman"/>
                      <w:bCs/>
                      <w:color w:val="auto"/>
                      <w:kern w:val="0"/>
                      <w:sz w:val="18"/>
                      <w:szCs w:val="18"/>
                      <w:lang w:val="en-US" w:eastAsia="zh-CN" w:bidi="en-US"/>
                    </w:rPr>
                  </w:pPr>
                  <w:r>
                    <w:rPr>
                      <w:rFonts w:hint="eastAsia"/>
                      <w:bCs/>
                      <w:color w:val="auto"/>
                      <w:kern w:val="0"/>
                      <w:sz w:val="18"/>
                      <w:szCs w:val="18"/>
                      <w:lang w:val="en-US" w:eastAsia="zh-CN" w:bidi="en-US"/>
                    </w:rPr>
                    <w:t>西</w:t>
                  </w:r>
                  <w:r>
                    <w:rPr>
                      <w:rFonts w:hint="eastAsia"/>
                      <w:bCs/>
                      <w:color w:val="auto"/>
                      <w:kern w:val="0"/>
                      <w:sz w:val="18"/>
                      <w:szCs w:val="18"/>
                      <w:lang w:bidi="en-US"/>
                    </w:rPr>
                    <w:t>25</w:t>
                  </w:r>
                </w:p>
              </w:tc>
              <w:tc>
                <w:tcPr>
                  <w:tcW w:w="353" w:type="pct"/>
                  <w:shd w:val="clear" w:color="auto" w:fill="auto"/>
                  <w:vAlign w:val="center"/>
                </w:tcPr>
                <w:p w14:paraId="739FF050">
                  <w:pPr>
                    <w:widowControl/>
                    <w:jc w:val="center"/>
                    <w:textAlignment w:val="bottom"/>
                    <w:rPr>
                      <w:rFonts w:hint="default" w:ascii="Times New Roman" w:hAnsi="Times New Roman" w:eastAsia="宋体" w:cs="Times New Roman"/>
                      <w:bCs/>
                      <w:color w:val="auto"/>
                      <w:kern w:val="0"/>
                      <w:sz w:val="18"/>
                      <w:szCs w:val="18"/>
                      <w:lang w:val="en-US" w:eastAsia="zh-CN" w:bidi="en-US"/>
                    </w:rPr>
                  </w:pPr>
                  <w:r>
                    <w:rPr>
                      <w:rFonts w:eastAsia="等线"/>
                      <w:color w:val="auto"/>
                      <w:kern w:val="0"/>
                      <w:sz w:val="18"/>
                      <w:szCs w:val="18"/>
                      <w:lang w:bidi="ar"/>
                    </w:rPr>
                    <w:t>52.0</w:t>
                  </w:r>
                </w:p>
              </w:tc>
              <w:tc>
                <w:tcPr>
                  <w:tcW w:w="433" w:type="pct"/>
                  <w:vMerge w:val="continue"/>
                  <w:shd w:val="clear" w:color="auto" w:fill="auto"/>
                  <w:vAlign w:val="center"/>
                </w:tcPr>
                <w:p w14:paraId="7ABD5778">
                  <w:pPr>
                    <w:widowControl/>
                    <w:adjustRightInd w:val="0"/>
                    <w:snapToGrid w:val="0"/>
                    <w:jc w:val="center"/>
                    <w:rPr>
                      <w:rFonts w:hint="default" w:ascii="Times New Roman" w:hAnsi="Times New Roman" w:eastAsia="宋体" w:cs="Times New Roman"/>
                      <w:bCs/>
                      <w:color w:val="auto"/>
                      <w:kern w:val="0"/>
                      <w:sz w:val="18"/>
                      <w:szCs w:val="18"/>
                      <w:lang w:val="en-US" w:eastAsia="zh-CN" w:bidi="en-US"/>
                    </w:rPr>
                  </w:pPr>
                </w:p>
              </w:tc>
              <w:tc>
                <w:tcPr>
                  <w:tcW w:w="343" w:type="pct"/>
                  <w:shd w:val="clear" w:color="auto" w:fill="auto"/>
                  <w:vAlign w:val="center"/>
                </w:tcPr>
                <w:p w14:paraId="14BFC954">
                  <w:pPr>
                    <w:widowControl/>
                    <w:adjustRightInd w:val="0"/>
                    <w:snapToGrid w:val="0"/>
                    <w:jc w:val="center"/>
                    <w:rPr>
                      <w:rFonts w:hint="default" w:ascii="Times New Roman" w:hAnsi="Times New Roman" w:eastAsia="宋体" w:cs="Times New Roman"/>
                      <w:bCs/>
                      <w:color w:val="auto"/>
                      <w:kern w:val="0"/>
                      <w:sz w:val="18"/>
                      <w:szCs w:val="18"/>
                      <w:lang w:val="en-US" w:eastAsia="zh-CN" w:bidi="en-US"/>
                    </w:rPr>
                  </w:pPr>
                  <w:r>
                    <w:rPr>
                      <w:rFonts w:hint="eastAsia"/>
                      <w:bCs/>
                      <w:color w:val="auto"/>
                      <w:kern w:val="0"/>
                      <w:sz w:val="18"/>
                      <w:szCs w:val="18"/>
                      <w:lang w:bidi="en-US"/>
                    </w:rPr>
                    <w:t>2</w:t>
                  </w:r>
                  <w:r>
                    <w:rPr>
                      <w:bCs/>
                      <w:color w:val="auto"/>
                      <w:kern w:val="0"/>
                      <w:sz w:val="18"/>
                      <w:szCs w:val="18"/>
                      <w:lang w:bidi="en-US"/>
                    </w:rPr>
                    <w:t>5</w:t>
                  </w:r>
                </w:p>
              </w:tc>
              <w:tc>
                <w:tcPr>
                  <w:tcW w:w="416" w:type="pct"/>
                  <w:shd w:val="clear" w:color="auto" w:fill="auto"/>
                  <w:vAlign w:val="center"/>
                </w:tcPr>
                <w:p w14:paraId="2C4BA878">
                  <w:pPr>
                    <w:widowControl/>
                    <w:jc w:val="center"/>
                    <w:textAlignment w:val="center"/>
                    <w:rPr>
                      <w:rFonts w:hint="default" w:ascii="Times New Roman" w:hAnsi="Times New Roman" w:eastAsia="宋体" w:cs="Times New Roman"/>
                      <w:bCs/>
                      <w:color w:val="auto"/>
                      <w:kern w:val="0"/>
                      <w:sz w:val="18"/>
                      <w:szCs w:val="18"/>
                      <w:lang w:val="en-US" w:eastAsia="zh-CN" w:bidi="en-US"/>
                    </w:rPr>
                  </w:pPr>
                  <w:r>
                    <w:rPr>
                      <w:rFonts w:eastAsia="等线"/>
                      <w:color w:val="auto"/>
                      <w:kern w:val="0"/>
                      <w:sz w:val="18"/>
                      <w:szCs w:val="18"/>
                      <w:lang w:bidi="ar"/>
                    </w:rPr>
                    <w:t>27.0</w:t>
                  </w:r>
                </w:p>
              </w:tc>
              <w:tc>
                <w:tcPr>
                  <w:tcW w:w="329" w:type="pct"/>
                  <w:vMerge w:val="continue"/>
                  <w:vAlign w:val="center"/>
                </w:tcPr>
                <w:p w14:paraId="01C1C3AA">
                  <w:pPr>
                    <w:widowControl/>
                    <w:jc w:val="center"/>
                    <w:textAlignment w:val="center"/>
                    <w:rPr>
                      <w:rFonts w:hint="eastAsia" w:ascii="宋体" w:hAnsi="宋体" w:eastAsia="宋体" w:cs="宋体"/>
                      <w:color w:val="auto"/>
                      <w:kern w:val="0"/>
                      <w:szCs w:val="21"/>
                      <w:lang w:bidi="ar"/>
                    </w:rPr>
                  </w:pPr>
                </w:p>
              </w:tc>
            </w:tr>
            <w:tr w14:paraId="1950A7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33" w:type="pct"/>
                  <w:shd w:val="clear" w:color="auto" w:fill="auto"/>
                  <w:vAlign w:val="center"/>
                </w:tcPr>
                <w:p w14:paraId="2C8CE2B4">
                  <w:pPr>
                    <w:widowControl/>
                    <w:adjustRightInd w:val="0"/>
                    <w:snapToGrid w:val="0"/>
                    <w:jc w:val="center"/>
                    <w:rPr>
                      <w:rFonts w:hint="default" w:ascii="Times New Roman" w:hAnsi="Times New Roman" w:eastAsia="等线" w:cs="Times New Roman"/>
                      <w:color w:val="auto"/>
                      <w:kern w:val="2"/>
                      <w:sz w:val="18"/>
                      <w:szCs w:val="18"/>
                      <w:lang w:val="en-US" w:eastAsia="zh-CN" w:bidi="ar-SA"/>
                    </w:rPr>
                  </w:pPr>
                  <w:r>
                    <w:rPr>
                      <w:rFonts w:hint="default" w:ascii="Times New Roman" w:hAnsi="Times New Roman" w:eastAsia="等线" w:cs="Times New Roman"/>
                      <w:color w:val="auto"/>
                      <w:sz w:val="18"/>
                      <w:szCs w:val="18"/>
                    </w:rPr>
                    <w:t>10</w:t>
                  </w:r>
                </w:p>
              </w:tc>
              <w:tc>
                <w:tcPr>
                  <w:tcW w:w="656" w:type="pct"/>
                  <w:vAlign w:val="center"/>
                </w:tcPr>
                <w:p w14:paraId="12C576E5">
                  <w:pPr>
                    <w:widowControl/>
                    <w:jc w:val="center"/>
                    <w:textAlignment w:val="center"/>
                    <w:rPr>
                      <w:rFonts w:hint="default" w:ascii="Times New Roman" w:hAnsi="Times New Roman" w:eastAsia="宋体" w:cs="Times New Roman"/>
                      <w:color w:val="auto"/>
                      <w:kern w:val="0"/>
                      <w:sz w:val="18"/>
                      <w:szCs w:val="18"/>
                      <w:lang w:eastAsia="zh-CN" w:bidi="ar"/>
                    </w:rPr>
                  </w:pPr>
                  <w:r>
                    <w:rPr>
                      <w:rFonts w:hint="default" w:ascii="Times New Roman" w:hAnsi="Times New Roman" w:eastAsia="宋体" w:cs="Times New Roman"/>
                      <w:color w:val="auto"/>
                      <w:kern w:val="0"/>
                      <w:sz w:val="18"/>
                      <w:szCs w:val="18"/>
                      <w:lang w:eastAsia="zh-CN" w:bidi="ar"/>
                    </w:rPr>
                    <w:t>给袋式包装灌装机</w:t>
                  </w:r>
                </w:p>
              </w:tc>
              <w:tc>
                <w:tcPr>
                  <w:tcW w:w="263" w:type="pct"/>
                  <w:vAlign w:val="center"/>
                </w:tcPr>
                <w:p w14:paraId="549CB9CD">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1</w:t>
                  </w:r>
                </w:p>
              </w:tc>
              <w:tc>
                <w:tcPr>
                  <w:tcW w:w="434" w:type="pct"/>
                  <w:shd w:val="clear" w:color="auto" w:fill="auto"/>
                  <w:vAlign w:val="center"/>
                </w:tcPr>
                <w:p w14:paraId="7D515FE1">
                  <w:pPr>
                    <w:widowControl/>
                    <w:jc w:val="center"/>
                    <w:textAlignment w:val="center"/>
                    <w:rPr>
                      <w:rFonts w:hint="default" w:ascii="Times New Roman" w:hAnsi="Times New Roman" w:eastAsia="宋体" w:cs="Times New Roman"/>
                      <w:bCs/>
                      <w:color w:val="auto"/>
                      <w:kern w:val="0"/>
                      <w:sz w:val="18"/>
                      <w:szCs w:val="18"/>
                      <w:lang w:val="en-US" w:eastAsia="zh-CN" w:bidi="en-US"/>
                    </w:rPr>
                  </w:pPr>
                  <w:r>
                    <w:rPr>
                      <w:rFonts w:hint="eastAsia"/>
                      <w:color w:val="auto"/>
                      <w:kern w:val="0"/>
                      <w:sz w:val="18"/>
                      <w:szCs w:val="18"/>
                      <w:lang w:val="en-US" w:eastAsia="zh-CN" w:bidi="ar"/>
                    </w:rPr>
                    <w:t>70~</w:t>
                  </w:r>
                  <w:r>
                    <w:rPr>
                      <w:color w:val="auto"/>
                      <w:kern w:val="0"/>
                      <w:sz w:val="18"/>
                      <w:szCs w:val="18"/>
                      <w:lang w:bidi="ar"/>
                    </w:rPr>
                    <w:t>80</w:t>
                  </w:r>
                  <w:r>
                    <w:rPr>
                      <w:rFonts w:hint="default"/>
                      <w:bCs/>
                      <w:color w:val="auto"/>
                      <w:kern w:val="0"/>
                      <w:sz w:val="18"/>
                      <w:szCs w:val="18"/>
                      <w:lang w:bidi="en-US"/>
                    </w:rPr>
                    <w:t>/1</w:t>
                  </w:r>
                </w:p>
              </w:tc>
              <w:tc>
                <w:tcPr>
                  <w:tcW w:w="293" w:type="pct"/>
                  <w:vMerge w:val="continue"/>
                  <w:shd w:val="clear" w:color="auto" w:fill="auto"/>
                  <w:vAlign w:val="center"/>
                </w:tcPr>
                <w:p w14:paraId="291C97CB">
                  <w:pPr>
                    <w:adjustRightInd w:val="0"/>
                    <w:snapToGrid w:val="0"/>
                    <w:jc w:val="center"/>
                    <w:rPr>
                      <w:rFonts w:hint="default" w:ascii="Times New Roman" w:hAnsi="Times New Roman" w:eastAsia="宋体" w:cs="Times New Roman"/>
                      <w:b/>
                      <w:bCs/>
                      <w:color w:val="auto"/>
                      <w:kern w:val="0"/>
                      <w:sz w:val="18"/>
                      <w:szCs w:val="18"/>
                      <w:lang w:val="en-US" w:eastAsia="zh-CN" w:bidi="en-US"/>
                    </w:rPr>
                  </w:pPr>
                </w:p>
              </w:tc>
              <w:tc>
                <w:tcPr>
                  <w:tcW w:w="293" w:type="pct"/>
                  <w:shd w:val="clear" w:color="auto" w:fill="auto"/>
                  <w:vAlign w:val="center"/>
                </w:tcPr>
                <w:p w14:paraId="3C21A9D7">
                  <w:pPr>
                    <w:widowControl/>
                    <w:jc w:val="center"/>
                    <w:textAlignment w:val="center"/>
                    <w:rPr>
                      <w:rFonts w:hint="default" w:ascii="Times New Roman" w:hAnsi="Times New Roman" w:eastAsia="宋体" w:cs="Times New Roman"/>
                      <w:bCs/>
                      <w:color w:val="auto"/>
                      <w:kern w:val="0"/>
                      <w:sz w:val="18"/>
                      <w:szCs w:val="18"/>
                      <w:lang w:val="en-US" w:eastAsia="zh-CN" w:bidi="en-US"/>
                    </w:rPr>
                  </w:pPr>
                  <w:r>
                    <w:rPr>
                      <w:color w:val="auto"/>
                      <w:kern w:val="0"/>
                      <w:sz w:val="18"/>
                      <w:szCs w:val="18"/>
                      <w:lang w:bidi="ar"/>
                    </w:rPr>
                    <w:t>149</w:t>
                  </w:r>
                </w:p>
              </w:tc>
              <w:tc>
                <w:tcPr>
                  <w:tcW w:w="295" w:type="pct"/>
                  <w:shd w:val="clear" w:color="auto" w:fill="auto"/>
                  <w:vAlign w:val="center"/>
                </w:tcPr>
                <w:p w14:paraId="77C84D90">
                  <w:pPr>
                    <w:widowControl/>
                    <w:jc w:val="center"/>
                    <w:textAlignment w:val="center"/>
                    <w:rPr>
                      <w:rFonts w:hint="default" w:ascii="Times New Roman" w:hAnsi="Times New Roman" w:eastAsia="宋体" w:cs="Times New Roman"/>
                      <w:bCs/>
                      <w:color w:val="auto"/>
                      <w:kern w:val="0"/>
                      <w:sz w:val="18"/>
                      <w:szCs w:val="18"/>
                      <w:lang w:val="en-US" w:eastAsia="zh-CN" w:bidi="en-US"/>
                    </w:rPr>
                  </w:pPr>
                  <w:r>
                    <w:rPr>
                      <w:color w:val="auto"/>
                      <w:kern w:val="0"/>
                      <w:sz w:val="18"/>
                      <w:szCs w:val="18"/>
                      <w:lang w:bidi="ar"/>
                    </w:rPr>
                    <w:t>59</w:t>
                  </w:r>
                </w:p>
              </w:tc>
              <w:tc>
                <w:tcPr>
                  <w:tcW w:w="310" w:type="pct"/>
                  <w:shd w:val="clear" w:color="auto" w:fill="auto"/>
                  <w:vAlign w:val="center"/>
                </w:tcPr>
                <w:p w14:paraId="752BB4E3">
                  <w:pPr>
                    <w:widowControl/>
                    <w:adjustRightInd w:val="0"/>
                    <w:snapToGrid w:val="0"/>
                    <w:jc w:val="center"/>
                    <w:rPr>
                      <w:rFonts w:hint="default" w:ascii="Times New Roman" w:hAnsi="Times New Roman" w:eastAsia="宋体" w:cs="Times New Roman"/>
                      <w:bCs/>
                      <w:color w:val="auto"/>
                      <w:kern w:val="0"/>
                      <w:sz w:val="18"/>
                      <w:szCs w:val="18"/>
                      <w:lang w:val="en-US" w:eastAsia="zh-CN" w:bidi="en-US"/>
                    </w:rPr>
                  </w:pPr>
                  <w:r>
                    <w:rPr>
                      <w:rFonts w:hint="eastAsia"/>
                      <w:bCs/>
                      <w:color w:val="auto"/>
                      <w:kern w:val="0"/>
                      <w:sz w:val="18"/>
                      <w:szCs w:val="18"/>
                      <w:lang w:bidi="en-US"/>
                    </w:rPr>
                    <w:t>1.5</w:t>
                  </w:r>
                </w:p>
              </w:tc>
              <w:tc>
                <w:tcPr>
                  <w:tcW w:w="343" w:type="pct"/>
                  <w:shd w:val="clear" w:color="auto" w:fill="auto"/>
                  <w:vAlign w:val="center"/>
                </w:tcPr>
                <w:p w14:paraId="6AA345B5">
                  <w:pPr>
                    <w:widowControl/>
                    <w:adjustRightInd w:val="0"/>
                    <w:snapToGrid w:val="0"/>
                    <w:jc w:val="center"/>
                    <w:rPr>
                      <w:rFonts w:hint="default" w:ascii="Times New Roman" w:hAnsi="Times New Roman" w:eastAsia="宋体" w:cs="Times New Roman"/>
                      <w:bCs/>
                      <w:color w:val="auto"/>
                      <w:kern w:val="0"/>
                      <w:sz w:val="18"/>
                      <w:szCs w:val="18"/>
                      <w:lang w:val="en-US" w:eastAsia="zh-CN" w:bidi="en-US"/>
                    </w:rPr>
                  </w:pPr>
                  <w:r>
                    <w:rPr>
                      <w:rFonts w:hint="eastAsia"/>
                      <w:bCs/>
                      <w:color w:val="auto"/>
                      <w:kern w:val="0"/>
                      <w:sz w:val="18"/>
                      <w:szCs w:val="18"/>
                      <w:lang w:val="en-US" w:eastAsia="zh-CN" w:bidi="en-US"/>
                    </w:rPr>
                    <w:t>东</w:t>
                  </w:r>
                  <w:r>
                    <w:rPr>
                      <w:rFonts w:hint="eastAsia"/>
                      <w:bCs/>
                      <w:color w:val="auto"/>
                      <w:kern w:val="0"/>
                      <w:sz w:val="18"/>
                      <w:szCs w:val="18"/>
                      <w:lang w:bidi="en-US"/>
                    </w:rPr>
                    <w:t>10</w:t>
                  </w:r>
                </w:p>
              </w:tc>
              <w:tc>
                <w:tcPr>
                  <w:tcW w:w="353" w:type="pct"/>
                  <w:shd w:val="clear" w:color="auto" w:fill="auto"/>
                  <w:vAlign w:val="center"/>
                </w:tcPr>
                <w:p w14:paraId="19D3DF80">
                  <w:pPr>
                    <w:widowControl/>
                    <w:jc w:val="center"/>
                    <w:textAlignment w:val="bottom"/>
                    <w:rPr>
                      <w:rFonts w:hint="default" w:ascii="Times New Roman" w:hAnsi="Times New Roman" w:eastAsia="宋体" w:cs="Times New Roman"/>
                      <w:bCs/>
                      <w:color w:val="auto"/>
                      <w:kern w:val="0"/>
                      <w:sz w:val="18"/>
                      <w:szCs w:val="18"/>
                      <w:lang w:val="en-US" w:eastAsia="zh-CN" w:bidi="en-US"/>
                    </w:rPr>
                  </w:pPr>
                  <w:r>
                    <w:rPr>
                      <w:rFonts w:eastAsia="等线"/>
                      <w:color w:val="auto"/>
                      <w:kern w:val="0"/>
                      <w:sz w:val="18"/>
                      <w:szCs w:val="18"/>
                      <w:lang w:bidi="ar"/>
                    </w:rPr>
                    <w:t>63.0</w:t>
                  </w:r>
                </w:p>
              </w:tc>
              <w:tc>
                <w:tcPr>
                  <w:tcW w:w="433" w:type="pct"/>
                  <w:vMerge w:val="continue"/>
                  <w:shd w:val="clear" w:color="auto" w:fill="auto"/>
                  <w:vAlign w:val="center"/>
                </w:tcPr>
                <w:p w14:paraId="1B936E9C">
                  <w:pPr>
                    <w:widowControl/>
                    <w:adjustRightInd w:val="0"/>
                    <w:snapToGrid w:val="0"/>
                    <w:jc w:val="center"/>
                    <w:rPr>
                      <w:rFonts w:hint="default" w:ascii="Times New Roman" w:hAnsi="Times New Roman" w:eastAsia="宋体" w:cs="Times New Roman"/>
                      <w:bCs/>
                      <w:color w:val="auto"/>
                      <w:kern w:val="0"/>
                      <w:sz w:val="18"/>
                      <w:szCs w:val="18"/>
                      <w:lang w:val="en-US" w:eastAsia="zh-CN" w:bidi="en-US"/>
                    </w:rPr>
                  </w:pPr>
                </w:p>
              </w:tc>
              <w:tc>
                <w:tcPr>
                  <w:tcW w:w="343" w:type="pct"/>
                  <w:shd w:val="clear" w:color="auto" w:fill="auto"/>
                  <w:vAlign w:val="center"/>
                </w:tcPr>
                <w:p w14:paraId="3E0AD574">
                  <w:pPr>
                    <w:widowControl/>
                    <w:adjustRightInd w:val="0"/>
                    <w:snapToGrid w:val="0"/>
                    <w:jc w:val="center"/>
                    <w:rPr>
                      <w:rFonts w:hint="default" w:ascii="Times New Roman" w:hAnsi="Times New Roman" w:eastAsia="宋体" w:cs="Times New Roman"/>
                      <w:bCs/>
                      <w:color w:val="auto"/>
                      <w:kern w:val="0"/>
                      <w:sz w:val="18"/>
                      <w:szCs w:val="18"/>
                      <w:lang w:val="en-US" w:eastAsia="zh-CN" w:bidi="en-US"/>
                    </w:rPr>
                  </w:pPr>
                  <w:r>
                    <w:rPr>
                      <w:rFonts w:hint="eastAsia"/>
                      <w:bCs/>
                      <w:color w:val="auto"/>
                      <w:kern w:val="0"/>
                      <w:sz w:val="18"/>
                      <w:szCs w:val="18"/>
                      <w:lang w:bidi="en-US"/>
                    </w:rPr>
                    <w:t>2</w:t>
                  </w:r>
                  <w:r>
                    <w:rPr>
                      <w:bCs/>
                      <w:color w:val="auto"/>
                      <w:kern w:val="0"/>
                      <w:sz w:val="18"/>
                      <w:szCs w:val="18"/>
                      <w:lang w:bidi="en-US"/>
                    </w:rPr>
                    <w:t>5</w:t>
                  </w:r>
                </w:p>
              </w:tc>
              <w:tc>
                <w:tcPr>
                  <w:tcW w:w="416" w:type="pct"/>
                  <w:shd w:val="clear" w:color="auto" w:fill="auto"/>
                  <w:vAlign w:val="center"/>
                </w:tcPr>
                <w:p w14:paraId="22B55895">
                  <w:pPr>
                    <w:widowControl/>
                    <w:jc w:val="center"/>
                    <w:textAlignment w:val="center"/>
                    <w:rPr>
                      <w:rFonts w:hint="default" w:ascii="Times New Roman" w:hAnsi="Times New Roman" w:eastAsia="宋体" w:cs="Times New Roman"/>
                      <w:bCs/>
                      <w:color w:val="auto"/>
                      <w:kern w:val="0"/>
                      <w:sz w:val="18"/>
                      <w:szCs w:val="18"/>
                      <w:lang w:val="en-US" w:eastAsia="zh-CN" w:bidi="en-US"/>
                    </w:rPr>
                  </w:pPr>
                  <w:r>
                    <w:rPr>
                      <w:rFonts w:eastAsia="等线"/>
                      <w:color w:val="auto"/>
                      <w:kern w:val="0"/>
                      <w:sz w:val="18"/>
                      <w:szCs w:val="18"/>
                      <w:lang w:bidi="ar"/>
                    </w:rPr>
                    <w:t>38.0</w:t>
                  </w:r>
                </w:p>
              </w:tc>
              <w:tc>
                <w:tcPr>
                  <w:tcW w:w="329" w:type="pct"/>
                  <w:vMerge w:val="continue"/>
                  <w:vAlign w:val="center"/>
                </w:tcPr>
                <w:p w14:paraId="6A634653">
                  <w:pPr>
                    <w:widowControl/>
                    <w:jc w:val="center"/>
                    <w:textAlignment w:val="center"/>
                    <w:rPr>
                      <w:rFonts w:hint="eastAsia" w:ascii="宋体" w:hAnsi="宋体" w:eastAsia="宋体" w:cs="宋体"/>
                      <w:color w:val="auto"/>
                      <w:kern w:val="0"/>
                      <w:szCs w:val="21"/>
                      <w:lang w:bidi="ar"/>
                    </w:rPr>
                  </w:pPr>
                </w:p>
              </w:tc>
            </w:tr>
            <w:tr w14:paraId="381A8F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33" w:type="pct"/>
                  <w:shd w:val="clear" w:color="auto" w:fill="auto"/>
                  <w:vAlign w:val="center"/>
                </w:tcPr>
                <w:p w14:paraId="2711B2BF">
                  <w:pPr>
                    <w:widowControl/>
                    <w:adjustRightInd w:val="0"/>
                    <w:snapToGrid w:val="0"/>
                    <w:jc w:val="center"/>
                    <w:rPr>
                      <w:rFonts w:hint="default" w:ascii="Times New Roman" w:hAnsi="Times New Roman" w:eastAsia="等线" w:cs="Times New Roman"/>
                      <w:color w:val="auto"/>
                      <w:kern w:val="2"/>
                      <w:sz w:val="18"/>
                      <w:szCs w:val="18"/>
                      <w:lang w:val="en-US" w:eastAsia="zh-CN" w:bidi="ar-SA"/>
                    </w:rPr>
                  </w:pPr>
                  <w:r>
                    <w:rPr>
                      <w:rFonts w:hint="default" w:ascii="Times New Roman" w:hAnsi="Times New Roman" w:eastAsia="等线" w:cs="Times New Roman"/>
                      <w:color w:val="auto"/>
                      <w:sz w:val="18"/>
                      <w:szCs w:val="18"/>
                    </w:rPr>
                    <w:t>11</w:t>
                  </w:r>
                </w:p>
              </w:tc>
              <w:tc>
                <w:tcPr>
                  <w:tcW w:w="656" w:type="pct"/>
                  <w:vAlign w:val="center"/>
                </w:tcPr>
                <w:p w14:paraId="5D24068F">
                  <w:pPr>
                    <w:widowControl/>
                    <w:jc w:val="center"/>
                    <w:textAlignment w:val="center"/>
                    <w:rPr>
                      <w:rFonts w:hint="default" w:ascii="Times New Roman" w:hAnsi="Times New Roman" w:eastAsia="宋体" w:cs="Times New Roman"/>
                      <w:color w:val="auto"/>
                      <w:kern w:val="0"/>
                      <w:sz w:val="18"/>
                      <w:szCs w:val="18"/>
                      <w:lang w:eastAsia="zh-CN" w:bidi="ar"/>
                    </w:rPr>
                  </w:pPr>
                  <w:r>
                    <w:rPr>
                      <w:rFonts w:hint="default" w:ascii="Times New Roman" w:hAnsi="Times New Roman" w:eastAsia="宋体" w:cs="Times New Roman"/>
                      <w:color w:val="auto"/>
                      <w:kern w:val="0"/>
                      <w:sz w:val="18"/>
                      <w:szCs w:val="18"/>
                      <w:lang w:eastAsia="zh-CN" w:bidi="ar"/>
                    </w:rPr>
                    <w:t>杀菌釜</w:t>
                  </w:r>
                </w:p>
              </w:tc>
              <w:tc>
                <w:tcPr>
                  <w:tcW w:w="263" w:type="pct"/>
                  <w:vAlign w:val="center"/>
                </w:tcPr>
                <w:p w14:paraId="0464AE0D">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3</w:t>
                  </w:r>
                </w:p>
              </w:tc>
              <w:tc>
                <w:tcPr>
                  <w:tcW w:w="434" w:type="pct"/>
                  <w:shd w:val="clear" w:color="auto" w:fill="auto"/>
                  <w:vAlign w:val="center"/>
                </w:tcPr>
                <w:p w14:paraId="61020B56">
                  <w:pPr>
                    <w:widowControl/>
                    <w:jc w:val="center"/>
                    <w:textAlignment w:val="center"/>
                    <w:rPr>
                      <w:rFonts w:hint="default" w:ascii="Times New Roman" w:hAnsi="Times New Roman" w:eastAsia="宋体" w:cs="Times New Roman"/>
                      <w:bCs/>
                      <w:color w:val="auto"/>
                      <w:kern w:val="2"/>
                      <w:sz w:val="18"/>
                      <w:szCs w:val="18"/>
                      <w:lang w:val="en-US" w:eastAsia="zh-CN" w:bidi="ar-SA"/>
                    </w:rPr>
                  </w:pPr>
                  <w:r>
                    <w:rPr>
                      <w:rFonts w:hint="eastAsia"/>
                      <w:color w:val="auto"/>
                      <w:kern w:val="0"/>
                      <w:sz w:val="18"/>
                      <w:szCs w:val="18"/>
                      <w:lang w:val="en-US" w:eastAsia="zh-CN" w:bidi="ar"/>
                    </w:rPr>
                    <w:t>60~</w:t>
                  </w:r>
                  <w:r>
                    <w:rPr>
                      <w:color w:val="auto"/>
                      <w:kern w:val="0"/>
                      <w:sz w:val="18"/>
                      <w:szCs w:val="18"/>
                      <w:lang w:bidi="ar"/>
                    </w:rPr>
                    <w:t>70</w:t>
                  </w:r>
                  <w:r>
                    <w:rPr>
                      <w:rFonts w:hint="default"/>
                      <w:bCs/>
                      <w:color w:val="auto"/>
                      <w:kern w:val="0"/>
                      <w:sz w:val="18"/>
                      <w:szCs w:val="18"/>
                      <w:lang w:bidi="en-US"/>
                    </w:rPr>
                    <w:t>/1</w:t>
                  </w:r>
                </w:p>
              </w:tc>
              <w:tc>
                <w:tcPr>
                  <w:tcW w:w="293" w:type="pct"/>
                  <w:vMerge w:val="continue"/>
                  <w:shd w:val="clear" w:color="auto" w:fill="auto"/>
                  <w:vAlign w:val="center"/>
                </w:tcPr>
                <w:p w14:paraId="27E347C4">
                  <w:pPr>
                    <w:adjustRightInd w:val="0"/>
                    <w:snapToGrid w:val="0"/>
                    <w:jc w:val="center"/>
                    <w:rPr>
                      <w:rFonts w:hint="default" w:ascii="Times New Roman" w:hAnsi="Times New Roman" w:eastAsia="宋体" w:cs="Times New Roman"/>
                      <w:b/>
                      <w:bCs/>
                      <w:color w:val="auto"/>
                      <w:kern w:val="0"/>
                      <w:sz w:val="18"/>
                      <w:szCs w:val="18"/>
                      <w:lang w:val="en-US" w:eastAsia="zh-CN" w:bidi="en-US"/>
                    </w:rPr>
                  </w:pPr>
                </w:p>
              </w:tc>
              <w:tc>
                <w:tcPr>
                  <w:tcW w:w="293" w:type="pct"/>
                  <w:shd w:val="clear" w:color="auto" w:fill="auto"/>
                  <w:vAlign w:val="center"/>
                </w:tcPr>
                <w:p w14:paraId="25BDEFA7">
                  <w:pPr>
                    <w:widowControl/>
                    <w:jc w:val="center"/>
                    <w:textAlignment w:val="center"/>
                    <w:rPr>
                      <w:rFonts w:hint="default" w:ascii="Times New Roman" w:hAnsi="Times New Roman" w:eastAsia="宋体" w:cs="Times New Roman"/>
                      <w:bCs/>
                      <w:color w:val="auto"/>
                      <w:kern w:val="0"/>
                      <w:sz w:val="18"/>
                      <w:szCs w:val="18"/>
                      <w:lang w:val="en-US" w:eastAsia="zh-CN" w:bidi="en-US"/>
                    </w:rPr>
                  </w:pPr>
                  <w:r>
                    <w:rPr>
                      <w:color w:val="auto"/>
                      <w:kern w:val="0"/>
                      <w:sz w:val="18"/>
                      <w:szCs w:val="18"/>
                      <w:lang w:bidi="ar"/>
                    </w:rPr>
                    <w:t>106</w:t>
                  </w:r>
                </w:p>
              </w:tc>
              <w:tc>
                <w:tcPr>
                  <w:tcW w:w="295" w:type="pct"/>
                  <w:shd w:val="clear" w:color="auto" w:fill="auto"/>
                  <w:vAlign w:val="center"/>
                </w:tcPr>
                <w:p w14:paraId="766C2A2F">
                  <w:pPr>
                    <w:widowControl/>
                    <w:jc w:val="center"/>
                    <w:textAlignment w:val="center"/>
                    <w:rPr>
                      <w:rFonts w:hint="default" w:ascii="Times New Roman" w:hAnsi="Times New Roman" w:eastAsia="宋体" w:cs="Times New Roman"/>
                      <w:bCs/>
                      <w:color w:val="auto"/>
                      <w:kern w:val="0"/>
                      <w:sz w:val="18"/>
                      <w:szCs w:val="18"/>
                      <w:lang w:val="en-US" w:eastAsia="zh-CN" w:bidi="en-US"/>
                    </w:rPr>
                  </w:pPr>
                  <w:r>
                    <w:rPr>
                      <w:color w:val="auto"/>
                      <w:kern w:val="0"/>
                      <w:sz w:val="18"/>
                      <w:szCs w:val="18"/>
                      <w:lang w:bidi="ar"/>
                    </w:rPr>
                    <w:t>59</w:t>
                  </w:r>
                </w:p>
              </w:tc>
              <w:tc>
                <w:tcPr>
                  <w:tcW w:w="310" w:type="pct"/>
                  <w:shd w:val="clear" w:color="auto" w:fill="auto"/>
                  <w:vAlign w:val="center"/>
                </w:tcPr>
                <w:p w14:paraId="61F2FD74">
                  <w:pPr>
                    <w:widowControl/>
                    <w:adjustRightInd w:val="0"/>
                    <w:snapToGrid w:val="0"/>
                    <w:jc w:val="center"/>
                    <w:rPr>
                      <w:rFonts w:hint="default" w:ascii="Times New Roman" w:hAnsi="Times New Roman" w:eastAsia="宋体" w:cs="Times New Roman"/>
                      <w:bCs/>
                      <w:color w:val="auto"/>
                      <w:kern w:val="0"/>
                      <w:sz w:val="18"/>
                      <w:szCs w:val="18"/>
                      <w:lang w:val="en-US" w:eastAsia="zh-CN" w:bidi="en-US"/>
                    </w:rPr>
                  </w:pPr>
                  <w:r>
                    <w:rPr>
                      <w:rFonts w:hint="eastAsia"/>
                      <w:bCs/>
                      <w:color w:val="auto"/>
                      <w:kern w:val="0"/>
                      <w:sz w:val="18"/>
                      <w:szCs w:val="18"/>
                      <w:lang w:bidi="en-US"/>
                    </w:rPr>
                    <w:t>1.5</w:t>
                  </w:r>
                </w:p>
              </w:tc>
              <w:tc>
                <w:tcPr>
                  <w:tcW w:w="343" w:type="pct"/>
                  <w:shd w:val="clear" w:color="auto" w:fill="auto"/>
                  <w:vAlign w:val="center"/>
                </w:tcPr>
                <w:p w14:paraId="74C19DBF">
                  <w:pPr>
                    <w:widowControl/>
                    <w:adjustRightInd w:val="0"/>
                    <w:snapToGrid w:val="0"/>
                    <w:jc w:val="center"/>
                    <w:rPr>
                      <w:rFonts w:hint="default" w:ascii="Times New Roman" w:hAnsi="Times New Roman" w:eastAsia="宋体" w:cs="Times New Roman"/>
                      <w:bCs/>
                      <w:color w:val="auto"/>
                      <w:kern w:val="0"/>
                      <w:sz w:val="18"/>
                      <w:szCs w:val="18"/>
                      <w:lang w:val="en-US" w:eastAsia="zh-CN" w:bidi="en-US"/>
                    </w:rPr>
                  </w:pPr>
                  <w:r>
                    <w:rPr>
                      <w:rFonts w:hint="eastAsia"/>
                      <w:bCs/>
                      <w:color w:val="auto"/>
                      <w:kern w:val="0"/>
                      <w:sz w:val="18"/>
                      <w:szCs w:val="18"/>
                      <w:lang w:val="en-US" w:eastAsia="zh-CN" w:bidi="en-US"/>
                    </w:rPr>
                    <w:t>西</w:t>
                  </w:r>
                  <w:r>
                    <w:rPr>
                      <w:rFonts w:hint="eastAsia"/>
                      <w:bCs/>
                      <w:color w:val="auto"/>
                      <w:kern w:val="0"/>
                      <w:sz w:val="18"/>
                      <w:szCs w:val="18"/>
                      <w:lang w:bidi="en-US"/>
                    </w:rPr>
                    <w:t>10</w:t>
                  </w:r>
                </w:p>
              </w:tc>
              <w:tc>
                <w:tcPr>
                  <w:tcW w:w="353" w:type="pct"/>
                  <w:shd w:val="clear" w:color="auto" w:fill="auto"/>
                  <w:vAlign w:val="center"/>
                </w:tcPr>
                <w:p w14:paraId="0C0F5047">
                  <w:pPr>
                    <w:widowControl/>
                    <w:jc w:val="center"/>
                    <w:textAlignment w:val="bottom"/>
                    <w:rPr>
                      <w:rFonts w:hint="default" w:ascii="Times New Roman" w:hAnsi="Times New Roman" w:eastAsia="宋体" w:cs="Times New Roman"/>
                      <w:bCs/>
                      <w:color w:val="auto"/>
                      <w:kern w:val="0"/>
                      <w:sz w:val="18"/>
                      <w:szCs w:val="18"/>
                      <w:lang w:val="en-US" w:eastAsia="zh-CN" w:bidi="en-US"/>
                    </w:rPr>
                  </w:pPr>
                  <w:r>
                    <w:rPr>
                      <w:rFonts w:eastAsia="等线"/>
                      <w:color w:val="auto"/>
                      <w:kern w:val="0"/>
                      <w:sz w:val="18"/>
                      <w:szCs w:val="18"/>
                      <w:lang w:bidi="ar"/>
                    </w:rPr>
                    <w:t>50.0</w:t>
                  </w:r>
                </w:p>
              </w:tc>
              <w:tc>
                <w:tcPr>
                  <w:tcW w:w="433" w:type="pct"/>
                  <w:vMerge w:val="continue"/>
                  <w:shd w:val="clear" w:color="auto" w:fill="auto"/>
                  <w:vAlign w:val="center"/>
                </w:tcPr>
                <w:p w14:paraId="30BAADFB">
                  <w:pPr>
                    <w:widowControl/>
                    <w:adjustRightInd w:val="0"/>
                    <w:snapToGrid w:val="0"/>
                    <w:jc w:val="center"/>
                    <w:rPr>
                      <w:rFonts w:hint="default" w:ascii="Times New Roman" w:hAnsi="Times New Roman" w:eastAsia="宋体" w:cs="Times New Roman"/>
                      <w:bCs/>
                      <w:color w:val="auto"/>
                      <w:kern w:val="0"/>
                      <w:sz w:val="18"/>
                      <w:szCs w:val="18"/>
                      <w:lang w:val="en-US" w:eastAsia="zh-CN" w:bidi="en-US"/>
                    </w:rPr>
                  </w:pPr>
                </w:p>
              </w:tc>
              <w:tc>
                <w:tcPr>
                  <w:tcW w:w="343" w:type="pct"/>
                  <w:shd w:val="clear" w:color="auto" w:fill="auto"/>
                  <w:vAlign w:val="center"/>
                </w:tcPr>
                <w:p w14:paraId="046FA9C3">
                  <w:pPr>
                    <w:widowControl/>
                    <w:adjustRightInd w:val="0"/>
                    <w:snapToGrid w:val="0"/>
                    <w:jc w:val="center"/>
                    <w:rPr>
                      <w:rFonts w:hint="default" w:ascii="Times New Roman" w:hAnsi="Times New Roman" w:eastAsia="宋体" w:cs="Times New Roman"/>
                      <w:bCs/>
                      <w:color w:val="auto"/>
                      <w:kern w:val="0"/>
                      <w:sz w:val="18"/>
                      <w:szCs w:val="18"/>
                      <w:lang w:val="en-US" w:eastAsia="zh-CN" w:bidi="en-US"/>
                    </w:rPr>
                  </w:pPr>
                  <w:r>
                    <w:rPr>
                      <w:rFonts w:hint="eastAsia"/>
                      <w:bCs/>
                      <w:color w:val="auto"/>
                      <w:kern w:val="0"/>
                      <w:sz w:val="18"/>
                      <w:szCs w:val="18"/>
                      <w:lang w:bidi="en-US"/>
                    </w:rPr>
                    <w:t>2</w:t>
                  </w:r>
                  <w:r>
                    <w:rPr>
                      <w:bCs/>
                      <w:color w:val="auto"/>
                      <w:kern w:val="0"/>
                      <w:sz w:val="18"/>
                      <w:szCs w:val="18"/>
                      <w:lang w:bidi="en-US"/>
                    </w:rPr>
                    <w:t>5</w:t>
                  </w:r>
                </w:p>
              </w:tc>
              <w:tc>
                <w:tcPr>
                  <w:tcW w:w="416" w:type="pct"/>
                  <w:shd w:val="clear" w:color="auto" w:fill="auto"/>
                  <w:vAlign w:val="center"/>
                </w:tcPr>
                <w:p w14:paraId="1A13FB26">
                  <w:pPr>
                    <w:widowControl/>
                    <w:jc w:val="center"/>
                    <w:textAlignment w:val="center"/>
                    <w:rPr>
                      <w:rFonts w:hint="default" w:ascii="Times New Roman" w:hAnsi="Times New Roman" w:eastAsia="宋体" w:cs="Times New Roman"/>
                      <w:bCs/>
                      <w:color w:val="auto"/>
                      <w:kern w:val="0"/>
                      <w:sz w:val="18"/>
                      <w:szCs w:val="18"/>
                      <w:lang w:val="en-US" w:eastAsia="zh-CN" w:bidi="en-US"/>
                    </w:rPr>
                  </w:pPr>
                  <w:r>
                    <w:rPr>
                      <w:rFonts w:eastAsia="等线"/>
                      <w:color w:val="auto"/>
                      <w:kern w:val="0"/>
                      <w:sz w:val="18"/>
                      <w:szCs w:val="18"/>
                      <w:lang w:bidi="ar"/>
                    </w:rPr>
                    <w:t>25.0</w:t>
                  </w:r>
                </w:p>
              </w:tc>
              <w:tc>
                <w:tcPr>
                  <w:tcW w:w="329" w:type="pct"/>
                  <w:vMerge w:val="continue"/>
                  <w:vAlign w:val="center"/>
                </w:tcPr>
                <w:p w14:paraId="7381962A">
                  <w:pPr>
                    <w:widowControl/>
                    <w:jc w:val="center"/>
                    <w:textAlignment w:val="center"/>
                    <w:rPr>
                      <w:rFonts w:hint="eastAsia" w:ascii="宋体" w:hAnsi="宋体" w:eastAsia="宋体" w:cs="宋体"/>
                      <w:color w:val="auto"/>
                      <w:kern w:val="0"/>
                      <w:szCs w:val="21"/>
                      <w:lang w:bidi="ar"/>
                    </w:rPr>
                  </w:pPr>
                </w:p>
              </w:tc>
            </w:tr>
            <w:tr w14:paraId="197957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33" w:type="pct"/>
                  <w:shd w:val="clear" w:color="auto" w:fill="auto"/>
                  <w:vAlign w:val="center"/>
                </w:tcPr>
                <w:p w14:paraId="528910FD">
                  <w:pPr>
                    <w:widowControl/>
                    <w:adjustRightInd w:val="0"/>
                    <w:snapToGrid w:val="0"/>
                    <w:jc w:val="center"/>
                    <w:rPr>
                      <w:rFonts w:hint="default" w:ascii="Times New Roman" w:hAnsi="Times New Roman" w:eastAsia="等线" w:cs="Times New Roman"/>
                      <w:color w:val="auto"/>
                      <w:kern w:val="2"/>
                      <w:sz w:val="18"/>
                      <w:szCs w:val="18"/>
                      <w:lang w:val="en-US" w:eastAsia="zh-CN" w:bidi="ar-SA"/>
                    </w:rPr>
                  </w:pPr>
                  <w:r>
                    <w:rPr>
                      <w:rFonts w:hint="default" w:ascii="Times New Roman" w:hAnsi="Times New Roman" w:eastAsia="等线" w:cs="Times New Roman"/>
                      <w:color w:val="auto"/>
                      <w:sz w:val="18"/>
                      <w:szCs w:val="18"/>
                    </w:rPr>
                    <w:t>12</w:t>
                  </w:r>
                </w:p>
              </w:tc>
              <w:tc>
                <w:tcPr>
                  <w:tcW w:w="656" w:type="pct"/>
                  <w:vAlign w:val="center"/>
                </w:tcPr>
                <w:p w14:paraId="6523EB21">
                  <w:pPr>
                    <w:widowControl/>
                    <w:jc w:val="center"/>
                    <w:textAlignment w:val="center"/>
                    <w:rPr>
                      <w:rFonts w:hint="default" w:ascii="Times New Roman" w:hAnsi="Times New Roman" w:eastAsia="宋体" w:cs="Times New Roman"/>
                      <w:color w:val="auto"/>
                      <w:kern w:val="0"/>
                      <w:sz w:val="18"/>
                      <w:szCs w:val="18"/>
                      <w:lang w:eastAsia="zh-CN" w:bidi="ar"/>
                    </w:rPr>
                  </w:pPr>
                  <w:r>
                    <w:rPr>
                      <w:rFonts w:hint="default" w:ascii="Times New Roman" w:hAnsi="Times New Roman" w:eastAsia="宋体" w:cs="Times New Roman"/>
                      <w:color w:val="auto"/>
                      <w:kern w:val="0"/>
                      <w:sz w:val="18"/>
                      <w:szCs w:val="18"/>
                      <w:lang w:eastAsia="zh-CN" w:bidi="ar"/>
                    </w:rPr>
                    <w:t>切菜机</w:t>
                  </w:r>
                </w:p>
              </w:tc>
              <w:tc>
                <w:tcPr>
                  <w:tcW w:w="263" w:type="pct"/>
                  <w:vAlign w:val="center"/>
                </w:tcPr>
                <w:p w14:paraId="56109081">
                  <w:pPr>
                    <w:widowControl/>
                    <w:jc w:val="center"/>
                    <w:textAlignment w:val="center"/>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1</w:t>
                  </w:r>
                </w:p>
              </w:tc>
              <w:tc>
                <w:tcPr>
                  <w:tcW w:w="434" w:type="pct"/>
                  <w:shd w:val="clear" w:color="auto" w:fill="auto"/>
                  <w:vAlign w:val="center"/>
                </w:tcPr>
                <w:p w14:paraId="312B7C36">
                  <w:pPr>
                    <w:widowControl/>
                    <w:jc w:val="center"/>
                    <w:textAlignment w:val="center"/>
                    <w:rPr>
                      <w:rFonts w:hint="default" w:ascii="Times New Roman" w:hAnsi="Times New Roman" w:eastAsia="宋体" w:cs="Times New Roman"/>
                      <w:bCs/>
                      <w:color w:val="auto"/>
                      <w:kern w:val="0"/>
                      <w:sz w:val="18"/>
                      <w:szCs w:val="18"/>
                      <w:lang w:val="en-US" w:eastAsia="zh-CN" w:bidi="en-US"/>
                    </w:rPr>
                  </w:pPr>
                  <w:r>
                    <w:rPr>
                      <w:rFonts w:hint="eastAsia"/>
                      <w:color w:val="auto"/>
                      <w:kern w:val="0"/>
                      <w:sz w:val="18"/>
                      <w:szCs w:val="18"/>
                      <w:lang w:val="en-US" w:eastAsia="zh-CN" w:bidi="ar"/>
                    </w:rPr>
                    <w:t>75~</w:t>
                  </w:r>
                  <w:r>
                    <w:rPr>
                      <w:color w:val="auto"/>
                      <w:kern w:val="0"/>
                      <w:sz w:val="18"/>
                      <w:szCs w:val="18"/>
                      <w:lang w:bidi="ar"/>
                    </w:rPr>
                    <w:t>85</w:t>
                  </w:r>
                  <w:r>
                    <w:rPr>
                      <w:rFonts w:hint="default"/>
                      <w:bCs/>
                      <w:color w:val="auto"/>
                      <w:kern w:val="0"/>
                      <w:sz w:val="18"/>
                      <w:szCs w:val="18"/>
                      <w:lang w:bidi="en-US"/>
                    </w:rPr>
                    <w:t>/1</w:t>
                  </w:r>
                </w:p>
              </w:tc>
              <w:tc>
                <w:tcPr>
                  <w:tcW w:w="293" w:type="pct"/>
                  <w:vMerge w:val="continue"/>
                  <w:shd w:val="clear" w:color="auto" w:fill="auto"/>
                  <w:vAlign w:val="center"/>
                </w:tcPr>
                <w:p w14:paraId="0DE468FD">
                  <w:pPr>
                    <w:adjustRightInd w:val="0"/>
                    <w:snapToGrid w:val="0"/>
                    <w:jc w:val="center"/>
                    <w:rPr>
                      <w:rFonts w:hint="default" w:ascii="Times New Roman" w:hAnsi="Times New Roman" w:eastAsia="宋体" w:cs="Times New Roman"/>
                      <w:b/>
                      <w:bCs/>
                      <w:color w:val="auto"/>
                      <w:kern w:val="0"/>
                      <w:sz w:val="18"/>
                      <w:szCs w:val="18"/>
                      <w:lang w:val="en-US" w:eastAsia="zh-CN" w:bidi="en-US"/>
                    </w:rPr>
                  </w:pPr>
                </w:p>
              </w:tc>
              <w:tc>
                <w:tcPr>
                  <w:tcW w:w="293" w:type="pct"/>
                  <w:shd w:val="clear" w:color="auto" w:fill="auto"/>
                  <w:vAlign w:val="center"/>
                </w:tcPr>
                <w:p w14:paraId="1EBA1339">
                  <w:pPr>
                    <w:widowControl/>
                    <w:jc w:val="center"/>
                    <w:textAlignment w:val="center"/>
                    <w:rPr>
                      <w:rFonts w:hint="default" w:ascii="Times New Roman" w:hAnsi="Times New Roman" w:eastAsia="宋体" w:cs="Times New Roman"/>
                      <w:bCs/>
                      <w:color w:val="auto"/>
                      <w:kern w:val="0"/>
                      <w:sz w:val="18"/>
                      <w:szCs w:val="18"/>
                      <w:lang w:val="en-US" w:eastAsia="zh-CN" w:bidi="en-US"/>
                    </w:rPr>
                  </w:pPr>
                  <w:r>
                    <w:rPr>
                      <w:color w:val="auto"/>
                      <w:kern w:val="0"/>
                      <w:sz w:val="18"/>
                      <w:szCs w:val="18"/>
                      <w:lang w:bidi="ar"/>
                    </w:rPr>
                    <w:t>158</w:t>
                  </w:r>
                </w:p>
              </w:tc>
              <w:tc>
                <w:tcPr>
                  <w:tcW w:w="295" w:type="pct"/>
                  <w:shd w:val="clear" w:color="auto" w:fill="auto"/>
                  <w:vAlign w:val="center"/>
                </w:tcPr>
                <w:p w14:paraId="05C455B1">
                  <w:pPr>
                    <w:widowControl/>
                    <w:jc w:val="center"/>
                    <w:textAlignment w:val="center"/>
                    <w:rPr>
                      <w:rFonts w:hint="default" w:ascii="Times New Roman" w:hAnsi="Times New Roman" w:eastAsia="宋体" w:cs="Times New Roman"/>
                      <w:bCs/>
                      <w:color w:val="auto"/>
                      <w:kern w:val="0"/>
                      <w:sz w:val="18"/>
                      <w:szCs w:val="18"/>
                      <w:lang w:val="en-US" w:eastAsia="zh-CN" w:bidi="en-US"/>
                    </w:rPr>
                  </w:pPr>
                  <w:r>
                    <w:rPr>
                      <w:color w:val="auto"/>
                      <w:kern w:val="0"/>
                      <w:sz w:val="18"/>
                      <w:szCs w:val="18"/>
                      <w:lang w:bidi="ar"/>
                    </w:rPr>
                    <w:t>59</w:t>
                  </w:r>
                </w:p>
              </w:tc>
              <w:tc>
                <w:tcPr>
                  <w:tcW w:w="310" w:type="pct"/>
                  <w:shd w:val="clear" w:color="auto" w:fill="auto"/>
                  <w:vAlign w:val="center"/>
                </w:tcPr>
                <w:p w14:paraId="0CFF4E1B">
                  <w:pPr>
                    <w:widowControl/>
                    <w:adjustRightInd w:val="0"/>
                    <w:snapToGrid w:val="0"/>
                    <w:jc w:val="center"/>
                    <w:rPr>
                      <w:rFonts w:hint="default" w:ascii="Times New Roman" w:hAnsi="Times New Roman" w:eastAsia="宋体" w:cs="Times New Roman"/>
                      <w:bCs/>
                      <w:color w:val="auto"/>
                      <w:kern w:val="0"/>
                      <w:sz w:val="18"/>
                      <w:szCs w:val="18"/>
                      <w:lang w:val="en-US" w:eastAsia="zh-CN" w:bidi="en-US"/>
                    </w:rPr>
                  </w:pPr>
                  <w:r>
                    <w:rPr>
                      <w:rFonts w:hint="eastAsia"/>
                      <w:bCs/>
                      <w:color w:val="auto"/>
                      <w:kern w:val="0"/>
                      <w:sz w:val="18"/>
                      <w:szCs w:val="18"/>
                      <w:lang w:bidi="en-US"/>
                    </w:rPr>
                    <w:t>1.5</w:t>
                  </w:r>
                </w:p>
              </w:tc>
              <w:tc>
                <w:tcPr>
                  <w:tcW w:w="343" w:type="pct"/>
                  <w:shd w:val="clear" w:color="auto" w:fill="auto"/>
                  <w:vAlign w:val="center"/>
                </w:tcPr>
                <w:p w14:paraId="7C01C098">
                  <w:pPr>
                    <w:widowControl/>
                    <w:adjustRightInd w:val="0"/>
                    <w:snapToGrid w:val="0"/>
                    <w:jc w:val="center"/>
                    <w:rPr>
                      <w:rFonts w:hint="default" w:ascii="Times New Roman" w:hAnsi="Times New Roman" w:eastAsia="宋体" w:cs="Times New Roman"/>
                      <w:bCs/>
                      <w:color w:val="auto"/>
                      <w:kern w:val="0"/>
                      <w:sz w:val="18"/>
                      <w:szCs w:val="18"/>
                      <w:lang w:val="en-US" w:eastAsia="zh-CN" w:bidi="en-US"/>
                    </w:rPr>
                  </w:pPr>
                  <w:r>
                    <w:rPr>
                      <w:rFonts w:hint="eastAsia"/>
                      <w:bCs/>
                      <w:color w:val="auto"/>
                      <w:kern w:val="0"/>
                      <w:sz w:val="18"/>
                      <w:szCs w:val="18"/>
                      <w:lang w:val="en-US" w:eastAsia="zh-CN" w:bidi="en-US"/>
                    </w:rPr>
                    <w:t>东</w:t>
                  </w:r>
                  <w:r>
                    <w:rPr>
                      <w:rFonts w:hint="eastAsia"/>
                      <w:bCs/>
                      <w:color w:val="auto"/>
                      <w:kern w:val="0"/>
                      <w:sz w:val="18"/>
                      <w:szCs w:val="18"/>
                      <w:lang w:bidi="en-US"/>
                    </w:rPr>
                    <w:t>5</w:t>
                  </w:r>
                </w:p>
              </w:tc>
              <w:tc>
                <w:tcPr>
                  <w:tcW w:w="353" w:type="pct"/>
                  <w:shd w:val="clear" w:color="auto" w:fill="auto"/>
                  <w:vAlign w:val="center"/>
                </w:tcPr>
                <w:p w14:paraId="3BF9E468">
                  <w:pPr>
                    <w:widowControl/>
                    <w:jc w:val="center"/>
                    <w:textAlignment w:val="bottom"/>
                    <w:rPr>
                      <w:rFonts w:hint="default" w:ascii="Times New Roman" w:hAnsi="Times New Roman" w:eastAsia="宋体" w:cs="Times New Roman"/>
                      <w:bCs/>
                      <w:color w:val="auto"/>
                      <w:kern w:val="0"/>
                      <w:sz w:val="18"/>
                      <w:szCs w:val="18"/>
                      <w:lang w:val="en-US" w:eastAsia="zh-CN" w:bidi="en-US"/>
                    </w:rPr>
                  </w:pPr>
                  <w:r>
                    <w:rPr>
                      <w:rFonts w:eastAsia="等线"/>
                      <w:color w:val="auto"/>
                      <w:kern w:val="0"/>
                      <w:sz w:val="18"/>
                      <w:szCs w:val="18"/>
                      <w:lang w:bidi="ar"/>
                    </w:rPr>
                    <w:t>71.0</w:t>
                  </w:r>
                </w:p>
              </w:tc>
              <w:tc>
                <w:tcPr>
                  <w:tcW w:w="433" w:type="pct"/>
                  <w:vMerge w:val="continue"/>
                  <w:shd w:val="clear" w:color="auto" w:fill="auto"/>
                  <w:vAlign w:val="center"/>
                </w:tcPr>
                <w:p w14:paraId="7C951C28">
                  <w:pPr>
                    <w:widowControl/>
                    <w:adjustRightInd w:val="0"/>
                    <w:snapToGrid w:val="0"/>
                    <w:jc w:val="center"/>
                    <w:rPr>
                      <w:rFonts w:hint="default" w:ascii="Times New Roman" w:hAnsi="Times New Roman" w:eastAsia="宋体" w:cs="Times New Roman"/>
                      <w:bCs/>
                      <w:color w:val="auto"/>
                      <w:kern w:val="0"/>
                      <w:sz w:val="18"/>
                      <w:szCs w:val="18"/>
                      <w:lang w:val="en-US" w:eastAsia="zh-CN" w:bidi="en-US"/>
                    </w:rPr>
                  </w:pPr>
                </w:p>
              </w:tc>
              <w:tc>
                <w:tcPr>
                  <w:tcW w:w="343" w:type="pct"/>
                  <w:shd w:val="clear" w:color="auto" w:fill="auto"/>
                  <w:vAlign w:val="center"/>
                </w:tcPr>
                <w:p w14:paraId="74EB2BBC">
                  <w:pPr>
                    <w:widowControl/>
                    <w:adjustRightInd w:val="0"/>
                    <w:snapToGrid w:val="0"/>
                    <w:jc w:val="center"/>
                    <w:rPr>
                      <w:rFonts w:hint="default" w:ascii="Times New Roman" w:hAnsi="Times New Roman" w:eastAsia="宋体" w:cs="Times New Roman"/>
                      <w:bCs/>
                      <w:color w:val="auto"/>
                      <w:kern w:val="0"/>
                      <w:sz w:val="18"/>
                      <w:szCs w:val="18"/>
                      <w:lang w:val="en-US" w:eastAsia="zh-CN" w:bidi="en-US"/>
                    </w:rPr>
                  </w:pPr>
                  <w:r>
                    <w:rPr>
                      <w:rFonts w:hint="eastAsia"/>
                      <w:bCs/>
                      <w:color w:val="auto"/>
                      <w:kern w:val="0"/>
                      <w:sz w:val="18"/>
                      <w:szCs w:val="18"/>
                      <w:lang w:bidi="en-US"/>
                    </w:rPr>
                    <w:t>2</w:t>
                  </w:r>
                  <w:r>
                    <w:rPr>
                      <w:bCs/>
                      <w:color w:val="auto"/>
                      <w:kern w:val="0"/>
                      <w:sz w:val="18"/>
                      <w:szCs w:val="18"/>
                      <w:lang w:bidi="en-US"/>
                    </w:rPr>
                    <w:t>5</w:t>
                  </w:r>
                </w:p>
              </w:tc>
              <w:tc>
                <w:tcPr>
                  <w:tcW w:w="416" w:type="pct"/>
                  <w:shd w:val="clear" w:color="auto" w:fill="auto"/>
                  <w:vAlign w:val="center"/>
                </w:tcPr>
                <w:p w14:paraId="3B05B80F">
                  <w:pPr>
                    <w:widowControl/>
                    <w:jc w:val="center"/>
                    <w:textAlignment w:val="center"/>
                    <w:rPr>
                      <w:rFonts w:hint="default" w:ascii="Times New Roman" w:hAnsi="Times New Roman" w:eastAsia="宋体" w:cs="Times New Roman"/>
                      <w:bCs/>
                      <w:color w:val="auto"/>
                      <w:kern w:val="0"/>
                      <w:sz w:val="18"/>
                      <w:szCs w:val="18"/>
                      <w:lang w:val="en-US" w:eastAsia="zh-CN" w:bidi="en-US"/>
                    </w:rPr>
                  </w:pPr>
                  <w:r>
                    <w:rPr>
                      <w:rFonts w:eastAsia="等线"/>
                      <w:color w:val="auto"/>
                      <w:kern w:val="0"/>
                      <w:sz w:val="18"/>
                      <w:szCs w:val="18"/>
                      <w:lang w:bidi="ar"/>
                    </w:rPr>
                    <w:t>46.0</w:t>
                  </w:r>
                </w:p>
              </w:tc>
              <w:tc>
                <w:tcPr>
                  <w:tcW w:w="329" w:type="pct"/>
                  <w:vMerge w:val="continue"/>
                  <w:vAlign w:val="center"/>
                </w:tcPr>
                <w:p w14:paraId="6E3D5803">
                  <w:pPr>
                    <w:widowControl/>
                    <w:jc w:val="center"/>
                    <w:textAlignment w:val="center"/>
                    <w:rPr>
                      <w:rFonts w:hint="eastAsia" w:ascii="宋体" w:hAnsi="宋体" w:eastAsia="宋体" w:cs="宋体"/>
                      <w:color w:val="auto"/>
                      <w:kern w:val="0"/>
                      <w:szCs w:val="21"/>
                      <w:lang w:bidi="ar"/>
                    </w:rPr>
                  </w:pPr>
                </w:p>
              </w:tc>
            </w:tr>
            <w:tr w14:paraId="51F978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33" w:type="pct"/>
                  <w:shd w:val="clear" w:color="auto" w:fill="auto"/>
                  <w:vAlign w:val="center"/>
                </w:tcPr>
                <w:p w14:paraId="24CCCA9F">
                  <w:pPr>
                    <w:widowControl/>
                    <w:adjustRightInd w:val="0"/>
                    <w:snapToGrid w:val="0"/>
                    <w:jc w:val="center"/>
                    <w:rPr>
                      <w:rFonts w:hint="default" w:ascii="Times New Roman" w:hAnsi="Times New Roman" w:eastAsia="等线" w:cs="Times New Roman"/>
                      <w:color w:val="auto"/>
                      <w:sz w:val="18"/>
                      <w:szCs w:val="18"/>
                      <w:lang w:val="en-US" w:eastAsia="zh-CN"/>
                    </w:rPr>
                  </w:pPr>
                  <w:r>
                    <w:rPr>
                      <w:rFonts w:hint="default" w:ascii="Times New Roman" w:hAnsi="Times New Roman" w:eastAsia="等线" w:cs="Times New Roman"/>
                      <w:color w:val="auto"/>
                      <w:sz w:val="18"/>
                      <w:szCs w:val="18"/>
                      <w:lang w:val="en-US" w:eastAsia="zh-CN"/>
                    </w:rPr>
                    <w:t>13</w:t>
                  </w:r>
                </w:p>
              </w:tc>
              <w:tc>
                <w:tcPr>
                  <w:tcW w:w="656" w:type="pct"/>
                  <w:vAlign w:val="center"/>
                </w:tcPr>
                <w:p w14:paraId="325CDE3B">
                  <w:pPr>
                    <w:widowControl/>
                    <w:jc w:val="center"/>
                    <w:textAlignment w:val="center"/>
                    <w:rPr>
                      <w:rFonts w:hint="default" w:ascii="Times New Roman" w:hAnsi="Times New Roman" w:eastAsia="宋体" w:cs="Times New Roman"/>
                      <w:color w:val="auto"/>
                      <w:kern w:val="0"/>
                      <w:sz w:val="18"/>
                      <w:szCs w:val="18"/>
                      <w:lang w:eastAsia="zh-CN" w:bidi="ar"/>
                    </w:rPr>
                  </w:pPr>
                  <w:r>
                    <w:rPr>
                      <w:rFonts w:hint="default" w:ascii="Times New Roman" w:hAnsi="Times New Roman" w:eastAsia="宋体" w:cs="Times New Roman"/>
                      <w:color w:val="auto"/>
                      <w:kern w:val="0"/>
                      <w:sz w:val="18"/>
                      <w:szCs w:val="18"/>
                      <w:lang w:eastAsia="zh-CN" w:bidi="ar"/>
                    </w:rPr>
                    <w:t>脱水机</w:t>
                  </w:r>
                </w:p>
              </w:tc>
              <w:tc>
                <w:tcPr>
                  <w:tcW w:w="263" w:type="pct"/>
                  <w:vAlign w:val="center"/>
                </w:tcPr>
                <w:p w14:paraId="6F451A64">
                  <w:pPr>
                    <w:widowControl/>
                    <w:jc w:val="center"/>
                    <w:textAlignment w:val="center"/>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1</w:t>
                  </w:r>
                </w:p>
              </w:tc>
              <w:tc>
                <w:tcPr>
                  <w:tcW w:w="434" w:type="pct"/>
                  <w:shd w:val="clear" w:color="auto" w:fill="auto"/>
                  <w:vAlign w:val="center"/>
                </w:tcPr>
                <w:p w14:paraId="3E26D1BD">
                  <w:pPr>
                    <w:widowControl/>
                    <w:jc w:val="center"/>
                    <w:textAlignment w:val="center"/>
                    <w:rPr>
                      <w:rFonts w:hint="default" w:ascii="Times New Roman" w:hAnsi="Times New Roman" w:eastAsia="宋体" w:cs="Times New Roman"/>
                      <w:bCs/>
                      <w:color w:val="auto"/>
                      <w:kern w:val="0"/>
                      <w:sz w:val="18"/>
                      <w:szCs w:val="18"/>
                      <w:lang w:val="en-US" w:eastAsia="zh-CN" w:bidi="en-US"/>
                    </w:rPr>
                  </w:pPr>
                  <w:r>
                    <w:rPr>
                      <w:rFonts w:hint="eastAsia"/>
                      <w:color w:val="auto"/>
                      <w:kern w:val="0"/>
                      <w:sz w:val="18"/>
                      <w:szCs w:val="18"/>
                      <w:lang w:val="en-US" w:eastAsia="zh-CN" w:bidi="ar"/>
                    </w:rPr>
                    <w:t>60~</w:t>
                  </w:r>
                  <w:r>
                    <w:rPr>
                      <w:color w:val="auto"/>
                      <w:kern w:val="0"/>
                      <w:sz w:val="18"/>
                      <w:szCs w:val="18"/>
                      <w:lang w:bidi="ar"/>
                    </w:rPr>
                    <w:t>70</w:t>
                  </w:r>
                  <w:r>
                    <w:rPr>
                      <w:rFonts w:hint="default"/>
                      <w:bCs/>
                      <w:color w:val="auto"/>
                      <w:kern w:val="0"/>
                      <w:sz w:val="18"/>
                      <w:szCs w:val="18"/>
                      <w:lang w:bidi="en-US"/>
                    </w:rPr>
                    <w:t>/1</w:t>
                  </w:r>
                </w:p>
              </w:tc>
              <w:tc>
                <w:tcPr>
                  <w:tcW w:w="293" w:type="pct"/>
                  <w:vMerge w:val="continue"/>
                  <w:shd w:val="clear" w:color="auto" w:fill="auto"/>
                  <w:vAlign w:val="center"/>
                </w:tcPr>
                <w:p w14:paraId="32A3487B">
                  <w:pPr>
                    <w:adjustRightInd w:val="0"/>
                    <w:snapToGrid w:val="0"/>
                    <w:jc w:val="center"/>
                    <w:rPr>
                      <w:rFonts w:hint="default" w:ascii="Times New Roman" w:hAnsi="Times New Roman" w:eastAsia="宋体" w:cs="Times New Roman"/>
                      <w:b/>
                      <w:bCs/>
                      <w:color w:val="auto"/>
                      <w:kern w:val="0"/>
                      <w:sz w:val="18"/>
                      <w:szCs w:val="18"/>
                      <w:lang w:val="en-US" w:eastAsia="zh-CN" w:bidi="en-US"/>
                    </w:rPr>
                  </w:pPr>
                </w:p>
              </w:tc>
              <w:tc>
                <w:tcPr>
                  <w:tcW w:w="293" w:type="pct"/>
                  <w:shd w:val="clear" w:color="auto" w:fill="auto"/>
                  <w:vAlign w:val="center"/>
                </w:tcPr>
                <w:p w14:paraId="3ED1492F">
                  <w:pPr>
                    <w:widowControl/>
                    <w:jc w:val="center"/>
                    <w:textAlignment w:val="center"/>
                    <w:rPr>
                      <w:rFonts w:hint="default" w:ascii="Times New Roman" w:hAnsi="Times New Roman" w:eastAsia="宋体" w:cs="Times New Roman"/>
                      <w:bCs/>
                      <w:color w:val="auto"/>
                      <w:kern w:val="0"/>
                      <w:sz w:val="18"/>
                      <w:szCs w:val="18"/>
                      <w:lang w:val="en-US" w:eastAsia="zh-CN" w:bidi="en-US"/>
                    </w:rPr>
                  </w:pPr>
                  <w:r>
                    <w:rPr>
                      <w:color w:val="auto"/>
                      <w:kern w:val="0"/>
                      <w:sz w:val="18"/>
                      <w:szCs w:val="18"/>
                      <w:lang w:bidi="ar"/>
                    </w:rPr>
                    <w:t>158</w:t>
                  </w:r>
                </w:p>
              </w:tc>
              <w:tc>
                <w:tcPr>
                  <w:tcW w:w="295" w:type="pct"/>
                  <w:shd w:val="clear" w:color="auto" w:fill="auto"/>
                  <w:vAlign w:val="center"/>
                </w:tcPr>
                <w:p w14:paraId="2EDE6D3A">
                  <w:pPr>
                    <w:widowControl/>
                    <w:jc w:val="center"/>
                    <w:textAlignment w:val="center"/>
                    <w:rPr>
                      <w:rFonts w:hint="default" w:ascii="Times New Roman" w:hAnsi="Times New Roman" w:eastAsia="宋体" w:cs="Times New Roman"/>
                      <w:bCs/>
                      <w:color w:val="auto"/>
                      <w:kern w:val="0"/>
                      <w:sz w:val="18"/>
                      <w:szCs w:val="18"/>
                      <w:lang w:val="en-US" w:eastAsia="zh-CN" w:bidi="en-US"/>
                    </w:rPr>
                  </w:pPr>
                  <w:r>
                    <w:rPr>
                      <w:color w:val="auto"/>
                      <w:kern w:val="0"/>
                      <w:sz w:val="18"/>
                      <w:szCs w:val="18"/>
                      <w:lang w:bidi="ar"/>
                    </w:rPr>
                    <w:t>59</w:t>
                  </w:r>
                </w:p>
              </w:tc>
              <w:tc>
                <w:tcPr>
                  <w:tcW w:w="310" w:type="pct"/>
                  <w:shd w:val="clear" w:color="auto" w:fill="auto"/>
                  <w:vAlign w:val="center"/>
                </w:tcPr>
                <w:p w14:paraId="5EBB827A">
                  <w:pPr>
                    <w:widowControl/>
                    <w:adjustRightInd w:val="0"/>
                    <w:snapToGrid w:val="0"/>
                    <w:jc w:val="center"/>
                    <w:rPr>
                      <w:rFonts w:hint="default" w:ascii="Times New Roman" w:hAnsi="Times New Roman" w:eastAsia="宋体" w:cs="Times New Roman"/>
                      <w:bCs/>
                      <w:color w:val="auto"/>
                      <w:kern w:val="0"/>
                      <w:sz w:val="18"/>
                      <w:szCs w:val="18"/>
                      <w:lang w:val="en-US" w:eastAsia="zh-CN" w:bidi="en-US"/>
                    </w:rPr>
                  </w:pPr>
                  <w:r>
                    <w:rPr>
                      <w:rFonts w:hint="eastAsia"/>
                      <w:bCs/>
                      <w:color w:val="auto"/>
                      <w:kern w:val="0"/>
                      <w:sz w:val="18"/>
                      <w:szCs w:val="18"/>
                      <w:lang w:bidi="en-US"/>
                    </w:rPr>
                    <w:t>1.5</w:t>
                  </w:r>
                </w:p>
              </w:tc>
              <w:tc>
                <w:tcPr>
                  <w:tcW w:w="343" w:type="pct"/>
                  <w:shd w:val="clear" w:color="auto" w:fill="auto"/>
                  <w:vAlign w:val="center"/>
                </w:tcPr>
                <w:p w14:paraId="5E637263">
                  <w:pPr>
                    <w:widowControl/>
                    <w:adjustRightInd w:val="0"/>
                    <w:snapToGrid w:val="0"/>
                    <w:jc w:val="center"/>
                    <w:rPr>
                      <w:rFonts w:hint="default" w:ascii="Times New Roman" w:hAnsi="Times New Roman" w:eastAsia="宋体" w:cs="Times New Roman"/>
                      <w:bCs/>
                      <w:color w:val="auto"/>
                      <w:kern w:val="0"/>
                      <w:sz w:val="18"/>
                      <w:szCs w:val="18"/>
                      <w:lang w:val="en-US" w:eastAsia="zh-CN" w:bidi="en-US"/>
                    </w:rPr>
                  </w:pPr>
                  <w:r>
                    <w:rPr>
                      <w:rFonts w:hint="eastAsia"/>
                      <w:bCs/>
                      <w:color w:val="auto"/>
                      <w:kern w:val="0"/>
                      <w:sz w:val="18"/>
                      <w:szCs w:val="18"/>
                      <w:lang w:val="en-US" w:eastAsia="zh-CN" w:bidi="en-US"/>
                    </w:rPr>
                    <w:t>东</w:t>
                  </w:r>
                  <w:r>
                    <w:rPr>
                      <w:rFonts w:hint="eastAsia"/>
                      <w:bCs/>
                      <w:color w:val="auto"/>
                      <w:kern w:val="0"/>
                      <w:sz w:val="18"/>
                      <w:szCs w:val="18"/>
                      <w:lang w:bidi="en-US"/>
                    </w:rPr>
                    <w:t>5</w:t>
                  </w:r>
                </w:p>
              </w:tc>
              <w:tc>
                <w:tcPr>
                  <w:tcW w:w="353" w:type="pct"/>
                  <w:shd w:val="clear" w:color="auto" w:fill="auto"/>
                  <w:vAlign w:val="center"/>
                </w:tcPr>
                <w:p w14:paraId="1FB75973">
                  <w:pPr>
                    <w:widowControl/>
                    <w:jc w:val="center"/>
                    <w:textAlignment w:val="bottom"/>
                    <w:rPr>
                      <w:rFonts w:hint="default" w:ascii="Times New Roman" w:hAnsi="Times New Roman" w:eastAsia="宋体" w:cs="Times New Roman"/>
                      <w:bCs/>
                      <w:color w:val="auto"/>
                      <w:kern w:val="0"/>
                      <w:sz w:val="18"/>
                      <w:szCs w:val="18"/>
                      <w:lang w:val="en-US" w:eastAsia="zh-CN" w:bidi="en-US"/>
                    </w:rPr>
                  </w:pPr>
                  <w:r>
                    <w:rPr>
                      <w:rFonts w:eastAsia="等线"/>
                      <w:color w:val="auto"/>
                      <w:kern w:val="0"/>
                      <w:sz w:val="18"/>
                      <w:szCs w:val="18"/>
                      <w:lang w:bidi="ar"/>
                    </w:rPr>
                    <w:t>60.8</w:t>
                  </w:r>
                </w:p>
              </w:tc>
              <w:tc>
                <w:tcPr>
                  <w:tcW w:w="433" w:type="pct"/>
                  <w:vMerge w:val="continue"/>
                  <w:shd w:val="clear" w:color="auto" w:fill="auto"/>
                  <w:vAlign w:val="center"/>
                </w:tcPr>
                <w:p w14:paraId="448965D8">
                  <w:pPr>
                    <w:widowControl/>
                    <w:adjustRightInd w:val="0"/>
                    <w:snapToGrid w:val="0"/>
                    <w:jc w:val="center"/>
                    <w:rPr>
                      <w:rFonts w:hint="default" w:ascii="Times New Roman" w:hAnsi="Times New Roman" w:eastAsia="宋体" w:cs="Times New Roman"/>
                      <w:bCs/>
                      <w:color w:val="auto"/>
                      <w:kern w:val="0"/>
                      <w:sz w:val="18"/>
                      <w:szCs w:val="18"/>
                      <w:lang w:val="en-US" w:eastAsia="zh-CN" w:bidi="en-US"/>
                    </w:rPr>
                  </w:pPr>
                </w:p>
              </w:tc>
              <w:tc>
                <w:tcPr>
                  <w:tcW w:w="343" w:type="pct"/>
                  <w:shd w:val="clear" w:color="auto" w:fill="auto"/>
                  <w:vAlign w:val="center"/>
                </w:tcPr>
                <w:p w14:paraId="345512AF">
                  <w:pPr>
                    <w:widowControl/>
                    <w:adjustRightInd w:val="0"/>
                    <w:snapToGrid w:val="0"/>
                    <w:jc w:val="center"/>
                    <w:rPr>
                      <w:rFonts w:hint="default" w:ascii="Times New Roman" w:hAnsi="Times New Roman" w:eastAsia="宋体" w:cs="Times New Roman"/>
                      <w:bCs/>
                      <w:color w:val="auto"/>
                      <w:kern w:val="0"/>
                      <w:sz w:val="18"/>
                      <w:szCs w:val="18"/>
                      <w:lang w:val="en-US" w:eastAsia="zh-CN" w:bidi="en-US"/>
                    </w:rPr>
                  </w:pPr>
                  <w:r>
                    <w:rPr>
                      <w:rFonts w:hint="eastAsia"/>
                      <w:bCs/>
                      <w:color w:val="auto"/>
                      <w:kern w:val="0"/>
                      <w:sz w:val="18"/>
                      <w:szCs w:val="18"/>
                      <w:lang w:bidi="en-US"/>
                    </w:rPr>
                    <w:t>2</w:t>
                  </w:r>
                  <w:r>
                    <w:rPr>
                      <w:bCs/>
                      <w:color w:val="auto"/>
                      <w:kern w:val="0"/>
                      <w:sz w:val="18"/>
                      <w:szCs w:val="18"/>
                      <w:lang w:bidi="en-US"/>
                    </w:rPr>
                    <w:t>5</w:t>
                  </w:r>
                </w:p>
              </w:tc>
              <w:tc>
                <w:tcPr>
                  <w:tcW w:w="416" w:type="pct"/>
                  <w:shd w:val="clear" w:color="auto" w:fill="auto"/>
                  <w:vAlign w:val="center"/>
                </w:tcPr>
                <w:p w14:paraId="71586495">
                  <w:pPr>
                    <w:widowControl/>
                    <w:jc w:val="center"/>
                    <w:textAlignment w:val="center"/>
                    <w:rPr>
                      <w:rFonts w:hint="default" w:ascii="Times New Roman" w:hAnsi="Times New Roman" w:eastAsia="宋体" w:cs="Times New Roman"/>
                      <w:bCs/>
                      <w:color w:val="auto"/>
                      <w:kern w:val="0"/>
                      <w:sz w:val="18"/>
                      <w:szCs w:val="18"/>
                      <w:lang w:val="en-US" w:eastAsia="zh-CN" w:bidi="en-US"/>
                    </w:rPr>
                  </w:pPr>
                  <w:r>
                    <w:rPr>
                      <w:rFonts w:eastAsia="等线"/>
                      <w:color w:val="auto"/>
                      <w:kern w:val="0"/>
                      <w:sz w:val="18"/>
                      <w:szCs w:val="18"/>
                      <w:lang w:bidi="ar"/>
                    </w:rPr>
                    <w:t>35.8</w:t>
                  </w:r>
                </w:p>
              </w:tc>
              <w:tc>
                <w:tcPr>
                  <w:tcW w:w="329" w:type="pct"/>
                  <w:vMerge w:val="continue"/>
                  <w:vAlign w:val="center"/>
                </w:tcPr>
                <w:p w14:paraId="31519095">
                  <w:pPr>
                    <w:widowControl/>
                    <w:jc w:val="center"/>
                    <w:textAlignment w:val="center"/>
                    <w:rPr>
                      <w:rFonts w:hint="eastAsia" w:ascii="宋体" w:hAnsi="宋体" w:eastAsia="宋体" w:cs="宋体"/>
                      <w:color w:val="auto"/>
                      <w:kern w:val="0"/>
                      <w:szCs w:val="21"/>
                      <w:lang w:bidi="ar"/>
                    </w:rPr>
                  </w:pPr>
                </w:p>
              </w:tc>
            </w:tr>
            <w:tr w14:paraId="3FD8BF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33" w:type="pct"/>
                  <w:shd w:val="clear" w:color="auto" w:fill="auto"/>
                  <w:vAlign w:val="center"/>
                </w:tcPr>
                <w:p w14:paraId="16DB452A">
                  <w:pPr>
                    <w:widowControl/>
                    <w:adjustRightInd w:val="0"/>
                    <w:snapToGrid w:val="0"/>
                    <w:jc w:val="center"/>
                    <w:rPr>
                      <w:rFonts w:hint="default" w:ascii="Times New Roman" w:hAnsi="Times New Roman" w:eastAsia="等线" w:cs="Times New Roman"/>
                      <w:color w:val="auto"/>
                      <w:sz w:val="18"/>
                      <w:szCs w:val="18"/>
                      <w:lang w:val="en-US" w:eastAsia="zh-CN"/>
                    </w:rPr>
                  </w:pPr>
                  <w:r>
                    <w:rPr>
                      <w:rFonts w:hint="eastAsia" w:ascii="Times New Roman" w:hAnsi="Times New Roman" w:eastAsia="等线" w:cs="Times New Roman"/>
                      <w:color w:val="auto"/>
                      <w:sz w:val="18"/>
                      <w:szCs w:val="18"/>
                      <w:lang w:val="en-US" w:eastAsia="zh-CN"/>
                    </w:rPr>
                    <w:t>14</w:t>
                  </w:r>
                </w:p>
              </w:tc>
              <w:tc>
                <w:tcPr>
                  <w:tcW w:w="656" w:type="pct"/>
                  <w:vAlign w:val="center"/>
                </w:tcPr>
                <w:p w14:paraId="29C35609">
                  <w:pPr>
                    <w:widowControl/>
                    <w:jc w:val="center"/>
                    <w:textAlignment w:val="center"/>
                    <w:rPr>
                      <w:rFonts w:hint="default" w:ascii="Times New Roman" w:hAnsi="Times New Roman" w:eastAsia="宋体" w:cs="Times New Roman"/>
                      <w:color w:val="auto"/>
                      <w:kern w:val="0"/>
                      <w:sz w:val="18"/>
                      <w:szCs w:val="18"/>
                      <w:lang w:eastAsia="zh-CN" w:bidi="ar"/>
                    </w:rPr>
                  </w:pPr>
                  <w:r>
                    <w:rPr>
                      <w:rFonts w:hint="eastAsia" w:ascii="Times New Roman" w:hAnsi="Times New Roman" w:eastAsia="宋体" w:cs="Times New Roman"/>
                      <w:color w:val="auto"/>
                      <w:kern w:val="0"/>
                      <w:sz w:val="18"/>
                      <w:szCs w:val="18"/>
                      <w:lang w:eastAsia="zh-CN" w:bidi="ar"/>
                    </w:rPr>
                    <w:t>空压机</w:t>
                  </w:r>
                </w:p>
              </w:tc>
              <w:tc>
                <w:tcPr>
                  <w:tcW w:w="263" w:type="pct"/>
                  <w:vAlign w:val="center"/>
                </w:tcPr>
                <w:p w14:paraId="01D07AE6">
                  <w:pPr>
                    <w:widowControl/>
                    <w:jc w:val="center"/>
                    <w:textAlignment w:val="center"/>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2</w:t>
                  </w:r>
                </w:p>
              </w:tc>
              <w:tc>
                <w:tcPr>
                  <w:tcW w:w="434" w:type="pct"/>
                  <w:shd w:val="clear" w:color="auto" w:fill="auto"/>
                  <w:vAlign w:val="center"/>
                </w:tcPr>
                <w:p w14:paraId="478276A3">
                  <w:pPr>
                    <w:widowControl/>
                    <w:jc w:val="center"/>
                    <w:textAlignment w:val="center"/>
                    <w:rPr>
                      <w:rFonts w:hint="default" w:ascii="Times New Roman" w:hAnsi="Times New Roman" w:eastAsia="宋体" w:cs="Times New Roman"/>
                      <w:bCs/>
                      <w:color w:val="auto"/>
                      <w:kern w:val="2"/>
                      <w:sz w:val="18"/>
                      <w:szCs w:val="18"/>
                      <w:lang w:val="en-US" w:eastAsia="zh-CN" w:bidi="ar-SA"/>
                    </w:rPr>
                  </w:pPr>
                  <w:r>
                    <w:rPr>
                      <w:rFonts w:hint="eastAsia"/>
                      <w:color w:val="auto"/>
                      <w:kern w:val="0"/>
                      <w:sz w:val="18"/>
                      <w:szCs w:val="18"/>
                      <w:lang w:val="en-US" w:eastAsia="zh-CN" w:bidi="ar"/>
                    </w:rPr>
                    <w:t>80~90</w:t>
                  </w:r>
                  <w:r>
                    <w:rPr>
                      <w:rFonts w:hint="default"/>
                      <w:bCs/>
                      <w:color w:val="auto"/>
                      <w:kern w:val="0"/>
                      <w:sz w:val="18"/>
                      <w:szCs w:val="18"/>
                      <w:lang w:bidi="en-US"/>
                    </w:rPr>
                    <w:t>/1</w:t>
                  </w:r>
                </w:p>
              </w:tc>
              <w:tc>
                <w:tcPr>
                  <w:tcW w:w="293" w:type="pct"/>
                  <w:vMerge w:val="continue"/>
                  <w:shd w:val="clear" w:color="auto" w:fill="auto"/>
                  <w:vAlign w:val="center"/>
                </w:tcPr>
                <w:p w14:paraId="70A18EED">
                  <w:pPr>
                    <w:adjustRightInd w:val="0"/>
                    <w:snapToGrid w:val="0"/>
                    <w:jc w:val="center"/>
                    <w:rPr>
                      <w:rFonts w:hint="default" w:ascii="Times New Roman" w:hAnsi="Times New Roman" w:eastAsia="宋体" w:cs="Times New Roman"/>
                      <w:b/>
                      <w:bCs/>
                      <w:color w:val="auto"/>
                      <w:kern w:val="0"/>
                      <w:sz w:val="18"/>
                      <w:szCs w:val="18"/>
                      <w:lang w:val="en-US" w:eastAsia="zh-CN" w:bidi="en-US"/>
                    </w:rPr>
                  </w:pPr>
                </w:p>
              </w:tc>
              <w:tc>
                <w:tcPr>
                  <w:tcW w:w="293" w:type="pct"/>
                  <w:shd w:val="clear" w:color="auto" w:fill="auto"/>
                  <w:vAlign w:val="center"/>
                </w:tcPr>
                <w:p w14:paraId="3F84040E">
                  <w:pPr>
                    <w:widowControl/>
                    <w:jc w:val="center"/>
                    <w:textAlignment w:val="center"/>
                    <w:rPr>
                      <w:rFonts w:hint="default" w:ascii="Times New Roman" w:hAnsi="Times New Roman" w:eastAsia="宋体" w:cs="Times New Roman"/>
                      <w:bCs/>
                      <w:color w:val="auto"/>
                      <w:kern w:val="0"/>
                      <w:sz w:val="18"/>
                      <w:szCs w:val="18"/>
                      <w:lang w:val="en-US" w:eastAsia="zh-CN" w:bidi="en-US"/>
                    </w:rPr>
                  </w:pPr>
                  <w:r>
                    <w:rPr>
                      <w:color w:val="auto"/>
                      <w:kern w:val="0"/>
                      <w:sz w:val="18"/>
                      <w:szCs w:val="18"/>
                      <w:lang w:bidi="ar"/>
                    </w:rPr>
                    <w:t>108</w:t>
                  </w:r>
                </w:p>
              </w:tc>
              <w:tc>
                <w:tcPr>
                  <w:tcW w:w="295" w:type="pct"/>
                  <w:shd w:val="clear" w:color="auto" w:fill="auto"/>
                  <w:vAlign w:val="center"/>
                </w:tcPr>
                <w:p w14:paraId="320977BE">
                  <w:pPr>
                    <w:widowControl/>
                    <w:jc w:val="center"/>
                    <w:textAlignment w:val="center"/>
                    <w:rPr>
                      <w:rFonts w:hint="default" w:ascii="Times New Roman" w:hAnsi="Times New Roman" w:eastAsia="宋体" w:cs="Times New Roman"/>
                      <w:bCs/>
                      <w:color w:val="auto"/>
                      <w:kern w:val="0"/>
                      <w:sz w:val="18"/>
                      <w:szCs w:val="18"/>
                      <w:lang w:val="en-US" w:eastAsia="zh-CN" w:bidi="en-US"/>
                    </w:rPr>
                  </w:pPr>
                  <w:r>
                    <w:rPr>
                      <w:color w:val="auto"/>
                      <w:kern w:val="0"/>
                      <w:sz w:val="18"/>
                      <w:szCs w:val="18"/>
                      <w:lang w:bidi="ar"/>
                    </w:rPr>
                    <w:t>11</w:t>
                  </w:r>
                </w:p>
              </w:tc>
              <w:tc>
                <w:tcPr>
                  <w:tcW w:w="310" w:type="pct"/>
                  <w:shd w:val="clear" w:color="auto" w:fill="auto"/>
                  <w:vAlign w:val="center"/>
                </w:tcPr>
                <w:p w14:paraId="2339A872">
                  <w:pPr>
                    <w:widowControl/>
                    <w:adjustRightInd w:val="0"/>
                    <w:snapToGrid w:val="0"/>
                    <w:jc w:val="center"/>
                    <w:rPr>
                      <w:rFonts w:hint="default" w:ascii="Times New Roman" w:hAnsi="Times New Roman" w:eastAsia="宋体" w:cs="Times New Roman"/>
                      <w:bCs/>
                      <w:color w:val="auto"/>
                      <w:kern w:val="0"/>
                      <w:sz w:val="18"/>
                      <w:szCs w:val="18"/>
                      <w:lang w:val="en-US" w:eastAsia="zh-CN" w:bidi="en-US"/>
                    </w:rPr>
                  </w:pPr>
                  <w:r>
                    <w:rPr>
                      <w:rFonts w:hint="eastAsia"/>
                      <w:bCs/>
                      <w:color w:val="auto"/>
                      <w:kern w:val="0"/>
                      <w:sz w:val="18"/>
                      <w:szCs w:val="18"/>
                      <w:lang w:bidi="en-US"/>
                    </w:rPr>
                    <w:t>1.5</w:t>
                  </w:r>
                </w:p>
              </w:tc>
              <w:tc>
                <w:tcPr>
                  <w:tcW w:w="343" w:type="pct"/>
                  <w:shd w:val="clear" w:color="auto" w:fill="auto"/>
                  <w:vAlign w:val="center"/>
                </w:tcPr>
                <w:p w14:paraId="1EE4C72B">
                  <w:pPr>
                    <w:widowControl/>
                    <w:adjustRightInd w:val="0"/>
                    <w:snapToGrid w:val="0"/>
                    <w:jc w:val="center"/>
                    <w:rPr>
                      <w:rFonts w:hint="default" w:ascii="Times New Roman" w:hAnsi="Times New Roman" w:eastAsia="宋体" w:cs="Times New Roman"/>
                      <w:bCs/>
                      <w:color w:val="auto"/>
                      <w:kern w:val="0"/>
                      <w:sz w:val="18"/>
                      <w:szCs w:val="18"/>
                      <w:lang w:val="en-US" w:eastAsia="zh-CN" w:bidi="en-US"/>
                    </w:rPr>
                  </w:pPr>
                  <w:r>
                    <w:rPr>
                      <w:rFonts w:hint="eastAsia"/>
                      <w:bCs/>
                      <w:color w:val="auto"/>
                      <w:kern w:val="0"/>
                      <w:sz w:val="18"/>
                      <w:szCs w:val="18"/>
                      <w:lang w:val="en-US" w:eastAsia="zh-CN" w:bidi="en-US"/>
                    </w:rPr>
                    <w:t>南</w:t>
                  </w:r>
                  <w:r>
                    <w:rPr>
                      <w:rFonts w:hint="eastAsia"/>
                      <w:bCs/>
                      <w:color w:val="auto"/>
                      <w:kern w:val="0"/>
                      <w:sz w:val="18"/>
                      <w:szCs w:val="18"/>
                      <w:lang w:bidi="en-US"/>
                    </w:rPr>
                    <w:t>5</w:t>
                  </w:r>
                </w:p>
              </w:tc>
              <w:tc>
                <w:tcPr>
                  <w:tcW w:w="353" w:type="pct"/>
                  <w:shd w:val="clear" w:color="auto" w:fill="auto"/>
                  <w:vAlign w:val="center"/>
                </w:tcPr>
                <w:p w14:paraId="674F1361">
                  <w:pPr>
                    <w:widowControl/>
                    <w:jc w:val="center"/>
                    <w:textAlignment w:val="bottom"/>
                    <w:rPr>
                      <w:rFonts w:hint="default" w:ascii="Times New Roman" w:hAnsi="Times New Roman" w:eastAsia="等线" w:cs="Times New Roman"/>
                      <w:color w:val="auto"/>
                      <w:kern w:val="0"/>
                      <w:sz w:val="18"/>
                      <w:szCs w:val="18"/>
                      <w:lang w:val="en-US" w:eastAsia="zh-CN" w:bidi="ar"/>
                    </w:rPr>
                  </w:pPr>
                  <w:r>
                    <w:rPr>
                      <w:rFonts w:hint="eastAsia" w:ascii="Times New Roman" w:hAnsi="Times New Roman" w:eastAsia="等线" w:cs="Times New Roman"/>
                      <w:color w:val="auto"/>
                      <w:kern w:val="0"/>
                      <w:sz w:val="18"/>
                      <w:szCs w:val="18"/>
                      <w:lang w:val="en-US" w:eastAsia="zh-CN" w:bidi="ar"/>
                    </w:rPr>
                    <w:t>79.0</w:t>
                  </w:r>
                </w:p>
              </w:tc>
              <w:tc>
                <w:tcPr>
                  <w:tcW w:w="433" w:type="pct"/>
                  <w:vMerge w:val="continue"/>
                  <w:shd w:val="clear" w:color="auto" w:fill="auto"/>
                  <w:vAlign w:val="center"/>
                </w:tcPr>
                <w:p w14:paraId="4C9EDCFE">
                  <w:pPr>
                    <w:widowControl/>
                    <w:adjustRightInd w:val="0"/>
                    <w:snapToGrid w:val="0"/>
                    <w:jc w:val="center"/>
                    <w:rPr>
                      <w:rFonts w:hint="default" w:ascii="Times New Roman" w:hAnsi="Times New Roman" w:eastAsia="宋体" w:cs="Times New Roman"/>
                      <w:bCs/>
                      <w:color w:val="auto"/>
                      <w:kern w:val="0"/>
                      <w:sz w:val="18"/>
                      <w:szCs w:val="18"/>
                      <w:lang w:val="en-US" w:eastAsia="zh-CN" w:bidi="en-US"/>
                    </w:rPr>
                  </w:pPr>
                </w:p>
              </w:tc>
              <w:tc>
                <w:tcPr>
                  <w:tcW w:w="343" w:type="pct"/>
                  <w:shd w:val="clear" w:color="auto" w:fill="auto"/>
                  <w:vAlign w:val="center"/>
                </w:tcPr>
                <w:p w14:paraId="02E2D031">
                  <w:pPr>
                    <w:widowControl/>
                    <w:adjustRightInd w:val="0"/>
                    <w:snapToGrid w:val="0"/>
                    <w:jc w:val="center"/>
                    <w:rPr>
                      <w:rFonts w:hint="default" w:ascii="Times New Roman" w:hAnsi="Times New Roman" w:eastAsia="宋体" w:cs="Times New Roman"/>
                      <w:bCs/>
                      <w:color w:val="auto"/>
                      <w:kern w:val="0"/>
                      <w:sz w:val="18"/>
                      <w:szCs w:val="18"/>
                      <w:lang w:val="en-US" w:eastAsia="zh-CN" w:bidi="en-US"/>
                    </w:rPr>
                  </w:pPr>
                  <w:r>
                    <w:rPr>
                      <w:rFonts w:hint="eastAsia"/>
                      <w:bCs/>
                      <w:color w:val="auto"/>
                      <w:kern w:val="0"/>
                      <w:sz w:val="18"/>
                      <w:szCs w:val="18"/>
                      <w:lang w:bidi="en-US"/>
                    </w:rPr>
                    <w:t>2</w:t>
                  </w:r>
                  <w:r>
                    <w:rPr>
                      <w:bCs/>
                      <w:color w:val="auto"/>
                      <w:kern w:val="0"/>
                      <w:sz w:val="18"/>
                      <w:szCs w:val="18"/>
                      <w:lang w:bidi="en-US"/>
                    </w:rPr>
                    <w:t>5</w:t>
                  </w:r>
                </w:p>
              </w:tc>
              <w:tc>
                <w:tcPr>
                  <w:tcW w:w="416" w:type="pct"/>
                  <w:shd w:val="clear" w:color="auto" w:fill="auto"/>
                  <w:vAlign w:val="center"/>
                </w:tcPr>
                <w:p w14:paraId="3EEFA0A3">
                  <w:pPr>
                    <w:widowControl/>
                    <w:jc w:val="center"/>
                    <w:textAlignment w:val="center"/>
                    <w:rPr>
                      <w:rFonts w:hint="default" w:ascii="Times New Roman" w:hAnsi="Times New Roman" w:eastAsia="宋体" w:cs="Times New Roman"/>
                      <w:bCs/>
                      <w:color w:val="auto"/>
                      <w:kern w:val="0"/>
                      <w:sz w:val="18"/>
                      <w:szCs w:val="18"/>
                      <w:lang w:val="en-US" w:eastAsia="zh-CN" w:bidi="en-US"/>
                    </w:rPr>
                  </w:pPr>
                  <w:r>
                    <w:rPr>
                      <w:rFonts w:hint="eastAsia" w:eastAsia="等线"/>
                      <w:color w:val="auto"/>
                      <w:kern w:val="0"/>
                      <w:sz w:val="18"/>
                      <w:szCs w:val="18"/>
                      <w:lang w:val="en-US" w:eastAsia="zh-CN" w:bidi="ar"/>
                    </w:rPr>
                    <w:t>54.0</w:t>
                  </w:r>
                </w:p>
              </w:tc>
              <w:tc>
                <w:tcPr>
                  <w:tcW w:w="329" w:type="pct"/>
                  <w:vMerge w:val="continue"/>
                  <w:vAlign w:val="center"/>
                </w:tcPr>
                <w:p w14:paraId="62EE78EC">
                  <w:pPr>
                    <w:widowControl/>
                    <w:jc w:val="center"/>
                    <w:textAlignment w:val="center"/>
                    <w:rPr>
                      <w:rFonts w:hint="eastAsia" w:ascii="宋体" w:hAnsi="宋体" w:eastAsia="宋体" w:cs="宋体"/>
                      <w:color w:val="auto"/>
                      <w:kern w:val="0"/>
                      <w:szCs w:val="21"/>
                      <w:lang w:bidi="ar"/>
                    </w:rPr>
                  </w:pPr>
                </w:p>
              </w:tc>
            </w:tr>
          </w:tbl>
          <w:p w14:paraId="49E397D2">
            <w:pPr>
              <w:widowControl/>
              <w:adjustRightInd w:val="0"/>
              <w:snapToGrid w:val="0"/>
              <w:rPr>
                <w:bCs/>
                <w:color w:val="auto"/>
                <w:kern w:val="0"/>
                <w:sz w:val="18"/>
                <w:szCs w:val="18"/>
                <w:lang w:bidi="en-US"/>
              </w:rPr>
            </w:pPr>
            <w:r>
              <w:rPr>
                <w:bCs/>
                <w:color w:val="auto"/>
                <w:kern w:val="0"/>
                <w:sz w:val="18"/>
                <w:szCs w:val="18"/>
                <w:lang w:bidi="en-US"/>
              </w:rPr>
              <w:t>*注：</w:t>
            </w:r>
            <w:r>
              <w:rPr>
                <w:color w:val="auto"/>
                <w:kern w:val="0"/>
                <w:sz w:val="18"/>
                <w:szCs w:val="18"/>
              </w:rPr>
              <w:t>空间坐标以厂界西</w:t>
            </w:r>
            <w:r>
              <w:rPr>
                <w:rFonts w:hint="eastAsia"/>
                <w:color w:val="auto"/>
                <w:kern w:val="0"/>
                <w:sz w:val="18"/>
                <w:szCs w:val="18"/>
                <w:lang w:val="en-US" w:eastAsia="zh-CN"/>
              </w:rPr>
              <w:t>南</w:t>
            </w:r>
            <w:r>
              <w:rPr>
                <w:color w:val="auto"/>
                <w:kern w:val="0"/>
                <w:sz w:val="18"/>
                <w:szCs w:val="18"/>
              </w:rPr>
              <w:t>角为原点</w:t>
            </w:r>
            <w:r>
              <w:rPr>
                <w:bCs/>
                <w:color w:val="auto"/>
                <w:kern w:val="0"/>
                <w:sz w:val="18"/>
                <w:szCs w:val="18"/>
                <w:lang w:bidi="en-US"/>
              </w:rPr>
              <w:t>（0,0,0）点。</w:t>
            </w:r>
          </w:p>
          <w:p w14:paraId="5024500D">
            <w:pPr>
              <w:widowControl/>
              <w:adjustRightInd w:val="0"/>
              <w:snapToGrid w:val="0"/>
              <w:spacing w:before="120" w:beforeLines="50" w:line="360" w:lineRule="auto"/>
              <w:ind w:firstLine="482" w:firstLineChars="200"/>
              <w:jc w:val="left"/>
              <w:rPr>
                <w:b/>
                <w:color w:val="auto"/>
                <w:kern w:val="0"/>
                <w:sz w:val="24"/>
                <w:lang w:bidi="en-US"/>
              </w:rPr>
            </w:pPr>
            <w:r>
              <w:rPr>
                <w:b/>
                <w:color w:val="auto"/>
                <w:kern w:val="0"/>
                <w:sz w:val="24"/>
                <w:lang w:bidi="en-US"/>
              </w:rPr>
              <w:t>3.2噪声预测</w:t>
            </w:r>
          </w:p>
          <w:p w14:paraId="2C3A423A">
            <w:pPr>
              <w:widowControl/>
              <w:adjustRightInd w:val="0"/>
              <w:snapToGrid w:val="0"/>
              <w:spacing w:line="360" w:lineRule="auto"/>
              <w:ind w:left="17" w:firstLine="472" w:firstLineChars="197"/>
              <w:jc w:val="left"/>
              <w:rPr>
                <w:rFonts w:hint="eastAsia" w:hAnsiTheme="minorEastAsia" w:eastAsiaTheme="minorEastAsia"/>
                <w:color w:val="auto"/>
                <w:kern w:val="0"/>
                <w:sz w:val="24"/>
              </w:rPr>
            </w:pPr>
            <w:r>
              <w:rPr>
                <w:rFonts w:hAnsiTheme="minorEastAsia" w:eastAsiaTheme="minorEastAsia"/>
                <w:color w:val="auto"/>
                <w:sz w:val="24"/>
              </w:rPr>
              <w:t>根据</w:t>
            </w:r>
            <w:r>
              <w:rPr>
                <w:rFonts w:hint="eastAsia" w:hAnsiTheme="minorEastAsia" w:eastAsiaTheme="minorEastAsia"/>
                <w:color w:val="auto"/>
                <w:sz w:val="24"/>
              </w:rPr>
              <w:t>其</w:t>
            </w:r>
            <w:r>
              <w:rPr>
                <w:rFonts w:hAnsiTheme="minorEastAsia" w:eastAsiaTheme="minorEastAsia"/>
                <w:color w:val="auto"/>
                <w:sz w:val="24"/>
              </w:rPr>
              <w:t>建设内容及《环境影响评价技术导则声环境》（</w:t>
            </w:r>
            <w:r>
              <w:rPr>
                <w:rFonts w:eastAsiaTheme="minorEastAsia"/>
                <w:color w:val="auto"/>
                <w:sz w:val="24"/>
              </w:rPr>
              <w:t>HJ2.4-2021</w:t>
            </w:r>
            <w:r>
              <w:rPr>
                <w:rFonts w:hAnsiTheme="minorEastAsia" w:eastAsiaTheme="minorEastAsia"/>
                <w:color w:val="auto"/>
                <w:sz w:val="24"/>
              </w:rPr>
              <w:t>）</w:t>
            </w:r>
            <w:r>
              <w:rPr>
                <w:rFonts w:hint="eastAsia" w:hAnsiTheme="minorEastAsia" w:eastAsiaTheme="minorEastAsia"/>
                <w:color w:val="auto"/>
                <w:sz w:val="24"/>
              </w:rPr>
              <w:t>的要求</w:t>
            </w:r>
            <w:r>
              <w:rPr>
                <w:rFonts w:hAnsiTheme="minorEastAsia" w:eastAsiaTheme="minorEastAsia"/>
                <w:color w:val="auto"/>
                <w:sz w:val="24"/>
              </w:rPr>
              <w:t>，</w:t>
            </w:r>
            <w:r>
              <w:rPr>
                <w:rFonts w:hint="eastAsia" w:hAnsiTheme="minorEastAsia" w:eastAsiaTheme="minorEastAsia"/>
                <w:color w:val="auto"/>
                <w:sz w:val="24"/>
              </w:rPr>
              <w:t>项目</w:t>
            </w:r>
            <w:r>
              <w:rPr>
                <w:rFonts w:hAnsiTheme="minorEastAsia" w:eastAsiaTheme="minorEastAsia"/>
                <w:color w:val="auto"/>
                <w:sz w:val="24"/>
              </w:rPr>
              <w:t>采用</w:t>
            </w:r>
            <w:r>
              <w:rPr>
                <w:rFonts w:hint="eastAsia" w:hAnsiTheme="minorEastAsia" w:eastAsiaTheme="minorEastAsia"/>
                <w:color w:val="auto"/>
                <w:sz w:val="24"/>
              </w:rPr>
              <w:t>的</w:t>
            </w:r>
            <w:r>
              <w:rPr>
                <w:rFonts w:hAnsiTheme="minorEastAsia" w:eastAsiaTheme="minorEastAsia"/>
                <w:color w:val="auto"/>
                <w:sz w:val="24"/>
              </w:rPr>
              <w:t>模型为《环境影响评价技术导则声环境》</w:t>
            </w:r>
            <w:r>
              <w:rPr>
                <w:rFonts w:hint="eastAsia" w:eastAsiaTheme="minorEastAsia"/>
                <w:color w:val="auto"/>
                <w:sz w:val="24"/>
              </w:rPr>
              <w:t>（</w:t>
            </w:r>
            <w:r>
              <w:rPr>
                <w:rFonts w:eastAsiaTheme="minorEastAsia"/>
                <w:color w:val="auto"/>
                <w:sz w:val="24"/>
              </w:rPr>
              <w:t>HJ2.4-2021</w:t>
            </w:r>
            <w:r>
              <w:rPr>
                <w:rFonts w:hint="eastAsia" w:eastAsiaTheme="minorEastAsia"/>
                <w:color w:val="auto"/>
                <w:sz w:val="24"/>
              </w:rPr>
              <w:t>）</w:t>
            </w:r>
            <w:r>
              <w:rPr>
                <w:rFonts w:hAnsiTheme="minorEastAsia" w:eastAsiaTheme="minorEastAsia"/>
                <w:color w:val="auto"/>
                <w:sz w:val="24"/>
              </w:rPr>
              <w:t>附录</w:t>
            </w:r>
            <w:r>
              <w:rPr>
                <w:rFonts w:eastAsiaTheme="minorEastAsia"/>
                <w:color w:val="auto"/>
                <w:sz w:val="24"/>
              </w:rPr>
              <w:t>A</w:t>
            </w:r>
            <w:r>
              <w:rPr>
                <w:rFonts w:hAnsiTheme="minorEastAsia" w:eastAsiaTheme="minorEastAsia"/>
                <w:color w:val="auto"/>
                <w:sz w:val="24"/>
              </w:rPr>
              <w:t>（规范性附录）户外声传播的衰减和附录</w:t>
            </w:r>
            <w:r>
              <w:rPr>
                <w:rFonts w:eastAsiaTheme="minorEastAsia"/>
                <w:color w:val="auto"/>
                <w:sz w:val="24"/>
              </w:rPr>
              <w:t>B</w:t>
            </w:r>
            <w:r>
              <w:rPr>
                <w:rFonts w:hAnsiTheme="minorEastAsia" w:eastAsiaTheme="minorEastAsia"/>
                <w:color w:val="auto"/>
                <w:sz w:val="24"/>
              </w:rPr>
              <w:t>（规范性附录）中</w:t>
            </w:r>
            <w:r>
              <w:rPr>
                <w:rFonts w:eastAsiaTheme="minorEastAsia"/>
                <w:color w:val="auto"/>
                <w:sz w:val="24"/>
              </w:rPr>
              <w:t>“B.1</w:t>
            </w:r>
            <w:r>
              <w:rPr>
                <w:rFonts w:hAnsiTheme="minorEastAsia" w:eastAsiaTheme="minorEastAsia"/>
                <w:color w:val="auto"/>
                <w:sz w:val="24"/>
              </w:rPr>
              <w:t>工业噪声预测计算模型</w:t>
            </w:r>
            <w:r>
              <w:rPr>
                <w:rFonts w:eastAsiaTheme="minorEastAsia"/>
                <w:color w:val="auto"/>
                <w:sz w:val="24"/>
              </w:rPr>
              <w:t>”</w:t>
            </w:r>
            <w:r>
              <w:rPr>
                <w:rFonts w:hAnsiTheme="minorEastAsia" w:eastAsiaTheme="minorEastAsia"/>
                <w:color w:val="auto"/>
                <w:sz w:val="24"/>
              </w:rPr>
              <w:t>。</w:t>
            </w:r>
            <w:r>
              <w:rPr>
                <w:rFonts w:hint="eastAsia" w:hAnsiTheme="minorEastAsia" w:eastAsiaTheme="minorEastAsia"/>
                <w:color w:val="auto"/>
                <w:sz w:val="24"/>
              </w:rPr>
              <w:t>建设项目厂界</w:t>
            </w:r>
            <w:r>
              <w:rPr>
                <w:rFonts w:hint="eastAsia" w:hAnsiTheme="minorEastAsia" w:eastAsiaTheme="minorEastAsia"/>
                <w:color w:val="auto"/>
                <w:sz w:val="24"/>
                <w:lang w:val="en-US" w:eastAsia="zh-CN"/>
              </w:rPr>
              <w:t>四周</w:t>
            </w:r>
            <w:r>
              <w:rPr>
                <w:rFonts w:hint="eastAsia" w:hAnsiTheme="minorEastAsia" w:eastAsiaTheme="minorEastAsia"/>
                <w:color w:val="auto"/>
                <w:sz w:val="24"/>
              </w:rPr>
              <w:t>进行噪声预测。建设项目厂房边界</w:t>
            </w:r>
            <w:r>
              <w:rPr>
                <w:rFonts w:hAnsiTheme="minorEastAsia" w:eastAsiaTheme="minorEastAsia"/>
                <w:color w:val="auto"/>
                <w:kern w:val="0"/>
                <w:sz w:val="24"/>
              </w:rPr>
              <w:t>噪声预测结果见下表。</w:t>
            </w:r>
          </w:p>
          <w:p w14:paraId="4999D06C">
            <w:pPr>
              <w:autoSpaceDE w:val="0"/>
              <w:autoSpaceDN w:val="0"/>
              <w:snapToGrid w:val="0"/>
              <w:jc w:val="center"/>
              <w:rPr>
                <w:b/>
                <w:color w:val="auto"/>
                <w:kern w:val="0"/>
                <w:sz w:val="24"/>
              </w:rPr>
            </w:pPr>
            <w:r>
              <w:rPr>
                <w:b/>
                <w:color w:val="auto"/>
                <w:kern w:val="0"/>
                <w:sz w:val="24"/>
              </w:rPr>
              <w:t>表4</w:t>
            </w:r>
            <w:r>
              <w:rPr>
                <w:rFonts w:hint="eastAsia"/>
                <w:b/>
                <w:color w:val="auto"/>
                <w:kern w:val="0"/>
                <w:sz w:val="24"/>
                <w:lang w:val="en-US" w:eastAsia="zh-CN"/>
              </w:rPr>
              <w:t>-18</w:t>
            </w:r>
            <w:r>
              <w:rPr>
                <w:b/>
                <w:color w:val="auto"/>
                <w:kern w:val="0"/>
                <w:sz w:val="24"/>
              </w:rPr>
              <w:t xml:space="preserve">  </w:t>
            </w:r>
            <w:r>
              <w:rPr>
                <w:rFonts w:hint="eastAsia"/>
                <w:b/>
                <w:color w:val="auto"/>
                <w:kern w:val="0"/>
                <w:sz w:val="24"/>
              </w:rPr>
              <w:t>厂房边界</w:t>
            </w:r>
            <w:r>
              <w:rPr>
                <w:b/>
                <w:color w:val="auto"/>
                <w:spacing w:val="-3"/>
                <w:kern w:val="0"/>
                <w:sz w:val="24"/>
              </w:rPr>
              <w:t>噪</w:t>
            </w:r>
            <w:r>
              <w:rPr>
                <w:b/>
                <w:color w:val="auto"/>
                <w:kern w:val="0"/>
                <w:sz w:val="24"/>
              </w:rPr>
              <w:t>声</w:t>
            </w:r>
            <w:r>
              <w:rPr>
                <w:b/>
                <w:color w:val="auto"/>
                <w:spacing w:val="-3"/>
                <w:kern w:val="0"/>
                <w:sz w:val="24"/>
              </w:rPr>
              <w:t>贡献值结</w:t>
            </w:r>
            <w:r>
              <w:rPr>
                <w:b/>
                <w:color w:val="auto"/>
                <w:kern w:val="0"/>
                <w:sz w:val="24"/>
              </w:rPr>
              <w:t>果</w:t>
            </w:r>
            <w:r>
              <w:rPr>
                <w:b/>
                <w:color w:val="auto"/>
                <w:spacing w:val="-3"/>
                <w:kern w:val="0"/>
                <w:sz w:val="24"/>
              </w:rPr>
              <w:t>与</w:t>
            </w:r>
            <w:r>
              <w:rPr>
                <w:b/>
                <w:color w:val="auto"/>
                <w:kern w:val="0"/>
                <w:sz w:val="24"/>
              </w:rPr>
              <w:t>达标</w:t>
            </w:r>
            <w:r>
              <w:rPr>
                <w:b/>
                <w:color w:val="auto"/>
                <w:spacing w:val="-3"/>
                <w:kern w:val="0"/>
                <w:sz w:val="24"/>
              </w:rPr>
              <w:t>分</w:t>
            </w:r>
            <w:r>
              <w:rPr>
                <w:b/>
                <w:color w:val="auto"/>
                <w:kern w:val="0"/>
                <w:sz w:val="24"/>
              </w:rPr>
              <w:t>析表</w:t>
            </w:r>
          </w:p>
          <w:tbl>
            <w:tblPr>
              <w:tblStyle w:val="3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63"/>
              <w:gridCol w:w="1063"/>
              <w:gridCol w:w="1065"/>
              <w:gridCol w:w="1068"/>
              <w:gridCol w:w="1065"/>
              <w:gridCol w:w="1071"/>
              <w:gridCol w:w="1071"/>
              <w:gridCol w:w="1062"/>
            </w:tblGrid>
            <w:tr w14:paraId="7251CE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623" w:type="pct"/>
                  <w:vMerge w:val="restart"/>
                  <w:vAlign w:val="center"/>
                </w:tcPr>
                <w:p w14:paraId="7EC3212D">
                  <w:pPr>
                    <w:widowControl/>
                    <w:adjustRightInd w:val="0"/>
                    <w:snapToGrid w:val="0"/>
                    <w:jc w:val="center"/>
                    <w:rPr>
                      <w:b/>
                      <w:color w:val="auto"/>
                      <w:sz w:val="18"/>
                      <w:szCs w:val="18"/>
                    </w:rPr>
                  </w:pPr>
                  <w:r>
                    <w:rPr>
                      <w:b/>
                      <w:color w:val="auto"/>
                      <w:sz w:val="18"/>
                      <w:szCs w:val="18"/>
                    </w:rPr>
                    <w:t>预测方位</w:t>
                  </w:r>
                </w:p>
              </w:tc>
              <w:tc>
                <w:tcPr>
                  <w:tcW w:w="1873" w:type="pct"/>
                  <w:gridSpan w:val="3"/>
                  <w:vAlign w:val="center"/>
                </w:tcPr>
                <w:p w14:paraId="024C602B">
                  <w:pPr>
                    <w:widowControl/>
                    <w:adjustRightInd w:val="0"/>
                    <w:snapToGrid w:val="0"/>
                    <w:jc w:val="center"/>
                    <w:rPr>
                      <w:b/>
                      <w:color w:val="auto"/>
                      <w:sz w:val="18"/>
                      <w:szCs w:val="18"/>
                    </w:rPr>
                  </w:pPr>
                  <w:r>
                    <w:rPr>
                      <w:b/>
                      <w:color w:val="auto"/>
                      <w:sz w:val="18"/>
                      <w:szCs w:val="18"/>
                    </w:rPr>
                    <w:t>空间相对位置*/m</w:t>
                  </w:r>
                </w:p>
              </w:tc>
              <w:tc>
                <w:tcPr>
                  <w:tcW w:w="624" w:type="pct"/>
                  <w:vMerge w:val="restart"/>
                  <w:vAlign w:val="center"/>
                </w:tcPr>
                <w:p w14:paraId="2328FC49">
                  <w:pPr>
                    <w:widowControl/>
                    <w:adjustRightInd w:val="0"/>
                    <w:snapToGrid w:val="0"/>
                    <w:jc w:val="center"/>
                    <w:rPr>
                      <w:b/>
                      <w:color w:val="auto"/>
                      <w:sz w:val="18"/>
                      <w:szCs w:val="18"/>
                    </w:rPr>
                  </w:pPr>
                  <w:r>
                    <w:rPr>
                      <w:b/>
                      <w:color w:val="auto"/>
                      <w:sz w:val="18"/>
                      <w:szCs w:val="18"/>
                    </w:rPr>
                    <w:t>时段</w:t>
                  </w:r>
                </w:p>
              </w:tc>
              <w:tc>
                <w:tcPr>
                  <w:tcW w:w="628" w:type="pct"/>
                  <w:vMerge w:val="restart"/>
                  <w:vAlign w:val="center"/>
                </w:tcPr>
                <w:p w14:paraId="5C074FFB">
                  <w:pPr>
                    <w:widowControl/>
                    <w:adjustRightInd w:val="0"/>
                    <w:snapToGrid w:val="0"/>
                    <w:jc w:val="center"/>
                    <w:rPr>
                      <w:b/>
                      <w:color w:val="auto"/>
                      <w:sz w:val="18"/>
                      <w:szCs w:val="18"/>
                    </w:rPr>
                  </w:pPr>
                  <w:r>
                    <w:rPr>
                      <w:b/>
                      <w:color w:val="auto"/>
                      <w:sz w:val="18"/>
                      <w:szCs w:val="18"/>
                    </w:rPr>
                    <w:t>贡献值（dB（A））</w:t>
                  </w:r>
                </w:p>
              </w:tc>
              <w:tc>
                <w:tcPr>
                  <w:tcW w:w="628" w:type="pct"/>
                  <w:vMerge w:val="restart"/>
                  <w:vAlign w:val="center"/>
                </w:tcPr>
                <w:p w14:paraId="543A3FA9">
                  <w:pPr>
                    <w:widowControl/>
                    <w:adjustRightInd w:val="0"/>
                    <w:snapToGrid w:val="0"/>
                    <w:jc w:val="center"/>
                    <w:rPr>
                      <w:b/>
                      <w:color w:val="auto"/>
                      <w:sz w:val="18"/>
                      <w:szCs w:val="18"/>
                    </w:rPr>
                  </w:pPr>
                  <w:r>
                    <w:rPr>
                      <w:b/>
                      <w:color w:val="auto"/>
                      <w:sz w:val="18"/>
                      <w:szCs w:val="18"/>
                    </w:rPr>
                    <w:t>标准限值（dB（A））</w:t>
                  </w:r>
                </w:p>
              </w:tc>
              <w:tc>
                <w:tcPr>
                  <w:tcW w:w="622" w:type="pct"/>
                  <w:vMerge w:val="restart"/>
                  <w:vAlign w:val="center"/>
                </w:tcPr>
                <w:p w14:paraId="7142F6D3">
                  <w:pPr>
                    <w:widowControl/>
                    <w:adjustRightInd w:val="0"/>
                    <w:snapToGrid w:val="0"/>
                    <w:jc w:val="center"/>
                    <w:rPr>
                      <w:b/>
                      <w:color w:val="auto"/>
                      <w:sz w:val="18"/>
                      <w:szCs w:val="18"/>
                    </w:rPr>
                  </w:pPr>
                  <w:r>
                    <w:rPr>
                      <w:b/>
                      <w:color w:val="auto"/>
                      <w:sz w:val="18"/>
                      <w:szCs w:val="18"/>
                    </w:rPr>
                    <w:t>达标情况</w:t>
                  </w:r>
                </w:p>
              </w:tc>
            </w:tr>
            <w:tr w14:paraId="350837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623" w:type="pct"/>
                  <w:vMerge w:val="continue"/>
                  <w:vAlign w:val="center"/>
                </w:tcPr>
                <w:p w14:paraId="216FEE81">
                  <w:pPr>
                    <w:widowControl/>
                    <w:adjustRightInd w:val="0"/>
                    <w:snapToGrid w:val="0"/>
                    <w:jc w:val="center"/>
                    <w:rPr>
                      <w:color w:val="auto"/>
                    </w:rPr>
                  </w:pPr>
                </w:p>
              </w:tc>
              <w:tc>
                <w:tcPr>
                  <w:tcW w:w="623" w:type="pct"/>
                  <w:vAlign w:val="center"/>
                </w:tcPr>
                <w:p w14:paraId="6350D732">
                  <w:pPr>
                    <w:jc w:val="center"/>
                    <w:rPr>
                      <w:b/>
                      <w:bCs/>
                      <w:color w:val="auto"/>
                      <w:sz w:val="18"/>
                      <w:szCs w:val="18"/>
                    </w:rPr>
                  </w:pPr>
                  <w:r>
                    <w:rPr>
                      <w:b/>
                      <w:bCs/>
                      <w:color w:val="auto"/>
                      <w:sz w:val="18"/>
                      <w:szCs w:val="18"/>
                    </w:rPr>
                    <w:t>X</w:t>
                  </w:r>
                </w:p>
              </w:tc>
              <w:tc>
                <w:tcPr>
                  <w:tcW w:w="624" w:type="pct"/>
                  <w:vAlign w:val="center"/>
                </w:tcPr>
                <w:p w14:paraId="1C4CCFC4">
                  <w:pPr>
                    <w:jc w:val="center"/>
                    <w:rPr>
                      <w:b/>
                      <w:bCs/>
                      <w:color w:val="auto"/>
                      <w:sz w:val="18"/>
                      <w:szCs w:val="18"/>
                    </w:rPr>
                  </w:pPr>
                  <w:r>
                    <w:rPr>
                      <w:b/>
                      <w:bCs/>
                      <w:color w:val="auto"/>
                      <w:sz w:val="18"/>
                      <w:szCs w:val="18"/>
                    </w:rPr>
                    <w:t>Y</w:t>
                  </w:r>
                </w:p>
              </w:tc>
              <w:tc>
                <w:tcPr>
                  <w:tcW w:w="625" w:type="pct"/>
                  <w:vAlign w:val="center"/>
                </w:tcPr>
                <w:p w14:paraId="6F5496F1">
                  <w:pPr>
                    <w:jc w:val="center"/>
                    <w:rPr>
                      <w:b/>
                      <w:bCs/>
                      <w:color w:val="auto"/>
                      <w:sz w:val="18"/>
                      <w:szCs w:val="18"/>
                    </w:rPr>
                  </w:pPr>
                  <w:r>
                    <w:rPr>
                      <w:b/>
                      <w:bCs/>
                      <w:color w:val="auto"/>
                      <w:sz w:val="18"/>
                      <w:szCs w:val="18"/>
                    </w:rPr>
                    <w:t>Z</w:t>
                  </w:r>
                </w:p>
              </w:tc>
              <w:tc>
                <w:tcPr>
                  <w:tcW w:w="624" w:type="pct"/>
                  <w:vMerge w:val="continue"/>
                  <w:vAlign w:val="center"/>
                </w:tcPr>
                <w:p w14:paraId="63E5F773">
                  <w:pPr>
                    <w:widowControl/>
                    <w:adjustRightInd w:val="0"/>
                    <w:snapToGrid w:val="0"/>
                    <w:jc w:val="center"/>
                    <w:rPr>
                      <w:b/>
                      <w:color w:val="auto"/>
                      <w:sz w:val="18"/>
                      <w:szCs w:val="18"/>
                    </w:rPr>
                  </w:pPr>
                </w:p>
              </w:tc>
              <w:tc>
                <w:tcPr>
                  <w:tcW w:w="628" w:type="pct"/>
                  <w:vMerge w:val="continue"/>
                  <w:vAlign w:val="center"/>
                </w:tcPr>
                <w:p w14:paraId="4A7B8609">
                  <w:pPr>
                    <w:widowControl/>
                    <w:adjustRightInd w:val="0"/>
                    <w:snapToGrid w:val="0"/>
                    <w:jc w:val="center"/>
                    <w:rPr>
                      <w:b/>
                      <w:color w:val="auto"/>
                      <w:sz w:val="18"/>
                      <w:szCs w:val="18"/>
                    </w:rPr>
                  </w:pPr>
                </w:p>
              </w:tc>
              <w:tc>
                <w:tcPr>
                  <w:tcW w:w="628" w:type="pct"/>
                  <w:vMerge w:val="continue"/>
                  <w:vAlign w:val="center"/>
                </w:tcPr>
                <w:p w14:paraId="212D2BAB">
                  <w:pPr>
                    <w:widowControl/>
                    <w:adjustRightInd w:val="0"/>
                    <w:snapToGrid w:val="0"/>
                    <w:jc w:val="center"/>
                    <w:rPr>
                      <w:b/>
                      <w:color w:val="auto"/>
                      <w:sz w:val="18"/>
                      <w:szCs w:val="18"/>
                    </w:rPr>
                  </w:pPr>
                </w:p>
              </w:tc>
              <w:tc>
                <w:tcPr>
                  <w:tcW w:w="622" w:type="pct"/>
                  <w:vMerge w:val="continue"/>
                  <w:vAlign w:val="center"/>
                </w:tcPr>
                <w:p w14:paraId="5996236C">
                  <w:pPr>
                    <w:widowControl/>
                    <w:adjustRightInd w:val="0"/>
                    <w:snapToGrid w:val="0"/>
                    <w:jc w:val="center"/>
                    <w:rPr>
                      <w:b/>
                      <w:color w:val="auto"/>
                      <w:sz w:val="18"/>
                      <w:szCs w:val="18"/>
                    </w:rPr>
                  </w:pPr>
                </w:p>
              </w:tc>
            </w:tr>
            <w:tr w14:paraId="76C30B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3" w:type="pct"/>
                  <w:vAlign w:val="center"/>
                </w:tcPr>
                <w:p w14:paraId="6240E0A4">
                  <w:pPr>
                    <w:widowControl/>
                    <w:adjustRightInd w:val="0"/>
                    <w:snapToGrid w:val="0"/>
                    <w:jc w:val="center"/>
                    <w:rPr>
                      <w:rFonts w:hint="eastAsia" w:eastAsia="宋体"/>
                      <w:color w:val="auto"/>
                      <w:sz w:val="18"/>
                      <w:szCs w:val="18"/>
                      <w:lang w:val="en-US" w:eastAsia="zh-CN"/>
                    </w:rPr>
                  </w:pPr>
                  <w:r>
                    <w:rPr>
                      <w:rFonts w:hint="eastAsia"/>
                      <w:color w:val="auto"/>
                      <w:sz w:val="18"/>
                      <w:szCs w:val="18"/>
                      <w:lang w:val="en-US" w:eastAsia="zh-CN"/>
                    </w:rPr>
                    <w:t>东侧</w:t>
                  </w:r>
                </w:p>
              </w:tc>
              <w:tc>
                <w:tcPr>
                  <w:tcW w:w="623" w:type="pct"/>
                  <w:vAlign w:val="center"/>
                </w:tcPr>
                <w:p w14:paraId="183BFEE4">
                  <w:pPr>
                    <w:widowControl/>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196.5</w:t>
                  </w:r>
                </w:p>
              </w:tc>
              <w:tc>
                <w:tcPr>
                  <w:tcW w:w="624" w:type="pct"/>
                  <w:vAlign w:val="center"/>
                </w:tcPr>
                <w:p w14:paraId="08EAD1AC">
                  <w:pPr>
                    <w:widowControl/>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85</w:t>
                  </w:r>
                </w:p>
              </w:tc>
              <w:tc>
                <w:tcPr>
                  <w:tcW w:w="625" w:type="pct"/>
                  <w:vAlign w:val="center"/>
                </w:tcPr>
                <w:p w14:paraId="7CC1C0D2">
                  <w:pPr>
                    <w:widowControl/>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5.5</w:t>
                  </w:r>
                </w:p>
              </w:tc>
              <w:tc>
                <w:tcPr>
                  <w:tcW w:w="624" w:type="pct"/>
                  <w:vAlign w:val="center"/>
                </w:tcPr>
                <w:p w14:paraId="1ABD7CA4">
                  <w:pPr>
                    <w:widowControl/>
                    <w:adjustRightInd w:val="0"/>
                    <w:snapToGrid w:val="0"/>
                    <w:jc w:val="center"/>
                    <w:rPr>
                      <w:color w:val="auto"/>
                      <w:sz w:val="18"/>
                      <w:szCs w:val="18"/>
                    </w:rPr>
                  </w:pPr>
                  <w:r>
                    <w:rPr>
                      <w:color w:val="auto"/>
                      <w:sz w:val="18"/>
                      <w:szCs w:val="18"/>
                    </w:rPr>
                    <w:t>昼间</w:t>
                  </w:r>
                </w:p>
              </w:tc>
              <w:tc>
                <w:tcPr>
                  <w:tcW w:w="628" w:type="pct"/>
                  <w:vAlign w:val="center"/>
                </w:tcPr>
                <w:p w14:paraId="21B7572D">
                  <w:pPr>
                    <w:widowControl/>
                    <w:adjustRightInd w:val="0"/>
                    <w:snapToGrid w:val="0"/>
                    <w:jc w:val="center"/>
                    <w:rPr>
                      <w:rFonts w:hint="default"/>
                      <w:color w:val="auto"/>
                      <w:sz w:val="18"/>
                      <w:szCs w:val="18"/>
                      <w:lang w:val="en-US" w:eastAsia="zh-CN"/>
                    </w:rPr>
                  </w:pPr>
                  <w:r>
                    <w:rPr>
                      <w:rFonts w:hint="eastAsia"/>
                      <w:color w:val="auto"/>
                      <w:sz w:val="18"/>
                      <w:szCs w:val="18"/>
                      <w:lang w:val="en-US" w:eastAsia="zh-CN"/>
                    </w:rPr>
                    <w:t>38.3</w:t>
                  </w:r>
                </w:p>
              </w:tc>
              <w:tc>
                <w:tcPr>
                  <w:tcW w:w="628" w:type="pct"/>
                  <w:shd w:val="clear" w:color="auto" w:fill="auto"/>
                  <w:vAlign w:val="center"/>
                </w:tcPr>
                <w:p w14:paraId="510C8212">
                  <w:pPr>
                    <w:widowControl/>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rPr>
                    <w:t>6</w:t>
                  </w:r>
                  <w:r>
                    <w:rPr>
                      <w:color w:val="auto"/>
                      <w:sz w:val="18"/>
                      <w:szCs w:val="18"/>
                    </w:rPr>
                    <w:t>5</w:t>
                  </w:r>
                </w:p>
              </w:tc>
              <w:tc>
                <w:tcPr>
                  <w:tcW w:w="622" w:type="pct"/>
                  <w:shd w:val="clear" w:color="auto" w:fill="auto"/>
                  <w:vAlign w:val="center"/>
                </w:tcPr>
                <w:p w14:paraId="3B628978">
                  <w:pPr>
                    <w:widowControl/>
                    <w:adjustRightInd w:val="0"/>
                    <w:snapToGrid w:val="0"/>
                    <w:jc w:val="center"/>
                    <w:rPr>
                      <w:rFonts w:ascii="Times New Roman" w:hAnsi="Times New Roman" w:eastAsia="宋体" w:cs="Times New Roman"/>
                      <w:color w:val="auto"/>
                      <w:kern w:val="2"/>
                      <w:sz w:val="18"/>
                      <w:szCs w:val="18"/>
                      <w:lang w:val="en-US" w:eastAsia="zh-CN" w:bidi="ar-SA"/>
                    </w:rPr>
                  </w:pPr>
                  <w:r>
                    <w:rPr>
                      <w:color w:val="auto"/>
                      <w:sz w:val="18"/>
                      <w:szCs w:val="18"/>
                    </w:rPr>
                    <w:t>达标</w:t>
                  </w:r>
                </w:p>
              </w:tc>
            </w:tr>
            <w:tr w14:paraId="7C87A0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3" w:type="pct"/>
                  <w:vAlign w:val="center"/>
                </w:tcPr>
                <w:p w14:paraId="76F1317B">
                  <w:pPr>
                    <w:widowControl/>
                    <w:adjustRightInd w:val="0"/>
                    <w:snapToGrid w:val="0"/>
                    <w:jc w:val="center"/>
                    <w:rPr>
                      <w:color w:val="auto"/>
                      <w:sz w:val="18"/>
                      <w:szCs w:val="18"/>
                    </w:rPr>
                  </w:pPr>
                  <w:r>
                    <w:rPr>
                      <w:rFonts w:hint="eastAsia"/>
                      <w:color w:val="auto"/>
                      <w:sz w:val="18"/>
                      <w:szCs w:val="18"/>
                    </w:rPr>
                    <w:t>南侧</w:t>
                  </w:r>
                </w:p>
              </w:tc>
              <w:tc>
                <w:tcPr>
                  <w:tcW w:w="623" w:type="pct"/>
                  <w:vAlign w:val="center"/>
                </w:tcPr>
                <w:p w14:paraId="3DA71F7C">
                  <w:pPr>
                    <w:widowControl/>
                    <w:adjustRightInd w:val="0"/>
                    <w:snapToGrid w:val="0"/>
                    <w:jc w:val="center"/>
                    <w:rPr>
                      <w:color w:val="auto"/>
                      <w:sz w:val="18"/>
                      <w:szCs w:val="18"/>
                    </w:rPr>
                  </w:pPr>
                  <w:r>
                    <w:rPr>
                      <w:rFonts w:hint="eastAsia"/>
                      <w:color w:val="auto"/>
                      <w:sz w:val="18"/>
                      <w:szCs w:val="18"/>
                    </w:rPr>
                    <w:t>97.5</w:t>
                  </w:r>
                </w:p>
              </w:tc>
              <w:tc>
                <w:tcPr>
                  <w:tcW w:w="624" w:type="pct"/>
                  <w:vAlign w:val="center"/>
                </w:tcPr>
                <w:p w14:paraId="3FCBEDA9">
                  <w:pPr>
                    <w:widowControl/>
                    <w:adjustRightInd w:val="0"/>
                    <w:snapToGrid w:val="0"/>
                    <w:jc w:val="center"/>
                    <w:rPr>
                      <w:color w:val="auto"/>
                      <w:sz w:val="18"/>
                      <w:szCs w:val="18"/>
                    </w:rPr>
                  </w:pPr>
                  <w:r>
                    <w:rPr>
                      <w:rFonts w:hint="eastAsia"/>
                      <w:color w:val="auto"/>
                      <w:sz w:val="18"/>
                      <w:szCs w:val="18"/>
                    </w:rPr>
                    <w:t>1.5</w:t>
                  </w:r>
                </w:p>
              </w:tc>
              <w:tc>
                <w:tcPr>
                  <w:tcW w:w="625" w:type="pct"/>
                  <w:vAlign w:val="center"/>
                </w:tcPr>
                <w:p w14:paraId="413F5DFF">
                  <w:pPr>
                    <w:widowControl/>
                    <w:adjustRightInd w:val="0"/>
                    <w:snapToGrid w:val="0"/>
                    <w:jc w:val="center"/>
                    <w:rPr>
                      <w:color w:val="auto"/>
                      <w:sz w:val="18"/>
                      <w:szCs w:val="18"/>
                    </w:rPr>
                  </w:pPr>
                  <w:r>
                    <w:rPr>
                      <w:color w:val="auto"/>
                      <w:sz w:val="18"/>
                      <w:szCs w:val="18"/>
                    </w:rPr>
                    <w:t>5.5</w:t>
                  </w:r>
                </w:p>
              </w:tc>
              <w:tc>
                <w:tcPr>
                  <w:tcW w:w="624" w:type="pct"/>
                  <w:vAlign w:val="center"/>
                </w:tcPr>
                <w:p w14:paraId="2F20AE3C">
                  <w:pPr>
                    <w:widowControl/>
                    <w:adjustRightInd w:val="0"/>
                    <w:snapToGrid w:val="0"/>
                    <w:jc w:val="center"/>
                    <w:rPr>
                      <w:color w:val="auto"/>
                      <w:sz w:val="18"/>
                      <w:szCs w:val="18"/>
                    </w:rPr>
                  </w:pPr>
                  <w:r>
                    <w:rPr>
                      <w:color w:val="auto"/>
                      <w:sz w:val="18"/>
                      <w:szCs w:val="18"/>
                    </w:rPr>
                    <w:t>昼间</w:t>
                  </w:r>
                </w:p>
              </w:tc>
              <w:tc>
                <w:tcPr>
                  <w:tcW w:w="628" w:type="pct"/>
                  <w:vAlign w:val="center"/>
                </w:tcPr>
                <w:p w14:paraId="354E1AC5">
                  <w:pPr>
                    <w:widowControl/>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48.4</w:t>
                  </w:r>
                </w:p>
              </w:tc>
              <w:tc>
                <w:tcPr>
                  <w:tcW w:w="628" w:type="pct"/>
                  <w:vAlign w:val="center"/>
                </w:tcPr>
                <w:p w14:paraId="5A9BB4B5">
                  <w:pPr>
                    <w:widowControl/>
                    <w:adjustRightInd w:val="0"/>
                    <w:snapToGrid w:val="0"/>
                    <w:jc w:val="center"/>
                    <w:rPr>
                      <w:color w:val="auto"/>
                      <w:sz w:val="18"/>
                      <w:szCs w:val="18"/>
                    </w:rPr>
                  </w:pPr>
                  <w:r>
                    <w:rPr>
                      <w:rFonts w:hint="eastAsia"/>
                      <w:color w:val="auto"/>
                      <w:sz w:val="18"/>
                      <w:szCs w:val="18"/>
                    </w:rPr>
                    <w:t>6</w:t>
                  </w:r>
                  <w:r>
                    <w:rPr>
                      <w:color w:val="auto"/>
                      <w:sz w:val="18"/>
                      <w:szCs w:val="18"/>
                    </w:rPr>
                    <w:t>5</w:t>
                  </w:r>
                </w:p>
              </w:tc>
              <w:tc>
                <w:tcPr>
                  <w:tcW w:w="622" w:type="pct"/>
                  <w:vAlign w:val="center"/>
                </w:tcPr>
                <w:p w14:paraId="0A8DE631">
                  <w:pPr>
                    <w:widowControl/>
                    <w:adjustRightInd w:val="0"/>
                    <w:snapToGrid w:val="0"/>
                    <w:jc w:val="center"/>
                    <w:rPr>
                      <w:color w:val="auto"/>
                      <w:sz w:val="18"/>
                      <w:szCs w:val="18"/>
                    </w:rPr>
                  </w:pPr>
                  <w:r>
                    <w:rPr>
                      <w:color w:val="auto"/>
                      <w:sz w:val="18"/>
                      <w:szCs w:val="18"/>
                    </w:rPr>
                    <w:t>达标</w:t>
                  </w:r>
                </w:p>
              </w:tc>
            </w:tr>
            <w:tr w14:paraId="0D7FD4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3" w:type="pct"/>
                  <w:vAlign w:val="center"/>
                </w:tcPr>
                <w:p w14:paraId="3459CA82">
                  <w:pPr>
                    <w:widowControl/>
                    <w:adjustRightInd w:val="0"/>
                    <w:snapToGrid w:val="0"/>
                    <w:jc w:val="center"/>
                    <w:rPr>
                      <w:color w:val="auto"/>
                      <w:sz w:val="18"/>
                      <w:szCs w:val="18"/>
                    </w:rPr>
                  </w:pPr>
                  <w:r>
                    <w:rPr>
                      <w:rFonts w:hint="eastAsia"/>
                      <w:color w:val="auto"/>
                      <w:sz w:val="18"/>
                      <w:szCs w:val="18"/>
                    </w:rPr>
                    <w:t>西侧</w:t>
                  </w:r>
                </w:p>
              </w:tc>
              <w:tc>
                <w:tcPr>
                  <w:tcW w:w="623" w:type="pct"/>
                  <w:vAlign w:val="center"/>
                </w:tcPr>
                <w:p w14:paraId="7DEEE08B">
                  <w:pPr>
                    <w:widowControl/>
                    <w:adjustRightInd w:val="0"/>
                    <w:snapToGrid w:val="0"/>
                    <w:jc w:val="center"/>
                    <w:rPr>
                      <w:color w:val="auto"/>
                      <w:sz w:val="18"/>
                      <w:szCs w:val="18"/>
                    </w:rPr>
                  </w:pPr>
                  <w:r>
                    <w:rPr>
                      <w:rFonts w:hint="eastAsia"/>
                      <w:color w:val="auto"/>
                      <w:sz w:val="18"/>
                      <w:szCs w:val="18"/>
                    </w:rPr>
                    <w:t>1.5</w:t>
                  </w:r>
                </w:p>
              </w:tc>
              <w:tc>
                <w:tcPr>
                  <w:tcW w:w="624" w:type="pct"/>
                  <w:vAlign w:val="center"/>
                </w:tcPr>
                <w:p w14:paraId="4FC2308A">
                  <w:pPr>
                    <w:widowControl/>
                    <w:adjustRightInd w:val="0"/>
                    <w:snapToGrid w:val="0"/>
                    <w:jc w:val="center"/>
                    <w:rPr>
                      <w:color w:val="auto"/>
                      <w:sz w:val="18"/>
                      <w:szCs w:val="18"/>
                    </w:rPr>
                  </w:pPr>
                  <w:r>
                    <w:rPr>
                      <w:rFonts w:hint="eastAsia"/>
                      <w:color w:val="auto"/>
                      <w:sz w:val="18"/>
                      <w:szCs w:val="18"/>
                    </w:rPr>
                    <w:t>85</w:t>
                  </w:r>
                </w:p>
              </w:tc>
              <w:tc>
                <w:tcPr>
                  <w:tcW w:w="625" w:type="pct"/>
                  <w:vAlign w:val="center"/>
                </w:tcPr>
                <w:p w14:paraId="22E1BD5D">
                  <w:pPr>
                    <w:widowControl/>
                    <w:adjustRightInd w:val="0"/>
                    <w:snapToGrid w:val="0"/>
                    <w:jc w:val="center"/>
                    <w:rPr>
                      <w:color w:val="auto"/>
                      <w:sz w:val="18"/>
                      <w:szCs w:val="18"/>
                    </w:rPr>
                  </w:pPr>
                  <w:r>
                    <w:rPr>
                      <w:color w:val="auto"/>
                      <w:sz w:val="18"/>
                      <w:szCs w:val="18"/>
                    </w:rPr>
                    <w:t>5.5</w:t>
                  </w:r>
                </w:p>
              </w:tc>
              <w:tc>
                <w:tcPr>
                  <w:tcW w:w="624" w:type="pct"/>
                  <w:vAlign w:val="center"/>
                </w:tcPr>
                <w:p w14:paraId="3E7121D3">
                  <w:pPr>
                    <w:widowControl/>
                    <w:adjustRightInd w:val="0"/>
                    <w:snapToGrid w:val="0"/>
                    <w:jc w:val="center"/>
                    <w:rPr>
                      <w:color w:val="auto"/>
                      <w:sz w:val="18"/>
                      <w:szCs w:val="18"/>
                    </w:rPr>
                  </w:pPr>
                  <w:r>
                    <w:rPr>
                      <w:color w:val="auto"/>
                      <w:sz w:val="18"/>
                      <w:szCs w:val="18"/>
                    </w:rPr>
                    <w:t>昼间</w:t>
                  </w:r>
                </w:p>
              </w:tc>
              <w:tc>
                <w:tcPr>
                  <w:tcW w:w="628" w:type="pct"/>
                  <w:vAlign w:val="center"/>
                </w:tcPr>
                <w:p w14:paraId="1264F6A6">
                  <w:pPr>
                    <w:widowControl/>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31.8</w:t>
                  </w:r>
                </w:p>
              </w:tc>
              <w:tc>
                <w:tcPr>
                  <w:tcW w:w="628" w:type="pct"/>
                  <w:vAlign w:val="center"/>
                </w:tcPr>
                <w:p w14:paraId="31ED94B2">
                  <w:pPr>
                    <w:widowControl/>
                    <w:adjustRightInd w:val="0"/>
                    <w:snapToGrid w:val="0"/>
                    <w:jc w:val="center"/>
                    <w:rPr>
                      <w:color w:val="auto"/>
                      <w:sz w:val="18"/>
                      <w:szCs w:val="18"/>
                    </w:rPr>
                  </w:pPr>
                  <w:r>
                    <w:rPr>
                      <w:rFonts w:hint="eastAsia"/>
                      <w:color w:val="auto"/>
                      <w:sz w:val="18"/>
                      <w:szCs w:val="18"/>
                    </w:rPr>
                    <w:t>6</w:t>
                  </w:r>
                  <w:r>
                    <w:rPr>
                      <w:color w:val="auto"/>
                      <w:sz w:val="18"/>
                      <w:szCs w:val="18"/>
                    </w:rPr>
                    <w:t>5</w:t>
                  </w:r>
                </w:p>
              </w:tc>
              <w:tc>
                <w:tcPr>
                  <w:tcW w:w="622" w:type="pct"/>
                  <w:vAlign w:val="center"/>
                </w:tcPr>
                <w:p w14:paraId="377ECEB0">
                  <w:pPr>
                    <w:widowControl/>
                    <w:adjustRightInd w:val="0"/>
                    <w:snapToGrid w:val="0"/>
                    <w:jc w:val="center"/>
                    <w:rPr>
                      <w:color w:val="auto"/>
                      <w:sz w:val="18"/>
                      <w:szCs w:val="18"/>
                    </w:rPr>
                  </w:pPr>
                  <w:r>
                    <w:rPr>
                      <w:color w:val="auto"/>
                      <w:sz w:val="18"/>
                      <w:szCs w:val="18"/>
                    </w:rPr>
                    <w:t>达标</w:t>
                  </w:r>
                </w:p>
              </w:tc>
            </w:tr>
            <w:tr w14:paraId="130A29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3" w:type="pct"/>
                  <w:vAlign w:val="center"/>
                </w:tcPr>
                <w:p w14:paraId="25C5885E">
                  <w:pPr>
                    <w:widowControl/>
                    <w:adjustRightInd w:val="0"/>
                    <w:snapToGrid w:val="0"/>
                    <w:jc w:val="center"/>
                    <w:rPr>
                      <w:color w:val="auto"/>
                      <w:sz w:val="18"/>
                      <w:szCs w:val="18"/>
                    </w:rPr>
                  </w:pPr>
                  <w:r>
                    <w:rPr>
                      <w:rFonts w:hint="eastAsia"/>
                      <w:color w:val="auto"/>
                      <w:sz w:val="18"/>
                      <w:szCs w:val="18"/>
                    </w:rPr>
                    <w:t>北侧</w:t>
                  </w:r>
                </w:p>
              </w:tc>
              <w:tc>
                <w:tcPr>
                  <w:tcW w:w="623" w:type="pct"/>
                  <w:vAlign w:val="center"/>
                </w:tcPr>
                <w:p w14:paraId="08E6794B">
                  <w:pPr>
                    <w:widowControl/>
                    <w:adjustRightInd w:val="0"/>
                    <w:snapToGrid w:val="0"/>
                    <w:jc w:val="center"/>
                    <w:rPr>
                      <w:color w:val="auto"/>
                      <w:sz w:val="18"/>
                      <w:szCs w:val="18"/>
                    </w:rPr>
                  </w:pPr>
                  <w:r>
                    <w:rPr>
                      <w:rFonts w:hint="eastAsia"/>
                      <w:color w:val="auto"/>
                      <w:sz w:val="18"/>
                      <w:szCs w:val="18"/>
                    </w:rPr>
                    <w:t>97.5</w:t>
                  </w:r>
                </w:p>
              </w:tc>
              <w:tc>
                <w:tcPr>
                  <w:tcW w:w="624" w:type="pct"/>
                  <w:vAlign w:val="center"/>
                </w:tcPr>
                <w:p w14:paraId="0E299322">
                  <w:pPr>
                    <w:widowControl/>
                    <w:adjustRightInd w:val="0"/>
                    <w:snapToGrid w:val="0"/>
                    <w:jc w:val="center"/>
                    <w:rPr>
                      <w:color w:val="auto"/>
                      <w:sz w:val="18"/>
                      <w:szCs w:val="18"/>
                    </w:rPr>
                  </w:pPr>
                  <w:r>
                    <w:rPr>
                      <w:rFonts w:hint="eastAsia"/>
                      <w:color w:val="auto"/>
                      <w:sz w:val="18"/>
                      <w:szCs w:val="18"/>
                    </w:rPr>
                    <w:t>171.5</w:t>
                  </w:r>
                </w:p>
              </w:tc>
              <w:tc>
                <w:tcPr>
                  <w:tcW w:w="625" w:type="pct"/>
                  <w:vAlign w:val="center"/>
                </w:tcPr>
                <w:p w14:paraId="14829CC7">
                  <w:pPr>
                    <w:widowControl/>
                    <w:adjustRightInd w:val="0"/>
                    <w:snapToGrid w:val="0"/>
                    <w:jc w:val="center"/>
                    <w:rPr>
                      <w:color w:val="auto"/>
                      <w:sz w:val="18"/>
                      <w:szCs w:val="18"/>
                    </w:rPr>
                  </w:pPr>
                  <w:r>
                    <w:rPr>
                      <w:color w:val="auto"/>
                      <w:sz w:val="18"/>
                      <w:szCs w:val="18"/>
                    </w:rPr>
                    <w:t>5.5</w:t>
                  </w:r>
                </w:p>
              </w:tc>
              <w:tc>
                <w:tcPr>
                  <w:tcW w:w="624" w:type="pct"/>
                  <w:vAlign w:val="center"/>
                </w:tcPr>
                <w:p w14:paraId="40C766E5">
                  <w:pPr>
                    <w:widowControl/>
                    <w:adjustRightInd w:val="0"/>
                    <w:snapToGrid w:val="0"/>
                    <w:jc w:val="center"/>
                    <w:rPr>
                      <w:color w:val="auto"/>
                      <w:sz w:val="18"/>
                      <w:szCs w:val="18"/>
                    </w:rPr>
                  </w:pPr>
                  <w:r>
                    <w:rPr>
                      <w:color w:val="auto"/>
                      <w:sz w:val="18"/>
                      <w:szCs w:val="18"/>
                    </w:rPr>
                    <w:t>昼间</w:t>
                  </w:r>
                </w:p>
              </w:tc>
              <w:tc>
                <w:tcPr>
                  <w:tcW w:w="628" w:type="pct"/>
                  <w:vAlign w:val="center"/>
                </w:tcPr>
                <w:p w14:paraId="5ABBE25B">
                  <w:pPr>
                    <w:widowControl/>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32.7</w:t>
                  </w:r>
                </w:p>
              </w:tc>
              <w:tc>
                <w:tcPr>
                  <w:tcW w:w="628" w:type="pct"/>
                  <w:vAlign w:val="center"/>
                </w:tcPr>
                <w:p w14:paraId="14343CDE">
                  <w:pPr>
                    <w:widowControl/>
                    <w:adjustRightInd w:val="0"/>
                    <w:snapToGrid w:val="0"/>
                    <w:jc w:val="center"/>
                    <w:rPr>
                      <w:color w:val="auto"/>
                      <w:sz w:val="18"/>
                      <w:szCs w:val="18"/>
                    </w:rPr>
                  </w:pPr>
                  <w:r>
                    <w:rPr>
                      <w:rFonts w:hint="eastAsia"/>
                      <w:color w:val="auto"/>
                      <w:sz w:val="18"/>
                      <w:szCs w:val="18"/>
                    </w:rPr>
                    <w:t>6</w:t>
                  </w:r>
                  <w:r>
                    <w:rPr>
                      <w:color w:val="auto"/>
                      <w:sz w:val="18"/>
                      <w:szCs w:val="18"/>
                    </w:rPr>
                    <w:t>5</w:t>
                  </w:r>
                </w:p>
              </w:tc>
              <w:tc>
                <w:tcPr>
                  <w:tcW w:w="622" w:type="pct"/>
                  <w:vAlign w:val="center"/>
                </w:tcPr>
                <w:p w14:paraId="34907484">
                  <w:pPr>
                    <w:widowControl/>
                    <w:adjustRightInd w:val="0"/>
                    <w:snapToGrid w:val="0"/>
                    <w:jc w:val="center"/>
                    <w:rPr>
                      <w:color w:val="auto"/>
                      <w:sz w:val="18"/>
                      <w:szCs w:val="18"/>
                    </w:rPr>
                  </w:pPr>
                  <w:r>
                    <w:rPr>
                      <w:color w:val="auto"/>
                      <w:sz w:val="18"/>
                      <w:szCs w:val="18"/>
                    </w:rPr>
                    <w:t>达标</w:t>
                  </w:r>
                </w:p>
              </w:tc>
            </w:tr>
            <w:tr w14:paraId="768FDB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71" w:type="dxa"/>
                  <w:vAlign w:val="center"/>
                </w:tcPr>
                <w:p w14:paraId="1A72939A">
                  <w:pPr>
                    <w:widowControl/>
                    <w:adjustRightInd w:val="0"/>
                    <w:snapToGrid w:val="0"/>
                    <w:jc w:val="center"/>
                    <w:rPr>
                      <w:rFonts w:hint="eastAsia"/>
                      <w:color w:val="auto"/>
                      <w:sz w:val="18"/>
                      <w:szCs w:val="18"/>
                    </w:rPr>
                  </w:pPr>
                  <w:r>
                    <w:rPr>
                      <w:rFonts w:hint="eastAsia"/>
                      <w:color w:val="auto"/>
                      <w:sz w:val="18"/>
                      <w:szCs w:val="18"/>
                      <w:lang w:val="en-US" w:eastAsia="zh-CN"/>
                    </w:rPr>
                    <w:t>东侧</w:t>
                  </w:r>
                </w:p>
              </w:tc>
              <w:tc>
                <w:tcPr>
                  <w:tcW w:w="1571" w:type="dxa"/>
                  <w:vAlign w:val="center"/>
                </w:tcPr>
                <w:p w14:paraId="755194F1">
                  <w:pPr>
                    <w:widowControl/>
                    <w:adjustRightInd w:val="0"/>
                    <w:snapToGrid w:val="0"/>
                    <w:jc w:val="center"/>
                    <w:rPr>
                      <w:rFonts w:hint="eastAsia"/>
                      <w:color w:val="auto"/>
                      <w:sz w:val="18"/>
                      <w:szCs w:val="18"/>
                    </w:rPr>
                  </w:pPr>
                  <w:r>
                    <w:rPr>
                      <w:rFonts w:hint="eastAsia"/>
                      <w:color w:val="auto"/>
                      <w:sz w:val="18"/>
                      <w:szCs w:val="18"/>
                      <w:lang w:val="en-US" w:eastAsia="zh-CN"/>
                    </w:rPr>
                    <w:t>196.5</w:t>
                  </w:r>
                </w:p>
              </w:tc>
              <w:tc>
                <w:tcPr>
                  <w:tcW w:w="1574" w:type="dxa"/>
                  <w:vAlign w:val="center"/>
                </w:tcPr>
                <w:p w14:paraId="55C66EA5">
                  <w:pPr>
                    <w:widowControl/>
                    <w:adjustRightInd w:val="0"/>
                    <w:snapToGrid w:val="0"/>
                    <w:jc w:val="center"/>
                    <w:rPr>
                      <w:rFonts w:hint="eastAsia"/>
                      <w:color w:val="auto"/>
                      <w:sz w:val="18"/>
                      <w:szCs w:val="18"/>
                    </w:rPr>
                  </w:pPr>
                  <w:r>
                    <w:rPr>
                      <w:rFonts w:hint="eastAsia"/>
                      <w:color w:val="auto"/>
                      <w:sz w:val="18"/>
                      <w:szCs w:val="18"/>
                      <w:lang w:val="en-US" w:eastAsia="zh-CN"/>
                    </w:rPr>
                    <w:t>85</w:t>
                  </w:r>
                </w:p>
              </w:tc>
              <w:tc>
                <w:tcPr>
                  <w:tcW w:w="1579" w:type="dxa"/>
                  <w:vAlign w:val="center"/>
                </w:tcPr>
                <w:p w14:paraId="36F3A1FC">
                  <w:pPr>
                    <w:widowControl/>
                    <w:adjustRightInd w:val="0"/>
                    <w:snapToGrid w:val="0"/>
                    <w:jc w:val="center"/>
                    <w:rPr>
                      <w:color w:val="auto"/>
                      <w:sz w:val="18"/>
                      <w:szCs w:val="18"/>
                    </w:rPr>
                  </w:pPr>
                  <w:r>
                    <w:rPr>
                      <w:rFonts w:hint="eastAsia"/>
                      <w:color w:val="auto"/>
                      <w:sz w:val="18"/>
                      <w:szCs w:val="18"/>
                      <w:lang w:val="en-US" w:eastAsia="zh-CN"/>
                    </w:rPr>
                    <w:t>5.5</w:t>
                  </w:r>
                </w:p>
              </w:tc>
              <w:tc>
                <w:tcPr>
                  <w:tcW w:w="624" w:type="pct"/>
                  <w:vAlign w:val="center"/>
                </w:tcPr>
                <w:p w14:paraId="21955EB7">
                  <w:pPr>
                    <w:widowControl/>
                    <w:adjustRightInd w:val="0"/>
                    <w:snapToGrid w:val="0"/>
                    <w:jc w:val="center"/>
                    <w:rPr>
                      <w:rFonts w:hint="eastAsia" w:eastAsia="宋体"/>
                      <w:color w:val="auto"/>
                      <w:sz w:val="18"/>
                      <w:szCs w:val="18"/>
                      <w:lang w:val="en-US" w:eastAsia="zh-CN"/>
                    </w:rPr>
                  </w:pPr>
                  <w:r>
                    <w:rPr>
                      <w:rFonts w:hint="eastAsia"/>
                      <w:color w:val="auto"/>
                      <w:sz w:val="18"/>
                      <w:szCs w:val="18"/>
                      <w:lang w:val="en-US" w:eastAsia="zh-CN"/>
                    </w:rPr>
                    <w:t>夜间</w:t>
                  </w:r>
                </w:p>
              </w:tc>
              <w:tc>
                <w:tcPr>
                  <w:tcW w:w="628" w:type="pct"/>
                  <w:vAlign w:val="center"/>
                </w:tcPr>
                <w:p w14:paraId="26F3BF4F">
                  <w:pPr>
                    <w:widowControl/>
                    <w:adjustRightInd w:val="0"/>
                    <w:snapToGrid w:val="0"/>
                    <w:jc w:val="center"/>
                    <w:rPr>
                      <w:rFonts w:hint="default"/>
                      <w:color w:val="auto"/>
                      <w:sz w:val="18"/>
                      <w:szCs w:val="18"/>
                      <w:lang w:val="en-US" w:eastAsia="zh-CN"/>
                    </w:rPr>
                  </w:pPr>
                  <w:r>
                    <w:rPr>
                      <w:rFonts w:hint="eastAsia"/>
                      <w:color w:val="auto"/>
                      <w:sz w:val="18"/>
                      <w:szCs w:val="18"/>
                      <w:lang w:val="en-US" w:eastAsia="zh-CN"/>
                    </w:rPr>
                    <w:t>20.4</w:t>
                  </w:r>
                </w:p>
              </w:tc>
              <w:tc>
                <w:tcPr>
                  <w:tcW w:w="628" w:type="pct"/>
                  <w:vAlign w:val="center"/>
                </w:tcPr>
                <w:p w14:paraId="75DB0AAE">
                  <w:pPr>
                    <w:widowControl/>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55</w:t>
                  </w:r>
                </w:p>
              </w:tc>
              <w:tc>
                <w:tcPr>
                  <w:tcW w:w="1569" w:type="dxa"/>
                  <w:vAlign w:val="center"/>
                </w:tcPr>
                <w:p w14:paraId="3831256B">
                  <w:pPr>
                    <w:widowControl/>
                    <w:adjustRightInd w:val="0"/>
                    <w:snapToGrid w:val="0"/>
                    <w:jc w:val="center"/>
                    <w:rPr>
                      <w:color w:val="auto"/>
                      <w:sz w:val="18"/>
                      <w:szCs w:val="18"/>
                    </w:rPr>
                  </w:pPr>
                  <w:r>
                    <w:rPr>
                      <w:color w:val="auto"/>
                      <w:sz w:val="18"/>
                      <w:szCs w:val="18"/>
                    </w:rPr>
                    <w:t>达标</w:t>
                  </w:r>
                </w:p>
              </w:tc>
            </w:tr>
            <w:tr w14:paraId="591A57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71" w:type="dxa"/>
                  <w:vAlign w:val="center"/>
                </w:tcPr>
                <w:p w14:paraId="68FE26F2">
                  <w:pPr>
                    <w:widowControl/>
                    <w:adjustRightInd w:val="0"/>
                    <w:snapToGrid w:val="0"/>
                    <w:jc w:val="center"/>
                    <w:rPr>
                      <w:rFonts w:hint="eastAsia"/>
                      <w:color w:val="auto"/>
                      <w:sz w:val="18"/>
                      <w:szCs w:val="18"/>
                    </w:rPr>
                  </w:pPr>
                  <w:r>
                    <w:rPr>
                      <w:rFonts w:hint="eastAsia"/>
                      <w:color w:val="auto"/>
                      <w:sz w:val="18"/>
                      <w:szCs w:val="18"/>
                    </w:rPr>
                    <w:t>南侧</w:t>
                  </w:r>
                </w:p>
              </w:tc>
              <w:tc>
                <w:tcPr>
                  <w:tcW w:w="1571" w:type="dxa"/>
                  <w:vAlign w:val="center"/>
                </w:tcPr>
                <w:p w14:paraId="7B006737">
                  <w:pPr>
                    <w:widowControl/>
                    <w:adjustRightInd w:val="0"/>
                    <w:snapToGrid w:val="0"/>
                    <w:jc w:val="center"/>
                    <w:rPr>
                      <w:rFonts w:hint="eastAsia"/>
                      <w:color w:val="auto"/>
                      <w:sz w:val="18"/>
                      <w:szCs w:val="18"/>
                    </w:rPr>
                  </w:pPr>
                  <w:r>
                    <w:rPr>
                      <w:rFonts w:hint="eastAsia"/>
                      <w:color w:val="auto"/>
                      <w:sz w:val="18"/>
                      <w:szCs w:val="18"/>
                    </w:rPr>
                    <w:t>97.5</w:t>
                  </w:r>
                </w:p>
              </w:tc>
              <w:tc>
                <w:tcPr>
                  <w:tcW w:w="1574" w:type="dxa"/>
                  <w:vAlign w:val="center"/>
                </w:tcPr>
                <w:p w14:paraId="7250BA1F">
                  <w:pPr>
                    <w:widowControl/>
                    <w:adjustRightInd w:val="0"/>
                    <w:snapToGrid w:val="0"/>
                    <w:jc w:val="center"/>
                    <w:rPr>
                      <w:rFonts w:hint="eastAsia"/>
                      <w:color w:val="auto"/>
                      <w:sz w:val="18"/>
                      <w:szCs w:val="18"/>
                    </w:rPr>
                  </w:pPr>
                  <w:r>
                    <w:rPr>
                      <w:rFonts w:hint="eastAsia"/>
                      <w:color w:val="auto"/>
                      <w:sz w:val="18"/>
                      <w:szCs w:val="18"/>
                    </w:rPr>
                    <w:t>1.5</w:t>
                  </w:r>
                </w:p>
              </w:tc>
              <w:tc>
                <w:tcPr>
                  <w:tcW w:w="1579" w:type="dxa"/>
                  <w:vAlign w:val="center"/>
                </w:tcPr>
                <w:p w14:paraId="787E49CA">
                  <w:pPr>
                    <w:widowControl/>
                    <w:adjustRightInd w:val="0"/>
                    <w:snapToGrid w:val="0"/>
                    <w:jc w:val="center"/>
                    <w:rPr>
                      <w:color w:val="auto"/>
                      <w:sz w:val="18"/>
                      <w:szCs w:val="18"/>
                    </w:rPr>
                  </w:pPr>
                  <w:r>
                    <w:rPr>
                      <w:color w:val="auto"/>
                      <w:sz w:val="18"/>
                      <w:szCs w:val="18"/>
                    </w:rPr>
                    <w:t>5.5</w:t>
                  </w:r>
                </w:p>
              </w:tc>
              <w:tc>
                <w:tcPr>
                  <w:tcW w:w="624" w:type="pct"/>
                  <w:vAlign w:val="center"/>
                </w:tcPr>
                <w:p w14:paraId="4CE6922B">
                  <w:pPr>
                    <w:widowControl/>
                    <w:adjustRightInd w:val="0"/>
                    <w:snapToGrid w:val="0"/>
                    <w:jc w:val="center"/>
                    <w:rPr>
                      <w:color w:val="auto"/>
                      <w:sz w:val="18"/>
                      <w:szCs w:val="18"/>
                    </w:rPr>
                  </w:pPr>
                  <w:r>
                    <w:rPr>
                      <w:rFonts w:hint="eastAsia"/>
                      <w:color w:val="auto"/>
                      <w:sz w:val="18"/>
                      <w:szCs w:val="18"/>
                      <w:lang w:val="en-US" w:eastAsia="zh-CN"/>
                    </w:rPr>
                    <w:t>夜间</w:t>
                  </w:r>
                </w:p>
              </w:tc>
              <w:tc>
                <w:tcPr>
                  <w:tcW w:w="628" w:type="pct"/>
                  <w:vAlign w:val="center"/>
                </w:tcPr>
                <w:p w14:paraId="281A3C1F">
                  <w:pPr>
                    <w:widowControl/>
                    <w:adjustRightInd w:val="0"/>
                    <w:snapToGrid w:val="0"/>
                    <w:jc w:val="center"/>
                    <w:rPr>
                      <w:rFonts w:hint="default"/>
                      <w:color w:val="auto"/>
                      <w:sz w:val="18"/>
                      <w:szCs w:val="18"/>
                      <w:lang w:val="en-US" w:eastAsia="zh-CN"/>
                    </w:rPr>
                  </w:pPr>
                  <w:r>
                    <w:rPr>
                      <w:rFonts w:hint="eastAsia"/>
                      <w:color w:val="auto"/>
                      <w:sz w:val="18"/>
                      <w:szCs w:val="18"/>
                      <w:lang w:val="en-US" w:eastAsia="zh-CN"/>
                    </w:rPr>
                    <w:t>21.9</w:t>
                  </w:r>
                </w:p>
              </w:tc>
              <w:tc>
                <w:tcPr>
                  <w:tcW w:w="628" w:type="pct"/>
                  <w:vAlign w:val="center"/>
                </w:tcPr>
                <w:p w14:paraId="72CDAEAA">
                  <w:pPr>
                    <w:widowControl/>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55</w:t>
                  </w:r>
                </w:p>
              </w:tc>
              <w:tc>
                <w:tcPr>
                  <w:tcW w:w="1569" w:type="dxa"/>
                  <w:vAlign w:val="center"/>
                </w:tcPr>
                <w:p w14:paraId="6D9EAA22">
                  <w:pPr>
                    <w:widowControl/>
                    <w:adjustRightInd w:val="0"/>
                    <w:snapToGrid w:val="0"/>
                    <w:jc w:val="center"/>
                    <w:rPr>
                      <w:color w:val="auto"/>
                      <w:sz w:val="18"/>
                      <w:szCs w:val="18"/>
                    </w:rPr>
                  </w:pPr>
                  <w:r>
                    <w:rPr>
                      <w:color w:val="auto"/>
                      <w:sz w:val="18"/>
                      <w:szCs w:val="18"/>
                    </w:rPr>
                    <w:t>达标</w:t>
                  </w:r>
                </w:p>
              </w:tc>
            </w:tr>
            <w:tr w14:paraId="791826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71" w:type="dxa"/>
                  <w:vAlign w:val="center"/>
                </w:tcPr>
                <w:p w14:paraId="26F1F316">
                  <w:pPr>
                    <w:widowControl/>
                    <w:adjustRightInd w:val="0"/>
                    <w:snapToGrid w:val="0"/>
                    <w:jc w:val="center"/>
                    <w:rPr>
                      <w:rFonts w:hint="eastAsia"/>
                      <w:color w:val="auto"/>
                      <w:sz w:val="18"/>
                      <w:szCs w:val="18"/>
                    </w:rPr>
                  </w:pPr>
                  <w:r>
                    <w:rPr>
                      <w:rFonts w:hint="eastAsia"/>
                      <w:color w:val="auto"/>
                      <w:sz w:val="18"/>
                      <w:szCs w:val="18"/>
                    </w:rPr>
                    <w:t>西侧</w:t>
                  </w:r>
                </w:p>
              </w:tc>
              <w:tc>
                <w:tcPr>
                  <w:tcW w:w="1571" w:type="dxa"/>
                  <w:vAlign w:val="center"/>
                </w:tcPr>
                <w:p w14:paraId="7DD5048F">
                  <w:pPr>
                    <w:widowControl/>
                    <w:adjustRightInd w:val="0"/>
                    <w:snapToGrid w:val="0"/>
                    <w:jc w:val="center"/>
                    <w:rPr>
                      <w:rFonts w:hint="eastAsia"/>
                      <w:color w:val="auto"/>
                      <w:sz w:val="18"/>
                      <w:szCs w:val="18"/>
                    </w:rPr>
                  </w:pPr>
                  <w:r>
                    <w:rPr>
                      <w:rFonts w:hint="eastAsia"/>
                      <w:color w:val="auto"/>
                      <w:sz w:val="18"/>
                      <w:szCs w:val="18"/>
                    </w:rPr>
                    <w:t>1.5</w:t>
                  </w:r>
                </w:p>
              </w:tc>
              <w:tc>
                <w:tcPr>
                  <w:tcW w:w="1574" w:type="dxa"/>
                  <w:vAlign w:val="center"/>
                </w:tcPr>
                <w:p w14:paraId="6BAB47B9">
                  <w:pPr>
                    <w:widowControl/>
                    <w:adjustRightInd w:val="0"/>
                    <w:snapToGrid w:val="0"/>
                    <w:jc w:val="center"/>
                    <w:rPr>
                      <w:rFonts w:hint="eastAsia"/>
                      <w:color w:val="auto"/>
                      <w:sz w:val="18"/>
                      <w:szCs w:val="18"/>
                    </w:rPr>
                  </w:pPr>
                  <w:r>
                    <w:rPr>
                      <w:rFonts w:hint="eastAsia"/>
                      <w:color w:val="auto"/>
                      <w:sz w:val="18"/>
                      <w:szCs w:val="18"/>
                    </w:rPr>
                    <w:t>85</w:t>
                  </w:r>
                </w:p>
              </w:tc>
              <w:tc>
                <w:tcPr>
                  <w:tcW w:w="1579" w:type="dxa"/>
                  <w:vAlign w:val="center"/>
                </w:tcPr>
                <w:p w14:paraId="032C87AC">
                  <w:pPr>
                    <w:widowControl/>
                    <w:adjustRightInd w:val="0"/>
                    <w:snapToGrid w:val="0"/>
                    <w:jc w:val="center"/>
                    <w:rPr>
                      <w:color w:val="auto"/>
                      <w:sz w:val="18"/>
                      <w:szCs w:val="18"/>
                    </w:rPr>
                  </w:pPr>
                  <w:r>
                    <w:rPr>
                      <w:color w:val="auto"/>
                      <w:sz w:val="18"/>
                      <w:szCs w:val="18"/>
                    </w:rPr>
                    <w:t>5.5</w:t>
                  </w:r>
                </w:p>
              </w:tc>
              <w:tc>
                <w:tcPr>
                  <w:tcW w:w="624" w:type="pct"/>
                  <w:vAlign w:val="center"/>
                </w:tcPr>
                <w:p w14:paraId="6BDBCF99">
                  <w:pPr>
                    <w:widowControl/>
                    <w:adjustRightInd w:val="0"/>
                    <w:snapToGrid w:val="0"/>
                    <w:jc w:val="center"/>
                    <w:rPr>
                      <w:color w:val="auto"/>
                      <w:sz w:val="18"/>
                      <w:szCs w:val="18"/>
                    </w:rPr>
                  </w:pPr>
                  <w:r>
                    <w:rPr>
                      <w:rFonts w:hint="eastAsia"/>
                      <w:color w:val="auto"/>
                      <w:sz w:val="18"/>
                      <w:szCs w:val="18"/>
                      <w:lang w:val="en-US" w:eastAsia="zh-CN"/>
                    </w:rPr>
                    <w:t>夜间</w:t>
                  </w:r>
                </w:p>
              </w:tc>
              <w:tc>
                <w:tcPr>
                  <w:tcW w:w="628" w:type="pct"/>
                  <w:vAlign w:val="center"/>
                </w:tcPr>
                <w:p w14:paraId="04E72C33">
                  <w:pPr>
                    <w:widowControl/>
                    <w:adjustRightInd w:val="0"/>
                    <w:snapToGrid w:val="0"/>
                    <w:jc w:val="center"/>
                    <w:rPr>
                      <w:rFonts w:hint="default"/>
                      <w:color w:val="auto"/>
                      <w:sz w:val="18"/>
                      <w:szCs w:val="18"/>
                      <w:lang w:val="en-US" w:eastAsia="zh-CN"/>
                    </w:rPr>
                  </w:pPr>
                  <w:r>
                    <w:rPr>
                      <w:rFonts w:hint="eastAsia"/>
                      <w:color w:val="auto"/>
                      <w:sz w:val="18"/>
                      <w:szCs w:val="18"/>
                      <w:lang w:val="en-US" w:eastAsia="zh-CN"/>
                    </w:rPr>
                    <w:t>52.0</w:t>
                  </w:r>
                </w:p>
              </w:tc>
              <w:tc>
                <w:tcPr>
                  <w:tcW w:w="628" w:type="pct"/>
                  <w:vAlign w:val="center"/>
                </w:tcPr>
                <w:p w14:paraId="5D7BB204">
                  <w:pPr>
                    <w:widowControl/>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55</w:t>
                  </w:r>
                </w:p>
              </w:tc>
              <w:tc>
                <w:tcPr>
                  <w:tcW w:w="1569" w:type="dxa"/>
                  <w:vAlign w:val="center"/>
                </w:tcPr>
                <w:p w14:paraId="675DE60D">
                  <w:pPr>
                    <w:widowControl/>
                    <w:adjustRightInd w:val="0"/>
                    <w:snapToGrid w:val="0"/>
                    <w:jc w:val="center"/>
                    <w:rPr>
                      <w:color w:val="auto"/>
                      <w:sz w:val="18"/>
                      <w:szCs w:val="18"/>
                    </w:rPr>
                  </w:pPr>
                  <w:r>
                    <w:rPr>
                      <w:color w:val="auto"/>
                      <w:sz w:val="18"/>
                      <w:szCs w:val="18"/>
                    </w:rPr>
                    <w:t>达标</w:t>
                  </w:r>
                </w:p>
              </w:tc>
            </w:tr>
            <w:tr w14:paraId="2DB166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71" w:type="dxa"/>
                  <w:vAlign w:val="center"/>
                </w:tcPr>
                <w:p w14:paraId="1E1F22FE">
                  <w:pPr>
                    <w:widowControl/>
                    <w:adjustRightInd w:val="0"/>
                    <w:snapToGrid w:val="0"/>
                    <w:jc w:val="center"/>
                    <w:rPr>
                      <w:rFonts w:hint="eastAsia"/>
                      <w:color w:val="auto"/>
                      <w:sz w:val="18"/>
                      <w:szCs w:val="18"/>
                    </w:rPr>
                  </w:pPr>
                  <w:r>
                    <w:rPr>
                      <w:rFonts w:hint="eastAsia"/>
                      <w:color w:val="auto"/>
                      <w:sz w:val="18"/>
                      <w:szCs w:val="18"/>
                    </w:rPr>
                    <w:t>北侧</w:t>
                  </w:r>
                </w:p>
              </w:tc>
              <w:tc>
                <w:tcPr>
                  <w:tcW w:w="1571" w:type="dxa"/>
                  <w:vAlign w:val="center"/>
                </w:tcPr>
                <w:p w14:paraId="49843EE0">
                  <w:pPr>
                    <w:widowControl/>
                    <w:adjustRightInd w:val="0"/>
                    <w:snapToGrid w:val="0"/>
                    <w:jc w:val="center"/>
                    <w:rPr>
                      <w:rFonts w:hint="eastAsia"/>
                      <w:color w:val="auto"/>
                      <w:sz w:val="18"/>
                      <w:szCs w:val="18"/>
                    </w:rPr>
                  </w:pPr>
                  <w:r>
                    <w:rPr>
                      <w:rFonts w:hint="eastAsia"/>
                      <w:color w:val="auto"/>
                      <w:sz w:val="18"/>
                      <w:szCs w:val="18"/>
                    </w:rPr>
                    <w:t>97.5</w:t>
                  </w:r>
                </w:p>
              </w:tc>
              <w:tc>
                <w:tcPr>
                  <w:tcW w:w="1574" w:type="dxa"/>
                  <w:vAlign w:val="center"/>
                </w:tcPr>
                <w:p w14:paraId="0BA390F3">
                  <w:pPr>
                    <w:widowControl/>
                    <w:adjustRightInd w:val="0"/>
                    <w:snapToGrid w:val="0"/>
                    <w:jc w:val="center"/>
                    <w:rPr>
                      <w:rFonts w:hint="eastAsia"/>
                      <w:color w:val="auto"/>
                      <w:sz w:val="18"/>
                      <w:szCs w:val="18"/>
                    </w:rPr>
                  </w:pPr>
                  <w:r>
                    <w:rPr>
                      <w:rFonts w:hint="eastAsia"/>
                      <w:color w:val="auto"/>
                      <w:sz w:val="18"/>
                      <w:szCs w:val="18"/>
                    </w:rPr>
                    <w:t>171.5</w:t>
                  </w:r>
                </w:p>
              </w:tc>
              <w:tc>
                <w:tcPr>
                  <w:tcW w:w="1579" w:type="dxa"/>
                  <w:vAlign w:val="center"/>
                </w:tcPr>
                <w:p w14:paraId="4EA1DEC4">
                  <w:pPr>
                    <w:widowControl/>
                    <w:adjustRightInd w:val="0"/>
                    <w:snapToGrid w:val="0"/>
                    <w:jc w:val="center"/>
                    <w:rPr>
                      <w:color w:val="auto"/>
                      <w:sz w:val="18"/>
                      <w:szCs w:val="18"/>
                    </w:rPr>
                  </w:pPr>
                  <w:r>
                    <w:rPr>
                      <w:color w:val="auto"/>
                      <w:sz w:val="18"/>
                      <w:szCs w:val="18"/>
                    </w:rPr>
                    <w:t>5.5</w:t>
                  </w:r>
                </w:p>
              </w:tc>
              <w:tc>
                <w:tcPr>
                  <w:tcW w:w="624" w:type="pct"/>
                  <w:vAlign w:val="center"/>
                </w:tcPr>
                <w:p w14:paraId="57F15466">
                  <w:pPr>
                    <w:widowControl/>
                    <w:adjustRightInd w:val="0"/>
                    <w:snapToGrid w:val="0"/>
                    <w:jc w:val="center"/>
                    <w:rPr>
                      <w:color w:val="auto"/>
                      <w:sz w:val="18"/>
                      <w:szCs w:val="18"/>
                    </w:rPr>
                  </w:pPr>
                  <w:r>
                    <w:rPr>
                      <w:rFonts w:hint="eastAsia"/>
                      <w:color w:val="auto"/>
                      <w:sz w:val="18"/>
                      <w:szCs w:val="18"/>
                      <w:lang w:val="en-US" w:eastAsia="zh-CN"/>
                    </w:rPr>
                    <w:t>夜间</w:t>
                  </w:r>
                </w:p>
              </w:tc>
              <w:tc>
                <w:tcPr>
                  <w:tcW w:w="628" w:type="pct"/>
                  <w:vAlign w:val="center"/>
                </w:tcPr>
                <w:p w14:paraId="5B2C5A9F">
                  <w:pPr>
                    <w:widowControl/>
                    <w:adjustRightInd w:val="0"/>
                    <w:snapToGrid w:val="0"/>
                    <w:jc w:val="center"/>
                    <w:rPr>
                      <w:rFonts w:hint="default"/>
                      <w:color w:val="auto"/>
                      <w:sz w:val="18"/>
                      <w:szCs w:val="18"/>
                      <w:lang w:val="en-US" w:eastAsia="zh-CN"/>
                    </w:rPr>
                  </w:pPr>
                  <w:r>
                    <w:rPr>
                      <w:rFonts w:hint="eastAsia"/>
                      <w:color w:val="auto"/>
                      <w:sz w:val="18"/>
                      <w:szCs w:val="18"/>
                      <w:lang w:val="en-US" w:eastAsia="zh-CN"/>
                    </w:rPr>
                    <w:t>46.0</w:t>
                  </w:r>
                </w:p>
              </w:tc>
              <w:tc>
                <w:tcPr>
                  <w:tcW w:w="628" w:type="pct"/>
                  <w:vAlign w:val="center"/>
                </w:tcPr>
                <w:p w14:paraId="36A2CF56">
                  <w:pPr>
                    <w:widowControl/>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55</w:t>
                  </w:r>
                </w:p>
              </w:tc>
              <w:tc>
                <w:tcPr>
                  <w:tcW w:w="1569" w:type="dxa"/>
                  <w:vAlign w:val="center"/>
                </w:tcPr>
                <w:p w14:paraId="2B0B23CA">
                  <w:pPr>
                    <w:widowControl/>
                    <w:adjustRightInd w:val="0"/>
                    <w:snapToGrid w:val="0"/>
                    <w:jc w:val="center"/>
                    <w:rPr>
                      <w:color w:val="auto"/>
                      <w:sz w:val="18"/>
                      <w:szCs w:val="18"/>
                    </w:rPr>
                  </w:pPr>
                  <w:r>
                    <w:rPr>
                      <w:color w:val="auto"/>
                      <w:sz w:val="18"/>
                      <w:szCs w:val="18"/>
                    </w:rPr>
                    <w:t>达标</w:t>
                  </w:r>
                </w:p>
              </w:tc>
            </w:tr>
          </w:tbl>
          <w:p w14:paraId="4B21938E">
            <w:pPr>
              <w:widowControl/>
              <w:adjustRightInd w:val="0"/>
              <w:snapToGrid w:val="0"/>
              <w:jc w:val="left"/>
              <w:rPr>
                <w:bCs/>
                <w:color w:val="auto"/>
                <w:kern w:val="0"/>
                <w:sz w:val="20"/>
                <w:szCs w:val="20"/>
                <w:lang w:bidi="en-US"/>
              </w:rPr>
            </w:pPr>
            <w:r>
              <w:rPr>
                <w:rFonts w:hint="eastAsia"/>
                <w:bCs/>
                <w:color w:val="auto"/>
                <w:kern w:val="0"/>
                <w:sz w:val="20"/>
                <w:szCs w:val="20"/>
                <w:lang w:bidi="en-US"/>
              </w:rPr>
              <w:t>*注：建设项目以厂房西北角为（0,0,0）点</w:t>
            </w:r>
          </w:p>
          <w:p w14:paraId="50B64701">
            <w:pPr>
              <w:widowControl/>
              <w:adjustRightInd w:val="0"/>
              <w:snapToGrid w:val="0"/>
              <w:spacing w:before="120" w:beforeLines="50" w:line="360" w:lineRule="auto"/>
              <w:ind w:firstLine="480" w:firstLineChars="200"/>
              <w:rPr>
                <w:b/>
                <w:color w:val="auto"/>
                <w:kern w:val="0"/>
                <w:sz w:val="24"/>
                <w:lang w:bidi="en-US"/>
              </w:rPr>
            </w:pPr>
            <w:r>
              <w:rPr>
                <w:color w:val="auto"/>
                <w:sz w:val="24"/>
              </w:rPr>
              <w:t>从</w:t>
            </w:r>
            <w:r>
              <w:rPr>
                <w:rFonts w:hint="eastAsia"/>
                <w:color w:val="auto"/>
                <w:sz w:val="24"/>
              </w:rPr>
              <w:t>上表</w:t>
            </w:r>
            <w:r>
              <w:rPr>
                <w:color w:val="auto"/>
                <w:sz w:val="24"/>
              </w:rPr>
              <w:t>可以看出：建设项目</w:t>
            </w:r>
            <w:r>
              <w:rPr>
                <w:rFonts w:hint="eastAsia"/>
                <w:color w:val="auto"/>
                <w:kern w:val="0"/>
                <w:sz w:val="24"/>
                <w:lang w:bidi="en-US"/>
              </w:rPr>
              <w:t>厂界四周</w:t>
            </w:r>
            <w:r>
              <w:rPr>
                <w:color w:val="auto"/>
                <w:kern w:val="0"/>
                <w:sz w:val="24"/>
                <w:lang w:bidi="en-US"/>
              </w:rPr>
              <w:t>噪声昼间贡献值为</w:t>
            </w:r>
            <w:r>
              <w:rPr>
                <w:rFonts w:hint="eastAsia"/>
                <w:color w:val="auto"/>
                <w:kern w:val="0"/>
                <w:sz w:val="24"/>
                <w:lang w:val="en-US" w:eastAsia="zh-CN" w:bidi="en-US"/>
              </w:rPr>
              <w:t>31.8~48.4</w:t>
            </w:r>
            <w:r>
              <w:rPr>
                <w:color w:val="auto"/>
                <w:kern w:val="0"/>
                <w:sz w:val="24"/>
                <w:lang w:bidi="en-US"/>
              </w:rPr>
              <w:t>dB（A），</w:t>
            </w:r>
            <w:r>
              <w:rPr>
                <w:rFonts w:hint="eastAsia"/>
                <w:color w:val="auto"/>
                <w:kern w:val="0"/>
                <w:sz w:val="24"/>
                <w:lang w:val="en-US" w:eastAsia="zh-CN" w:bidi="en-US"/>
              </w:rPr>
              <w:t>夜</w:t>
            </w:r>
            <w:r>
              <w:rPr>
                <w:color w:val="auto"/>
                <w:kern w:val="0"/>
                <w:sz w:val="24"/>
                <w:lang w:bidi="en-US"/>
              </w:rPr>
              <w:t>间贡献值为</w:t>
            </w:r>
            <w:r>
              <w:rPr>
                <w:rFonts w:hint="eastAsia"/>
                <w:color w:val="auto"/>
                <w:kern w:val="0"/>
                <w:sz w:val="24"/>
                <w:lang w:val="en-US" w:eastAsia="zh-CN" w:bidi="en-US"/>
              </w:rPr>
              <w:t>20.4-52.0</w:t>
            </w:r>
            <w:r>
              <w:rPr>
                <w:color w:val="auto"/>
                <w:kern w:val="0"/>
                <w:sz w:val="24"/>
                <w:lang w:bidi="en-US"/>
              </w:rPr>
              <w:t>dB（A）</w:t>
            </w:r>
            <w:r>
              <w:rPr>
                <w:rFonts w:hint="eastAsia"/>
                <w:color w:val="auto"/>
                <w:kern w:val="0"/>
                <w:sz w:val="24"/>
                <w:lang w:eastAsia="zh-CN" w:bidi="en-US"/>
              </w:rPr>
              <w:t>，</w:t>
            </w:r>
            <w:r>
              <w:rPr>
                <w:color w:val="auto"/>
                <w:sz w:val="24"/>
              </w:rPr>
              <w:t>符合《工业企业厂界环境噪声排放标准》（GB12348-2008）中3类标准要求</w:t>
            </w:r>
            <w:r>
              <w:rPr>
                <w:rFonts w:hint="eastAsia"/>
                <w:color w:val="auto"/>
                <w:sz w:val="24"/>
              </w:rPr>
              <w:t>，</w:t>
            </w:r>
            <w:r>
              <w:rPr>
                <w:color w:val="auto"/>
                <w:kern w:val="0"/>
                <w:sz w:val="24"/>
                <w:lang w:bidi="en-US"/>
              </w:rPr>
              <w:t>因此项目噪声对环境的影响能够满足环境保护的要求</w:t>
            </w:r>
            <w:r>
              <w:rPr>
                <w:color w:val="auto"/>
                <w:sz w:val="24"/>
              </w:rPr>
              <w:t>。</w:t>
            </w:r>
          </w:p>
          <w:p w14:paraId="0F957950">
            <w:pPr>
              <w:widowControl/>
              <w:adjustRightInd w:val="0"/>
              <w:snapToGrid w:val="0"/>
              <w:spacing w:line="360" w:lineRule="auto"/>
              <w:ind w:firstLine="480" w:firstLineChars="200"/>
              <w:jc w:val="left"/>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项目营运期噪声日常环境监测计划见下表。</w:t>
            </w:r>
          </w:p>
          <w:p w14:paraId="7444148B">
            <w:pPr>
              <w:pStyle w:val="1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cs="Times New Roman"/>
                <w:b/>
                <w:color w:val="auto"/>
                <w:sz w:val="21"/>
                <w:szCs w:val="21"/>
                <w:highlight w:val="none"/>
                <w:lang w:val="en-US" w:eastAsia="zh-CN"/>
              </w:rPr>
              <w:t>4-</w:t>
            </w:r>
            <w:r>
              <w:rPr>
                <w:rFonts w:hint="eastAsia" w:cs="Times New Roman"/>
                <w:b/>
                <w:color w:val="auto"/>
                <w:sz w:val="21"/>
                <w:szCs w:val="21"/>
                <w:highlight w:val="none"/>
                <w:lang w:val="en-US" w:eastAsia="zh-CN"/>
              </w:rPr>
              <w:t>19</w:t>
            </w:r>
            <w:r>
              <w:rPr>
                <w:rFonts w:hint="default" w:ascii="Times New Roman" w:hAnsi="Times New Roman" w:eastAsia="宋体" w:cs="Times New Roman"/>
                <w:b/>
                <w:color w:val="auto"/>
                <w:sz w:val="21"/>
                <w:szCs w:val="21"/>
                <w:highlight w:val="none"/>
                <w:lang w:val="en-US" w:eastAsia="zh-CN"/>
              </w:rPr>
              <w:t>厂区噪声</w:t>
            </w:r>
            <w:r>
              <w:rPr>
                <w:rFonts w:hint="default" w:ascii="Times New Roman" w:hAnsi="Times New Roman" w:eastAsia="宋体" w:cs="Times New Roman"/>
                <w:b/>
                <w:color w:val="auto"/>
                <w:sz w:val="21"/>
                <w:szCs w:val="21"/>
                <w:highlight w:val="none"/>
              </w:rPr>
              <w:t>监测点选取及监测频次</w:t>
            </w:r>
          </w:p>
          <w:tbl>
            <w:tblPr>
              <w:tblStyle w:val="3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168"/>
              <w:gridCol w:w="1051"/>
              <w:gridCol w:w="1259"/>
              <w:gridCol w:w="1085"/>
              <w:gridCol w:w="3962"/>
            </w:tblGrid>
            <w:tr w14:paraId="0F8B02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85" w:type="pct"/>
                  <w:tcBorders>
                    <w:tl2br w:val="nil"/>
                    <w:tr2bl w:val="nil"/>
                  </w:tcBorders>
                  <w:noWrap w:val="0"/>
                  <w:vAlign w:val="center"/>
                </w:tcPr>
                <w:p w14:paraId="7D42AA7C">
                  <w:pPr>
                    <w:pStyle w:val="129"/>
                    <w:pageBreakBefore w:val="0"/>
                    <w:kinsoku/>
                    <w:wordWrap/>
                    <w:overflowPunct/>
                    <w:bidi w:val="0"/>
                    <w:snapToGrid w:val="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污染源名称</w:t>
                  </w:r>
                </w:p>
              </w:tc>
              <w:tc>
                <w:tcPr>
                  <w:tcW w:w="616" w:type="pct"/>
                  <w:tcBorders>
                    <w:tl2br w:val="nil"/>
                    <w:tr2bl w:val="nil"/>
                  </w:tcBorders>
                  <w:noWrap w:val="0"/>
                  <w:vAlign w:val="center"/>
                </w:tcPr>
                <w:p w14:paraId="00EF808A">
                  <w:pPr>
                    <w:pStyle w:val="129"/>
                    <w:pageBreakBefore w:val="0"/>
                    <w:kinsoku/>
                    <w:wordWrap/>
                    <w:overflowPunct/>
                    <w:bidi w:val="0"/>
                    <w:snapToGrid w:val="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点位</w:t>
                  </w:r>
                </w:p>
              </w:tc>
              <w:tc>
                <w:tcPr>
                  <w:tcW w:w="738" w:type="pct"/>
                  <w:tcBorders>
                    <w:tl2br w:val="nil"/>
                    <w:tr2bl w:val="nil"/>
                  </w:tcBorders>
                  <w:noWrap w:val="0"/>
                  <w:vAlign w:val="center"/>
                </w:tcPr>
                <w:p w14:paraId="15E08BD3">
                  <w:pPr>
                    <w:pStyle w:val="129"/>
                    <w:pageBreakBefore w:val="0"/>
                    <w:kinsoku/>
                    <w:wordWrap/>
                    <w:overflowPunct/>
                    <w:bidi w:val="0"/>
                    <w:snapToGrid w:val="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监测因子</w:t>
                  </w:r>
                </w:p>
              </w:tc>
              <w:tc>
                <w:tcPr>
                  <w:tcW w:w="636" w:type="pct"/>
                  <w:tcBorders>
                    <w:tl2br w:val="nil"/>
                    <w:tr2bl w:val="nil"/>
                  </w:tcBorders>
                  <w:noWrap w:val="0"/>
                  <w:vAlign w:val="center"/>
                </w:tcPr>
                <w:p w14:paraId="7CDAF6CB">
                  <w:pPr>
                    <w:pStyle w:val="129"/>
                    <w:pageBreakBefore w:val="0"/>
                    <w:kinsoku/>
                    <w:wordWrap/>
                    <w:overflowPunct/>
                    <w:bidi w:val="0"/>
                    <w:snapToGrid w:val="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监测频次</w:t>
                  </w:r>
                </w:p>
              </w:tc>
              <w:tc>
                <w:tcPr>
                  <w:tcW w:w="2323" w:type="pct"/>
                  <w:tcBorders>
                    <w:tl2br w:val="nil"/>
                    <w:tr2bl w:val="nil"/>
                  </w:tcBorders>
                  <w:noWrap w:val="0"/>
                  <w:vAlign w:val="center"/>
                </w:tcPr>
                <w:p w14:paraId="7B4CD29C">
                  <w:pPr>
                    <w:pStyle w:val="129"/>
                    <w:pageBreakBefore w:val="0"/>
                    <w:kinsoku/>
                    <w:wordWrap/>
                    <w:overflowPunct/>
                    <w:bidi w:val="0"/>
                    <w:snapToGrid w:val="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执行排放标准</w:t>
                  </w:r>
                </w:p>
              </w:tc>
            </w:tr>
            <w:tr w14:paraId="69F52D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85" w:type="pct"/>
                  <w:tcBorders>
                    <w:tl2br w:val="nil"/>
                    <w:tr2bl w:val="nil"/>
                  </w:tcBorders>
                  <w:noWrap w:val="0"/>
                  <w:vAlign w:val="center"/>
                </w:tcPr>
                <w:p w14:paraId="46E84EEC">
                  <w:pPr>
                    <w:pStyle w:val="129"/>
                    <w:pageBreakBefore w:val="0"/>
                    <w:kinsoku/>
                    <w:wordWrap/>
                    <w:overflowPunct/>
                    <w:bidi w:val="0"/>
                    <w:snapToGrid w:val="0"/>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rPr>
                    <w:t>噪声</w:t>
                  </w:r>
                </w:p>
              </w:tc>
              <w:tc>
                <w:tcPr>
                  <w:tcW w:w="616" w:type="pct"/>
                  <w:tcBorders>
                    <w:tl2br w:val="nil"/>
                    <w:tr2bl w:val="nil"/>
                  </w:tcBorders>
                  <w:noWrap w:val="0"/>
                  <w:vAlign w:val="center"/>
                </w:tcPr>
                <w:p w14:paraId="57AC7D3D">
                  <w:pPr>
                    <w:pStyle w:val="129"/>
                    <w:pageBreakBefore w:val="0"/>
                    <w:kinsoku/>
                    <w:wordWrap/>
                    <w:overflowPunct/>
                    <w:bidi w:val="0"/>
                    <w:snapToGrid w:val="0"/>
                    <w:rPr>
                      <w:rFonts w:hint="eastAsia" w:ascii="Times New Roman" w:hAnsi="Times New Roman" w:eastAsia="宋体" w:cs="Times New Roman"/>
                      <w:color w:val="auto"/>
                      <w:kern w:val="0"/>
                      <w:sz w:val="18"/>
                      <w:szCs w:val="18"/>
                      <w:highlight w:val="none"/>
                      <w:lang w:eastAsia="zh-CN"/>
                    </w:rPr>
                  </w:pPr>
                  <w:r>
                    <w:rPr>
                      <w:rFonts w:hint="default" w:ascii="Times New Roman" w:hAnsi="Times New Roman" w:eastAsia="宋体" w:cs="Times New Roman"/>
                      <w:color w:val="auto"/>
                      <w:kern w:val="0"/>
                      <w:sz w:val="18"/>
                      <w:szCs w:val="18"/>
                      <w:highlight w:val="none"/>
                    </w:rPr>
                    <w:t>厂界</w:t>
                  </w:r>
                  <w:r>
                    <w:rPr>
                      <w:rFonts w:hint="eastAsia" w:ascii="Times New Roman" w:hAnsi="Times New Roman" w:eastAsia="宋体" w:cs="Times New Roman"/>
                      <w:color w:val="auto"/>
                      <w:kern w:val="0"/>
                      <w:sz w:val="18"/>
                      <w:szCs w:val="18"/>
                      <w:highlight w:val="none"/>
                      <w:lang w:eastAsia="zh-CN"/>
                    </w:rPr>
                    <w:t>西侧、东侧、南侧、北侧</w:t>
                  </w:r>
                </w:p>
              </w:tc>
              <w:tc>
                <w:tcPr>
                  <w:tcW w:w="738" w:type="pct"/>
                  <w:tcBorders>
                    <w:tl2br w:val="nil"/>
                    <w:tr2bl w:val="nil"/>
                  </w:tcBorders>
                  <w:noWrap w:val="0"/>
                  <w:vAlign w:val="center"/>
                </w:tcPr>
                <w:p w14:paraId="179B8488">
                  <w:pPr>
                    <w:pStyle w:val="129"/>
                    <w:pageBreakBefore w:val="0"/>
                    <w:kinsoku/>
                    <w:wordWrap/>
                    <w:overflowPunct/>
                    <w:bidi w:val="0"/>
                    <w:snapToGrid w:val="0"/>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rPr>
                    <w:t>等效A声级</w:t>
                  </w:r>
                </w:p>
              </w:tc>
              <w:tc>
                <w:tcPr>
                  <w:tcW w:w="636" w:type="pct"/>
                  <w:tcBorders>
                    <w:tl2br w:val="nil"/>
                    <w:tr2bl w:val="nil"/>
                  </w:tcBorders>
                  <w:noWrap w:val="0"/>
                  <w:vAlign w:val="center"/>
                </w:tcPr>
                <w:p w14:paraId="31FDF375">
                  <w:pPr>
                    <w:pStyle w:val="129"/>
                    <w:pageBreakBefore w:val="0"/>
                    <w:kinsoku/>
                    <w:wordWrap/>
                    <w:overflowPunct/>
                    <w:bidi w:val="0"/>
                    <w:snapToGrid w:val="0"/>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rPr>
                    <w:t>1次/季度</w:t>
                  </w:r>
                </w:p>
              </w:tc>
              <w:tc>
                <w:tcPr>
                  <w:tcW w:w="2323" w:type="pct"/>
                  <w:tcBorders>
                    <w:tl2br w:val="nil"/>
                    <w:tr2bl w:val="nil"/>
                  </w:tcBorders>
                  <w:noWrap w:val="0"/>
                  <w:vAlign w:val="center"/>
                </w:tcPr>
                <w:p w14:paraId="79152323">
                  <w:pPr>
                    <w:pageBreakBefore w:val="0"/>
                    <w:kinsoku/>
                    <w:wordWrap/>
                    <w:overflowPunct/>
                    <w:bidi w:val="0"/>
                    <w:snapToGrid w:val="0"/>
                    <w:jc w:val="center"/>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sz w:val="18"/>
                      <w:szCs w:val="18"/>
                      <w:highlight w:val="none"/>
                    </w:rPr>
                    <w:t>执行《工业企业厂界环境噪声排放标准》（GB12348-2008）中</w:t>
                  </w:r>
                  <w:r>
                    <w:rPr>
                      <w:rFonts w:hint="default" w:ascii="Times New Roman" w:hAnsi="Times New Roman" w:eastAsia="宋体" w:cs="Times New Roman"/>
                      <w:color w:val="auto"/>
                      <w:sz w:val="18"/>
                      <w:szCs w:val="18"/>
                      <w:highlight w:val="none"/>
                      <w:lang w:val="en-US" w:eastAsia="zh-CN"/>
                    </w:rPr>
                    <w:t>3</w:t>
                  </w:r>
                  <w:r>
                    <w:rPr>
                      <w:rFonts w:hint="default" w:ascii="Times New Roman" w:hAnsi="Times New Roman" w:eastAsia="宋体" w:cs="Times New Roman"/>
                      <w:color w:val="auto"/>
                      <w:sz w:val="18"/>
                      <w:szCs w:val="18"/>
                      <w:highlight w:val="none"/>
                    </w:rPr>
                    <w:t>类标准</w:t>
                  </w:r>
                </w:p>
              </w:tc>
            </w:tr>
          </w:tbl>
          <w:p w14:paraId="16066F10">
            <w:pPr>
              <w:widowControl/>
              <w:adjustRightInd w:val="0"/>
              <w:snapToGrid w:val="0"/>
              <w:spacing w:line="360" w:lineRule="auto"/>
              <w:ind w:firstLine="482" w:firstLineChars="200"/>
              <w:jc w:val="left"/>
              <w:rPr>
                <w:rFonts w:hint="default" w:ascii="Times New Roman" w:hAnsi="Times New Roman" w:eastAsia="宋体" w:cs="Times New Roman"/>
                <w:color w:val="auto"/>
                <w:kern w:val="0"/>
                <w:sz w:val="24"/>
                <w:lang w:val="en-US" w:eastAsia="zh-CN"/>
              </w:rPr>
            </w:pPr>
            <w:r>
              <w:rPr>
                <w:rFonts w:hint="eastAsia" w:cs="Times New Roman"/>
                <w:b/>
                <w:bCs/>
                <w:color w:val="auto"/>
                <w:kern w:val="0"/>
                <w:sz w:val="24"/>
                <w:lang w:val="en-US" w:eastAsia="zh-CN"/>
              </w:rPr>
              <w:t>3.3</w:t>
            </w:r>
            <w:r>
              <w:rPr>
                <w:rFonts w:hint="default" w:ascii="Times New Roman" w:hAnsi="Times New Roman" w:eastAsia="宋体" w:cs="Times New Roman"/>
                <w:b/>
                <w:bCs/>
                <w:color w:val="auto"/>
                <w:kern w:val="0"/>
                <w:sz w:val="24"/>
                <w:lang w:val="en-US" w:eastAsia="zh-CN"/>
              </w:rPr>
              <w:t>噪声污染防治措施可行性分析</w:t>
            </w:r>
          </w:p>
          <w:p w14:paraId="02C7B1F7">
            <w:pPr>
              <w:widowControl/>
              <w:adjustRightInd w:val="0"/>
              <w:snapToGrid w:val="0"/>
              <w:spacing w:line="360" w:lineRule="auto"/>
              <w:ind w:firstLine="480" w:firstLineChars="200"/>
              <w:jc w:val="left"/>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建设单位拟采取的噪声防治措施如下：</w:t>
            </w:r>
          </w:p>
          <w:p w14:paraId="56EE5AD6">
            <w:pPr>
              <w:widowControl/>
              <w:adjustRightInd w:val="0"/>
              <w:snapToGrid w:val="0"/>
              <w:spacing w:line="360" w:lineRule="auto"/>
              <w:ind w:firstLine="480" w:firstLineChars="200"/>
              <w:jc w:val="left"/>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（1）本项目选用满足国际标准的低噪声、低振动设备，并采取基础减振、隔声降噪等措施。</w:t>
            </w:r>
          </w:p>
          <w:p w14:paraId="53AAB75F">
            <w:pPr>
              <w:widowControl/>
              <w:adjustRightInd w:val="0"/>
              <w:snapToGrid w:val="0"/>
              <w:spacing w:line="360" w:lineRule="auto"/>
              <w:ind w:firstLine="480" w:firstLineChars="200"/>
              <w:jc w:val="left"/>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（2）对设备进行日常维护，保障设备的正常运行，并且要求操作人员严格规范操作，防止因设备故障或者操作不当带来的额外噪声。</w:t>
            </w:r>
          </w:p>
          <w:p w14:paraId="2F074370">
            <w:pPr>
              <w:widowControl/>
              <w:adjustRightInd w:val="0"/>
              <w:snapToGrid w:val="0"/>
              <w:spacing w:line="360" w:lineRule="auto"/>
              <w:ind w:firstLine="480" w:firstLineChars="200"/>
              <w:jc w:val="left"/>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（3）根据整体布置对噪声设备进行合理布局，集中控制。</w:t>
            </w:r>
          </w:p>
          <w:p w14:paraId="1FE075B3">
            <w:pPr>
              <w:widowControl/>
              <w:adjustRightInd w:val="0"/>
              <w:snapToGrid w:val="0"/>
              <w:spacing w:line="360" w:lineRule="auto"/>
              <w:ind w:firstLine="480" w:firstLineChars="200"/>
              <w:jc w:val="left"/>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kern w:val="0"/>
                <w:sz w:val="24"/>
                <w:lang w:val="en-US" w:eastAsia="zh-CN"/>
              </w:rPr>
              <w:t>综上所述，本项目运行后产生的噪声不会对区域声环境产生明显不利影响。</w:t>
            </w:r>
          </w:p>
        </w:tc>
      </w:tr>
    </w:tbl>
    <w:p w14:paraId="16F1297C">
      <w:pPr>
        <w:adjustRightInd w:val="0"/>
        <w:snapToGrid w:val="0"/>
        <w:jc w:val="center"/>
        <w:rPr>
          <w:b/>
          <w:bCs/>
          <w:color w:val="auto"/>
          <w:sz w:val="24"/>
        </w:rPr>
        <w:sectPr>
          <w:pgSz w:w="11907" w:h="16840"/>
          <w:pgMar w:top="1701" w:right="1531" w:bottom="2126" w:left="1531" w:header="851" w:footer="850" w:gutter="0"/>
          <w:pgBorders>
            <w:top w:val="none" w:sz="0" w:space="0"/>
            <w:left w:val="none" w:sz="0" w:space="0"/>
            <w:bottom w:val="none" w:sz="0" w:space="0"/>
            <w:right w:val="none" w:sz="0" w:space="0"/>
          </w:pgBorders>
          <w:cols w:space="0" w:num="1"/>
          <w:rtlGutter w:val="0"/>
          <w:docGrid w:linePitch="312" w:charSpace="0"/>
        </w:sectPr>
      </w:pPr>
    </w:p>
    <w:tbl>
      <w:tblPr>
        <w:tblStyle w:val="3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34"/>
        <w:gridCol w:w="12515"/>
      </w:tblGrid>
      <w:tr w14:paraId="7BF13A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57" w:hRule="atLeast"/>
          <w:jc w:val="center"/>
        </w:trPr>
        <w:tc>
          <w:tcPr>
            <w:tcW w:w="241" w:type="pct"/>
            <w:tcMar>
              <w:left w:w="28" w:type="dxa"/>
              <w:right w:w="28" w:type="dxa"/>
            </w:tcMar>
            <w:vAlign w:val="center"/>
          </w:tcPr>
          <w:p w14:paraId="40B57AFB">
            <w:pPr>
              <w:adjustRightInd w:val="0"/>
              <w:snapToGrid w:val="0"/>
              <w:jc w:val="center"/>
              <w:rPr>
                <w:b/>
                <w:bCs/>
                <w:color w:val="auto"/>
                <w:sz w:val="24"/>
              </w:rPr>
            </w:pPr>
            <w:r>
              <w:rPr>
                <w:rFonts w:hAnsi="宋体"/>
                <w:b/>
                <w:bCs/>
                <w:color w:val="auto"/>
                <w:sz w:val="24"/>
              </w:rPr>
              <w:t>运营</w:t>
            </w:r>
          </w:p>
          <w:p w14:paraId="0E46781D">
            <w:pPr>
              <w:adjustRightInd w:val="0"/>
              <w:snapToGrid w:val="0"/>
              <w:jc w:val="center"/>
              <w:rPr>
                <w:b/>
                <w:bCs/>
                <w:color w:val="auto"/>
                <w:sz w:val="24"/>
              </w:rPr>
            </w:pPr>
            <w:r>
              <w:rPr>
                <w:rFonts w:hAnsi="宋体"/>
                <w:b/>
                <w:bCs/>
                <w:color w:val="auto"/>
                <w:sz w:val="24"/>
              </w:rPr>
              <w:t>期环</w:t>
            </w:r>
          </w:p>
          <w:p w14:paraId="278F8F9E">
            <w:pPr>
              <w:adjustRightInd w:val="0"/>
              <w:snapToGrid w:val="0"/>
              <w:jc w:val="center"/>
              <w:rPr>
                <w:b/>
                <w:bCs/>
                <w:color w:val="auto"/>
                <w:sz w:val="24"/>
              </w:rPr>
            </w:pPr>
            <w:r>
              <w:rPr>
                <w:rFonts w:hAnsi="宋体"/>
                <w:b/>
                <w:bCs/>
                <w:color w:val="auto"/>
                <w:sz w:val="24"/>
              </w:rPr>
              <w:t>境影</w:t>
            </w:r>
          </w:p>
          <w:p w14:paraId="3E6FA5A5">
            <w:pPr>
              <w:adjustRightInd w:val="0"/>
              <w:snapToGrid w:val="0"/>
              <w:jc w:val="center"/>
              <w:rPr>
                <w:b/>
                <w:bCs/>
                <w:color w:val="auto"/>
                <w:sz w:val="24"/>
              </w:rPr>
            </w:pPr>
            <w:r>
              <w:rPr>
                <w:rFonts w:hAnsi="宋体"/>
                <w:b/>
                <w:bCs/>
                <w:color w:val="auto"/>
                <w:sz w:val="24"/>
              </w:rPr>
              <w:t>响和</w:t>
            </w:r>
          </w:p>
          <w:p w14:paraId="5178389F">
            <w:pPr>
              <w:adjustRightInd w:val="0"/>
              <w:snapToGrid w:val="0"/>
              <w:jc w:val="center"/>
              <w:rPr>
                <w:b/>
                <w:bCs/>
                <w:color w:val="auto"/>
                <w:sz w:val="24"/>
              </w:rPr>
            </w:pPr>
            <w:r>
              <w:rPr>
                <w:rFonts w:hAnsi="宋体"/>
                <w:b/>
                <w:bCs/>
                <w:color w:val="auto"/>
                <w:sz w:val="24"/>
              </w:rPr>
              <w:t>保护</w:t>
            </w:r>
          </w:p>
          <w:p w14:paraId="0D413143">
            <w:pPr>
              <w:adjustRightInd w:val="0"/>
              <w:snapToGrid w:val="0"/>
              <w:jc w:val="center"/>
              <w:rPr>
                <w:b/>
                <w:bCs/>
                <w:color w:val="auto"/>
                <w:sz w:val="24"/>
              </w:rPr>
            </w:pPr>
            <w:r>
              <w:rPr>
                <w:rFonts w:hAnsi="宋体"/>
                <w:b/>
                <w:bCs/>
                <w:color w:val="auto"/>
                <w:sz w:val="24"/>
              </w:rPr>
              <w:t>措施</w:t>
            </w:r>
          </w:p>
        </w:tc>
        <w:tc>
          <w:tcPr>
            <w:tcW w:w="4759" w:type="pct"/>
            <w:vAlign w:val="center"/>
          </w:tcPr>
          <w:p w14:paraId="3ED90FBB">
            <w:pPr>
              <w:widowControl/>
              <w:autoSpaceDE w:val="0"/>
              <w:autoSpaceDN w:val="0"/>
              <w:adjustRightInd w:val="0"/>
              <w:snapToGrid w:val="0"/>
              <w:spacing w:beforeLines="50" w:line="360" w:lineRule="auto"/>
              <w:ind w:firstLine="482" w:firstLineChars="200"/>
              <w:jc w:val="left"/>
              <w:rPr>
                <w:b/>
                <w:color w:val="auto"/>
                <w:kern w:val="0"/>
                <w:sz w:val="24"/>
              </w:rPr>
            </w:pPr>
            <w:r>
              <w:rPr>
                <w:rFonts w:hint="eastAsia"/>
                <w:b/>
                <w:color w:val="auto"/>
                <w:kern w:val="0"/>
                <w:sz w:val="24"/>
                <w:lang w:val="en-US" w:eastAsia="zh-CN"/>
              </w:rPr>
              <w:t>4</w:t>
            </w:r>
            <w:r>
              <w:rPr>
                <w:b/>
                <w:color w:val="auto"/>
                <w:kern w:val="0"/>
                <w:sz w:val="24"/>
              </w:rPr>
              <w:t>固体废物</w:t>
            </w:r>
          </w:p>
          <w:p w14:paraId="550A4E9D">
            <w:pPr>
              <w:widowControl/>
              <w:autoSpaceDE w:val="0"/>
              <w:autoSpaceDN w:val="0"/>
              <w:adjustRightInd w:val="0"/>
              <w:snapToGrid w:val="0"/>
              <w:spacing w:before="120" w:beforeLines="50" w:line="360" w:lineRule="auto"/>
              <w:ind w:firstLine="482" w:firstLineChars="200"/>
              <w:jc w:val="left"/>
              <w:rPr>
                <w:b/>
                <w:color w:val="auto"/>
                <w:kern w:val="0"/>
                <w:sz w:val="24"/>
              </w:rPr>
            </w:pPr>
            <w:r>
              <w:rPr>
                <w:b/>
                <w:color w:val="auto"/>
                <w:kern w:val="0"/>
                <w:sz w:val="24"/>
              </w:rPr>
              <w:t>4.1固体废物产生环节及源强分析</w:t>
            </w:r>
          </w:p>
          <w:p w14:paraId="66CE08C0">
            <w:pPr>
              <w:adjustRightInd w:val="0"/>
              <w:snapToGrid w:val="0"/>
              <w:spacing w:line="360" w:lineRule="auto"/>
              <w:ind w:firstLine="480" w:firstLineChars="200"/>
              <w:rPr>
                <w:color w:val="auto"/>
                <w:sz w:val="24"/>
              </w:rPr>
            </w:pPr>
            <w:r>
              <w:rPr>
                <w:color w:val="auto"/>
                <w:sz w:val="24"/>
              </w:rPr>
              <w:t>本项目产生的固废主要为生产过程中的</w:t>
            </w:r>
            <w:r>
              <w:rPr>
                <w:rFonts w:hint="eastAsia"/>
                <w:color w:val="auto"/>
                <w:sz w:val="24"/>
              </w:rPr>
              <w:t>废</w:t>
            </w:r>
            <w:r>
              <w:rPr>
                <w:rFonts w:hint="eastAsia"/>
                <w:color w:val="auto"/>
                <w:sz w:val="24"/>
                <w:lang w:eastAsia="zh-CN"/>
              </w:rPr>
              <w:t>原料</w:t>
            </w:r>
            <w:r>
              <w:rPr>
                <w:color w:val="auto"/>
                <w:sz w:val="24"/>
              </w:rPr>
              <w:t>（</w:t>
            </w:r>
            <w:r>
              <w:rPr>
                <w:color w:val="auto"/>
                <w:sz w:val="24"/>
                <w:szCs w:val="21"/>
              </w:rPr>
              <w:t>S1-1、S2-1</w:t>
            </w:r>
            <w:r>
              <w:rPr>
                <w:color w:val="auto"/>
                <w:sz w:val="24"/>
              </w:rPr>
              <w:t>）、</w:t>
            </w:r>
            <w:r>
              <w:rPr>
                <w:rFonts w:hint="eastAsia"/>
                <w:color w:val="auto"/>
                <w:sz w:val="24"/>
              </w:rPr>
              <w:t>废包装材料</w:t>
            </w:r>
            <w:r>
              <w:rPr>
                <w:color w:val="auto"/>
                <w:sz w:val="24"/>
              </w:rPr>
              <w:t>（S3）</w:t>
            </w:r>
            <w:r>
              <w:rPr>
                <w:rFonts w:hint="eastAsia"/>
                <w:color w:val="auto"/>
                <w:sz w:val="24"/>
                <w:lang w:eastAsia="zh-CN"/>
              </w:rPr>
              <w:t>、</w:t>
            </w:r>
            <w:r>
              <w:rPr>
                <w:color w:val="auto"/>
                <w:sz w:val="24"/>
              </w:rPr>
              <w:t>生活垃圾（S</w:t>
            </w:r>
            <w:r>
              <w:rPr>
                <w:rFonts w:hint="eastAsia"/>
                <w:color w:val="auto"/>
                <w:sz w:val="24"/>
                <w:lang w:val="en-US" w:eastAsia="zh-CN"/>
              </w:rPr>
              <w:t>4</w:t>
            </w:r>
            <w:r>
              <w:rPr>
                <w:color w:val="auto"/>
                <w:sz w:val="24"/>
              </w:rPr>
              <w:t>）。</w:t>
            </w:r>
          </w:p>
          <w:p w14:paraId="45C480BF">
            <w:pPr>
              <w:adjustRightInd w:val="0"/>
              <w:snapToGrid w:val="0"/>
              <w:jc w:val="center"/>
              <w:rPr>
                <w:b/>
                <w:color w:val="auto"/>
                <w:kern w:val="0"/>
                <w:sz w:val="24"/>
                <w:szCs w:val="28"/>
              </w:rPr>
            </w:pPr>
            <w:r>
              <w:rPr>
                <w:b/>
                <w:color w:val="auto"/>
                <w:kern w:val="0"/>
                <w:sz w:val="24"/>
                <w:szCs w:val="28"/>
              </w:rPr>
              <w:t>表4-</w:t>
            </w:r>
            <w:r>
              <w:rPr>
                <w:rFonts w:hint="eastAsia"/>
                <w:b/>
                <w:color w:val="auto"/>
                <w:kern w:val="0"/>
                <w:sz w:val="24"/>
                <w:szCs w:val="28"/>
                <w:lang w:val="en-US" w:eastAsia="zh-CN"/>
              </w:rPr>
              <w:t>20</w:t>
            </w:r>
            <w:r>
              <w:rPr>
                <w:b/>
                <w:color w:val="auto"/>
                <w:kern w:val="0"/>
                <w:sz w:val="24"/>
                <w:szCs w:val="28"/>
              </w:rPr>
              <w:t xml:space="preserve"> 本项目</w:t>
            </w:r>
            <w:r>
              <w:rPr>
                <w:b/>
                <w:bCs/>
                <w:color w:val="auto"/>
                <w:kern w:val="0"/>
                <w:sz w:val="24"/>
                <w:szCs w:val="28"/>
              </w:rPr>
              <w:t>固体废物污染源源强核算结果</w:t>
            </w:r>
            <w:r>
              <w:rPr>
                <w:b/>
                <w:color w:val="auto"/>
                <w:kern w:val="0"/>
                <w:sz w:val="24"/>
                <w:szCs w:val="28"/>
              </w:rPr>
              <w:t>一览表</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562"/>
              <w:gridCol w:w="1231"/>
              <w:gridCol w:w="1231"/>
              <w:gridCol w:w="1150"/>
              <w:gridCol w:w="598"/>
              <w:gridCol w:w="1433"/>
              <w:gridCol w:w="1291"/>
              <w:gridCol w:w="776"/>
              <w:gridCol w:w="1192"/>
              <w:gridCol w:w="680"/>
              <w:gridCol w:w="1059"/>
              <w:gridCol w:w="1096"/>
            </w:tblGrid>
            <w:tr w14:paraId="497C7F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228" w:type="pct"/>
                  <w:tcBorders>
                    <w:top w:val="single" w:color="auto" w:sz="12" w:space="0"/>
                    <w:bottom w:val="single" w:color="auto" w:sz="12" w:space="0"/>
                  </w:tcBorders>
                  <w:shd w:val="clear" w:color="auto" w:fill="auto"/>
                  <w:vAlign w:val="center"/>
                </w:tcPr>
                <w:p w14:paraId="7E1E7B81">
                  <w:pPr>
                    <w:overflowPunct w:val="0"/>
                    <w:adjustRightInd w:val="0"/>
                    <w:snapToGrid w:val="0"/>
                    <w:jc w:val="center"/>
                    <w:textAlignment w:val="baseline"/>
                    <w:rPr>
                      <w:b/>
                      <w:color w:val="auto"/>
                      <w:szCs w:val="21"/>
                      <w:lang w:val="zh-CN"/>
                    </w:rPr>
                  </w:pPr>
                  <w:r>
                    <w:rPr>
                      <w:b/>
                      <w:color w:val="auto"/>
                      <w:szCs w:val="21"/>
                      <w:lang w:val="zh-CN"/>
                    </w:rPr>
                    <w:t>序号</w:t>
                  </w:r>
                </w:p>
              </w:tc>
              <w:tc>
                <w:tcPr>
                  <w:tcW w:w="500" w:type="pct"/>
                  <w:tcBorders>
                    <w:top w:val="single" w:color="auto" w:sz="12" w:space="0"/>
                    <w:bottom w:val="single" w:color="auto" w:sz="12" w:space="0"/>
                  </w:tcBorders>
                  <w:shd w:val="clear" w:color="auto" w:fill="auto"/>
                  <w:vAlign w:val="center"/>
                </w:tcPr>
                <w:p w14:paraId="37F72986">
                  <w:pPr>
                    <w:overflowPunct w:val="0"/>
                    <w:adjustRightInd w:val="0"/>
                    <w:snapToGrid w:val="0"/>
                    <w:jc w:val="center"/>
                    <w:textAlignment w:val="baseline"/>
                    <w:rPr>
                      <w:b/>
                      <w:color w:val="auto"/>
                      <w:szCs w:val="21"/>
                      <w:lang w:val="zh-CN"/>
                    </w:rPr>
                  </w:pPr>
                  <w:r>
                    <w:rPr>
                      <w:b/>
                      <w:color w:val="auto"/>
                      <w:szCs w:val="21"/>
                      <w:lang w:val="zh-CN"/>
                    </w:rPr>
                    <w:t>固废名称</w:t>
                  </w:r>
                </w:p>
              </w:tc>
              <w:tc>
                <w:tcPr>
                  <w:tcW w:w="500" w:type="pct"/>
                  <w:tcBorders>
                    <w:top w:val="single" w:color="auto" w:sz="12" w:space="0"/>
                    <w:bottom w:val="single" w:color="auto" w:sz="12" w:space="0"/>
                  </w:tcBorders>
                  <w:shd w:val="clear" w:color="auto" w:fill="auto"/>
                  <w:vAlign w:val="center"/>
                </w:tcPr>
                <w:p w14:paraId="45476441">
                  <w:pPr>
                    <w:overflowPunct w:val="0"/>
                    <w:adjustRightInd w:val="0"/>
                    <w:snapToGrid w:val="0"/>
                    <w:jc w:val="center"/>
                    <w:textAlignment w:val="baseline"/>
                    <w:rPr>
                      <w:b/>
                      <w:color w:val="auto"/>
                      <w:szCs w:val="21"/>
                      <w:lang w:val="zh-CN"/>
                    </w:rPr>
                  </w:pPr>
                  <w:r>
                    <w:rPr>
                      <w:b/>
                      <w:color w:val="auto"/>
                      <w:szCs w:val="21"/>
                      <w:lang w:val="zh-CN"/>
                    </w:rPr>
                    <w:t>属性</w:t>
                  </w:r>
                </w:p>
              </w:tc>
              <w:tc>
                <w:tcPr>
                  <w:tcW w:w="467" w:type="pct"/>
                  <w:tcBorders>
                    <w:top w:val="single" w:color="auto" w:sz="12" w:space="0"/>
                    <w:bottom w:val="single" w:color="auto" w:sz="12" w:space="0"/>
                  </w:tcBorders>
                  <w:shd w:val="clear" w:color="auto" w:fill="auto"/>
                  <w:vAlign w:val="center"/>
                </w:tcPr>
                <w:p w14:paraId="5CC58F8C">
                  <w:pPr>
                    <w:overflowPunct w:val="0"/>
                    <w:adjustRightInd w:val="0"/>
                    <w:snapToGrid w:val="0"/>
                    <w:jc w:val="center"/>
                    <w:textAlignment w:val="baseline"/>
                    <w:rPr>
                      <w:b/>
                      <w:color w:val="auto"/>
                      <w:szCs w:val="21"/>
                      <w:lang w:val="zh-CN"/>
                    </w:rPr>
                  </w:pPr>
                  <w:r>
                    <w:rPr>
                      <w:b/>
                      <w:color w:val="auto"/>
                      <w:szCs w:val="21"/>
                      <w:lang w:val="zh-CN"/>
                    </w:rPr>
                    <w:t>产生工序</w:t>
                  </w:r>
                </w:p>
              </w:tc>
              <w:tc>
                <w:tcPr>
                  <w:tcW w:w="243" w:type="pct"/>
                  <w:tcBorders>
                    <w:top w:val="single" w:color="auto" w:sz="12" w:space="0"/>
                    <w:bottom w:val="single" w:color="auto" w:sz="12" w:space="0"/>
                  </w:tcBorders>
                  <w:shd w:val="clear" w:color="auto" w:fill="auto"/>
                  <w:vAlign w:val="center"/>
                </w:tcPr>
                <w:p w14:paraId="3D3C96EA">
                  <w:pPr>
                    <w:overflowPunct w:val="0"/>
                    <w:adjustRightInd w:val="0"/>
                    <w:snapToGrid w:val="0"/>
                    <w:jc w:val="center"/>
                    <w:textAlignment w:val="baseline"/>
                    <w:rPr>
                      <w:b/>
                      <w:color w:val="auto"/>
                      <w:szCs w:val="21"/>
                      <w:lang w:val="zh-CN"/>
                    </w:rPr>
                  </w:pPr>
                  <w:r>
                    <w:rPr>
                      <w:b/>
                      <w:color w:val="auto"/>
                      <w:szCs w:val="21"/>
                      <w:lang w:val="zh-CN"/>
                    </w:rPr>
                    <w:t>形态</w:t>
                  </w:r>
                </w:p>
              </w:tc>
              <w:tc>
                <w:tcPr>
                  <w:tcW w:w="582" w:type="pct"/>
                  <w:tcBorders>
                    <w:top w:val="single" w:color="auto" w:sz="12" w:space="0"/>
                    <w:bottom w:val="single" w:color="auto" w:sz="12" w:space="0"/>
                  </w:tcBorders>
                  <w:shd w:val="clear" w:color="auto" w:fill="auto"/>
                  <w:vAlign w:val="center"/>
                </w:tcPr>
                <w:p w14:paraId="63C07D15">
                  <w:pPr>
                    <w:overflowPunct w:val="0"/>
                    <w:adjustRightInd w:val="0"/>
                    <w:snapToGrid w:val="0"/>
                    <w:jc w:val="center"/>
                    <w:textAlignment w:val="baseline"/>
                    <w:rPr>
                      <w:b/>
                      <w:color w:val="auto"/>
                      <w:szCs w:val="21"/>
                      <w:lang w:val="zh-CN"/>
                    </w:rPr>
                  </w:pPr>
                  <w:r>
                    <w:rPr>
                      <w:b/>
                      <w:color w:val="auto"/>
                      <w:szCs w:val="21"/>
                      <w:lang w:val="zh-CN"/>
                    </w:rPr>
                    <w:t>主要成分</w:t>
                  </w:r>
                </w:p>
              </w:tc>
              <w:tc>
                <w:tcPr>
                  <w:tcW w:w="524" w:type="pct"/>
                  <w:tcBorders>
                    <w:top w:val="single" w:color="auto" w:sz="12" w:space="0"/>
                    <w:bottom w:val="single" w:color="auto" w:sz="12" w:space="0"/>
                  </w:tcBorders>
                  <w:shd w:val="clear" w:color="auto" w:fill="auto"/>
                  <w:vAlign w:val="center"/>
                </w:tcPr>
                <w:p w14:paraId="3139110B">
                  <w:pPr>
                    <w:overflowPunct w:val="0"/>
                    <w:adjustRightInd w:val="0"/>
                    <w:snapToGrid w:val="0"/>
                    <w:jc w:val="center"/>
                    <w:textAlignment w:val="baseline"/>
                    <w:rPr>
                      <w:b/>
                      <w:color w:val="auto"/>
                      <w:szCs w:val="21"/>
                      <w:lang w:val="zh-CN"/>
                    </w:rPr>
                  </w:pPr>
                  <w:r>
                    <w:rPr>
                      <w:b/>
                      <w:color w:val="auto"/>
                      <w:szCs w:val="21"/>
                      <w:lang w:val="zh-CN"/>
                    </w:rPr>
                    <w:t>危险特性鉴别方法</w:t>
                  </w:r>
                </w:p>
              </w:tc>
              <w:tc>
                <w:tcPr>
                  <w:tcW w:w="315" w:type="pct"/>
                  <w:tcBorders>
                    <w:top w:val="single" w:color="auto" w:sz="12" w:space="0"/>
                    <w:bottom w:val="single" w:color="auto" w:sz="12" w:space="0"/>
                  </w:tcBorders>
                  <w:shd w:val="clear" w:color="auto" w:fill="auto"/>
                  <w:vAlign w:val="center"/>
                </w:tcPr>
                <w:p w14:paraId="1955F087">
                  <w:pPr>
                    <w:overflowPunct w:val="0"/>
                    <w:adjustRightInd w:val="0"/>
                    <w:snapToGrid w:val="0"/>
                    <w:jc w:val="center"/>
                    <w:textAlignment w:val="baseline"/>
                    <w:rPr>
                      <w:b/>
                      <w:color w:val="auto"/>
                      <w:szCs w:val="21"/>
                      <w:lang w:val="zh-CN"/>
                    </w:rPr>
                  </w:pPr>
                  <w:r>
                    <w:rPr>
                      <w:b/>
                      <w:color w:val="auto"/>
                      <w:szCs w:val="21"/>
                      <w:lang w:val="zh-CN"/>
                    </w:rPr>
                    <w:t>废物</w:t>
                  </w:r>
                </w:p>
                <w:p w14:paraId="64654AD9">
                  <w:pPr>
                    <w:overflowPunct w:val="0"/>
                    <w:adjustRightInd w:val="0"/>
                    <w:snapToGrid w:val="0"/>
                    <w:jc w:val="center"/>
                    <w:textAlignment w:val="baseline"/>
                    <w:rPr>
                      <w:b/>
                      <w:color w:val="auto"/>
                      <w:szCs w:val="21"/>
                      <w:lang w:val="zh-CN"/>
                    </w:rPr>
                  </w:pPr>
                  <w:r>
                    <w:rPr>
                      <w:b/>
                      <w:color w:val="auto"/>
                      <w:szCs w:val="21"/>
                      <w:lang w:val="zh-CN"/>
                    </w:rPr>
                    <w:t>类别</w:t>
                  </w:r>
                </w:p>
              </w:tc>
              <w:tc>
                <w:tcPr>
                  <w:tcW w:w="484" w:type="pct"/>
                  <w:tcBorders>
                    <w:top w:val="single" w:color="auto" w:sz="12" w:space="0"/>
                    <w:bottom w:val="single" w:color="auto" w:sz="12" w:space="0"/>
                  </w:tcBorders>
                  <w:shd w:val="clear" w:color="auto" w:fill="auto"/>
                  <w:vAlign w:val="center"/>
                </w:tcPr>
                <w:p w14:paraId="7C2E8B47">
                  <w:pPr>
                    <w:overflowPunct w:val="0"/>
                    <w:adjustRightInd w:val="0"/>
                    <w:snapToGrid w:val="0"/>
                    <w:jc w:val="center"/>
                    <w:textAlignment w:val="baseline"/>
                    <w:rPr>
                      <w:b/>
                      <w:color w:val="auto"/>
                      <w:szCs w:val="21"/>
                      <w:lang w:val="zh-CN"/>
                    </w:rPr>
                  </w:pPr>
                  <w:r>
                    <w:rPr>
                      <w:b/>
                      <w:color w:val="auto"/>
                      <w:szCs w:val="21"/>
                      <w:lang w:val="zh-CN"/>
                    </w:rPr>
                    <w:t>废物代码</w:t>
                  </w:r>
                </w:p>
              </w:tc>
              <w:tc>
                <w:tcPr>
                  <w:tcW w:w="276" w:type="pct"/>
                  <w:tcBorders>
                    <w:top w:val="single" w:color="auto" w:sz="12" w:space="0"/>
                    <w:bottom w:val="single" w:color="auto" w:sz="12" w:space="0"/>
                  </w:tcBorders>
                  <w:shd w:val="clear" w:color="auto" w:fill="auto"/>
                  <w:vAlign w:val="center"/>
                </w:tcPr>
                <w:p w14:paraId="0EE4EC91">
                  <w:pPr>
                    <w:overflowPunct w:val="0"/>
                    <w:adjustRightInd w:val="0"/>
                    <w:snapToGrid w:val="0"/>
                    <w:jc w:val="center"/>
                    <w:textAlignment w:val="baseline"/>
                    <w:rPr>
                      <w:b/>
                      <w:color w:val="auto"/>
                      <w:szCs w:val="21"/>
                      <w:lang w:val="zh-CN"/>
                    </w:rPr>
                  </w:pPr>
                  <w:r>
                    <w:rPr>
                      <w:b/>
                      <w:color w:val="auto"/>
                      <w:szCs w:val="21"/>
                      <w:lang w:val="zh-CN"/>
                    </w:rPr>
                    <w:t>危险特性</w:t>
                  </w:r>
                </w:p>
              </w:tc>
              <w:tc>
                <w:tcPr>
                  <w:tcW w:w="430" w:type="pct"/>
                  <w:tcBorders>
                    <w:top w:val="single" w:color="auto" w:sz="12" w:space="0"/>
                    <w:bottom w:val="single" w:color="auto" w:sz="12" w:space="0"/>
                  </w:tcBorders>
                  <w:shd w:val="clear" w:color="auto" w:fill="auto"/>
                  <w:vAlign w:val="center"/>
                </w:tcPr>
                <w:p w14:paraId="24DAD176">
                  <w:pPr>
                    <w:overflowPunct w:val="0"/>
                    <w:adjustRightInd w:val="0"/>
                    <w:snapToGrid w:val="0"/>
                    <w:jc w:val="center"/>
                    <w:textAlignment w:val="baseline"/>
                    <w:rPr>
                      <w:b/>
                      <w:color w:val="auto"/>
                      <w:szCs w:val="21"/>
                      <w:lang w:val="zh-CN"/>
                    </w:rPr>
                  </w:pPr>
                  <w:r>
                    <w:rPr>
                      <w:b/>
                      <w:color w:val="auto"/>
                      <w:szCs w:val="21"/>
                      <w:lang w:val="zh-CN"/>
                    </w:rPr>
                    <w:t>估算产生量（t/a）</w:t>
                  </w:r>
                </w:p>
              </w:tc>
              <w:tc>
                <w:tcPr>
                  <w:tcW w:w="445" w:type="pct"/>
                  <w:tcBorders>
                    <w:top w:val="single" w:color="auto" w:sz="12" w:space="0"/>
                    <w:bottom w:val="single" w:color="auto" w:sz="12" w:space="0"/>
                  </w:tcBorders>
                  <w:shd w:val="clear" w:color="auto" w:fill="auto"/>
                  <w:vAlign w:val="center"/>
                </w:tcPr>
                <w:p w14:paraId="0C40A4B1">
                  <w:pPr>
                    <w:overflowPunct w:val="0"/>
                    <w:adjustRightInd w:val="0"/>
                    <w:snapToGrid w:val="0"/>
                    <w:jc w:val="center"/>
                    <w:textAlignment w:val="baseline"/>
                    <w:rPr>
                      <w:b/>
                      <w:color w:val="auto"/>
                      <w:szCs w:val="21"/>
                      <w:lang w:val="zh-CN"/>
                    </w:rPr>
                  </w:pPr>
                  <w:r>
                    <w:rPr>
                      <w:b/>
                      <w:color w:val="auto"/>
                      <w:szCs w:val="21"/>
                      <w:lang w:val="zh-CN"/>
                    </w:rPr>
                    <w:t>利用处置方式</w:t>
                  </w:r>
                </w:p>
              </w:tc>
            </w:tr>
            <w:tr w14:paraId="6BA4A3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8" w:type="pct"/>
                  <w:tcBorders>
                    <w:top w:val="single" w:color="auto" w:sz="4" w:space="0"/>
                    <w:bottom w:val="single" w:color="auto" w:sz="4" w:space="0"/>
                  </w:tcBorders>
                  <w:shd w:val="clear" w:color="auto" w:fill="auto"/>
                  <w:vAlign w:val="center"/>
                </w:tcPr>
                <w:p w14:paraId="0F27FA34">
                  <w:pPr>
                    <w:adjustRightInd w:val="0"/>
                    <w:snapToGrid w:val="0"/>
                    <w:jc w:val="center"/>
                    <w:rPr>
                      <w:color w:val="auto"/>
                      <w:szCs w:val="21"/>
                    </w:rPr>
                  </w:pPr>
                  <w:r>
                    <w:rPr>
                      <w:rFonts w:hint="eastAsia"/>
                      <w:color w:val="auto"/>
                      <w:szCs w:val="21"/>
                    </w:rPr>
                    <w:t>1</w:t>
                  </w:r>
                </w:p>
              </w:tc>
              <w:tc>
                <w:tcPr>
                  <w:tcW w:w="500" w:type="pct"/>
                  <w:tcBorders>
                    <w:top w:val="single" w:color="auto" w:sz="4" w:space="0"/>
                    <w:bottom w:val="single" w:color="auto" w:sz="4" w:space="0"/>
                  </w:tcBorders>
                  <w:shd w:val="clear" w:color="auto" w:fill="auto"/>
                  <w:vAlign w:val="center"/>
                </w:tcPr>
                <w:p w14:paraId="03A64568">
                  <w:pPr>
                    <w:overflowPunct w:val="0"/>
                    <w:adjustRightInd w:val="0"/>
                    <w:snapToGrid w:val="0"/>
                    <w:jc w:val="center"/>
                    <w:textAlignment w:val="baseline"/>
                    <w:rPr>
                      <w:color w:val="auto"/>
                      <w:szCs w:val="21"/>
                      <w:lang w:val="zh-CN"/>
                    </w:rPr>
                  </w:pPr>
                  <w:r>
                    <w:rPr>
                      <w:rFonts w:hint="eastAsia"/>
                      <w:color w:val="auto"/>
                      <w:szCs w:val="21"/>
                      <w:lang w:val="zh-CN"/>
                    </w:rPr>
                    <w:t>废原料</w:t>
                  </w:r>
                </w:p>
              </w:tc>
              <w:tc>
                <w:tcPr>
                  <w:tcW w:w="500" w:type="pct"/>
                  <w:vMerge w:val="restart"/>
                  <w:shd w:val="clear" w:color="auto" w:fill="auto"/>
                  <w:vAlign w:val="center"/>
                </w:tcPr>
                <w:p w14:paraId="14546C2B">
                  <w:pPr>
                    <w:adjustRightInd w:val="0"/>
                    <w:snapToGrid w:val="0"/>
                    <w:jc w:val="center"/>
                    <w:rPr>
                      <w:color w:val="auto"/>
                      <w:szCs w:val="21"/>
                    </w:rPr>
                  </w:pPr>
                  <w:r>
                    <w:rPr>
                      <w:rFonts w:hint="eastAsia"/>
                      <w:color w:val="auto"/>
                      <w:szCs w:val="21"/>
                    </w:rPr>
                    <w:t>一般工业固废</w:t>
                  </w:r>
                </w:p>
              </w:tc>
              <w:tc>
                <w:tcPr>
                  <w:tcW w:w="467" w:type="pct"/>
                  <w:tcBorders>
                    <w:top w:val="single" w:color="auto" w:sz="4" w:space="0"/>
                    <w:bottom w:val="single" w:color="auto" w:sz="4" w:space="0"/>
                  </w:tcBorders>
                  <w:shd w:val="clear" w:color="auto" w:fill="auto"/>
                  <w:vAlign w:val="center"/>
                </w:tcPr>
                <w:p w14:paraId="18C6312D">
                  <w:pPr>
                    <w:overflowPunct w:val="0"/>
                    <w:adjustRightInd w:val="0"/>
                    <w:snapToGrid w:val="0"/>
                    <w:jc w:val="center"/>
                    <w:textAlignment w:val="baseline"/>
                    <w:rPr>
                      <w:color w:val="auto"/>
                      <w:szCs w:val="21"/>
                      <w:lang w:val="zh-CN"/>
                    </w:rPr>
                  </w:pPr>
                  <w:r>
                    <w:rPr>
                      <w:rFonts w:hint="eastAsia"/>
                      <w:color w:val="auto"/>
                      <w:szCs w:val="21"/>
                      <w:lang w:val="zh-CN"/>
                    </w:rPr>
                    <w:t>挑选、除杂</w:t>
                  </w:r>
                </w:p>
              </w:tc>
              <w:tc>
                <w:tcPr>
                  <w:tcW w:w="243" w:type="pct"/>
                  <w:tcBorders>
                    <w:top w:val="single" w:color="auto" w:sz="4" w:space="0"/>
                    <w:bottom w:val="single" w:color="auto" w:sz="4" w:space="0"/>
                  </w:tcBorders>
                  <w:shd w:val="clear" w:color="auto" w:fill="auto"/>
                  <w:vAlign w:val="center"/>
                </w:tcPr>
                <w:p w14:paraId="1611F18E">
                  <w:pPr>
                    <w:overflowPunct w:val="0"/>
                    <w:adjustRightInd w:val="0"/>
                    <w:snapToGrid w:val="0"/>
                    <w:jc w:val="center"/>
                    <w:textAlignment w:val="baseline"/>
                    <w:rPr>
                      <w:color w:val="auto"/>
                      <w:szCs w:val="21"/>
                      <w:lang w:val="zh-CN"/>
                    </w:rPr>
                  </w:pPr>
                  <w:r>
                    <w:rPr>
                      <w:color w:val="auto"/>
                      <w:szCs w:val="21"/>
                      <w:lang w:val="zh-CN"/>
                    </w:rPr>
                    <w:t>固</w:t>
                  </w:r>
                </w:p>
              </w:tc>
              <w:tc>
                <w:tcPr>
                  <w:tcW w:w="582" w:type="pct"/>
                  <w:tcBorders>
                    <w:top w:val="single" w:color="auto" w:sz="4" w:space="0"/>
                    <w:bottom w:val="single" w:color="auto" w:sz="4" w:space="0"/>
                  </w:tcBorders>
                  <w:shd w:val="clear" w:color="auto" w:fill="auto"/>
                  <w:vAlign w:val="center"/>
                </w:tcPr>
                <w:p w14:paraId="5062E2E2">
                  <w:pPr>
                    <w:overflowPunct w:val="0"/>
                    <w:adjustRightInd w:val="0"/>
                    <w:snapToGrid w:val="0"/>
                    <w:jc w:val="center"/>
                    <w:textAlignment w:val="baseline"/>
                    <w:rPr>
                      <w:color w:val="auto"/>
                      <w:szCs w:val="21"/>
                      <w:lang w:val="zh-CN"/>
                    </w:rPr>
                  </w:pPr>
                  <w:r>
                    <w:rPr>
                      <w:rFonts w:hint="eastAsia"/>
                      <w:color w:val="auto"/>
                      <w:szCs w:val="21"/>
                      <w:lang w:val="zh-CN"/>
                    </w:rPr>
                    <w:t>肉、鱿鱼</w:t>
                  </w:r>
                </w:p>
              </w:tc>
              <w:tc>
                <w:tcPr>
                  <w:tcW w:w="524" w:type="pct"/>
                  <w:vMerge w:val="restart"/>
                  <w:shd w:val="clear" w:color="auto" w:fill="auto"/>
                  <w:vAlign w:val="center"/>
                </w:tcPr>
                <w:p w14:paraId="39F9AADD">
                  <w:pPr>
                    <w:rPr>
                      <w:rFonts w:hint="eastAsia" w:eastAsia="宋体"/>
                      <w:color w:val="auto"/>
                      <w:lang w:val="en-US" w:eastAsia="zh-CN"/>
                    </w:rPr>
                  </w:pPr>
                  <w:r>
                    <w:rPr>
                      <w:rFonts w:hint="eastAsia"/>
                      <w:color w:val="auto"/>
                      <w:lang w:val="en-US" w:eastAsia="zh-CN"/>
                    </w:rPr>
                    <w:t>《固体废物分类与代码目录2024版》</w:t>
                  </w:r>
                </w:p>
              </w:tc>
              <w:tc>
                <w:tcPr>
                  <w:tcW w:w="315" w:type="pct"/>
                  <w:tcBorders>
                    <w:top w:val="single" w:color="auto" w:sz="4" w:space="0"/>
                    <w:bottom w:val="single" w:color="auto" w:sz="4" w:space="0"/>
                  </w:tcBorders>
                  <w:shd w:val="clear" w:color="auto" w:fill="auto"/>
                  <w:vAlign w:val="center"/>
                </w:tcPr>
                <w:p w14:paraId="74F58815">
                  <w:pPr>
                    <w:overflowPunct w:val="0"/>
                    <w:adjustRightInd w:val="0"/>
                    <w:snapToGrid w:val="0"/>
                    <w:jc w:val="center"/>
                    <w:textAlignment w:val="baseline"/>
                    <w:rPr>
                      <w:rFonts w:hint="default" w:eastAsia="宋体"/>
                      <w:color w:val="auto"/>
                      <w:szCs w:val="21"/>
                      <w:lang w:val="en-US" w:eastAsia="zh-CN"/>
                    </w:rPr>
                  </w:pPr>
                  <w:r>
                    <w:rPr>
                      <w:rFonts w:hint="eastAsia"/>
                      <w:color w:val="auto"/>
                      <w:szCs w:val="21"/>
                      <w:lang w:val="en-US" w:eastAsia="zh-CN"/>
                    </w:rPr>
                    <w:t>SW13</w:t>
                  </w:r>
                </w:p>
              </w:tc>
              <w:tc>
                <w:tcPr>
                  <w:tcW w:w="484" w:type="pct"/>
                  <w:tcBorders>
                    <w:top w:val="single" w:color="auto" w:sz="4" w:space="0"/>
                    <w:bottom w:val="single" w:color="auto" w:sz="4" w:space="0"/>
                  </w:tcBorders>
                  <w:shd w:val="clear" w:color="auto" w:fill="auto"/>
                  <w:vAlign w:val="center"/>
                </w:tcPr>
                <w:p w14:paraId="00C0685B">
                  <w:pPr>
                    <w:overflowPunct w:val="0"/>
                    <w:adjustRightInd w:val="0"/>
                    <w:snapToGrid w:val="0"/>
                    <w:jc w:val="center"/>
                    <w:textAlignment w:val="baseline"/>
                    <w:rPr>
                      <w:rFonts w:hint="default" w:eastAsia="宋体"/>
                      <w:color w:val="auto"/>
                      <w:szCs w:val="21"/>
                      <w:lang w:val="en-US" w:eastAsia="zh-CN"/>
                    </w:rPr>
                  </w:pPr>
                  <w:r>
                    <w:rPr>
                      <w:rFonts w:hint="eastAsia"/>
                      <w:color w:val="auto"/>
                      <w:szCs w:val="21"/>
                      <w:lang w:val="en-US" w:eastAsia="zh-CN"/>
                    </w:rPr>
                    <w:t>135-002-S13</w:t>
                  </w:r>
                </w:p>
              </w:tc>
              <w:tc>
                <w:tcPr>
                  <w:tcW w:w="276" w:type="pct"/>
                  <w:tcBorders>
                    <w:top w:val="single" w:color="auto" w:sz="4" w:space="0"/>
                    <w:bottom w:val="single" w:color="auto" w:sz="4" w:space="0"/>
                  </w:tcBorders>
                  <w:shd w:val="clear" w:color="auto" w:fill="auto"/>
                  <w:vAlign w:val="center"/>
                </w:tcPr>
                <w:p w14:paraId="3175AAB2">
                  <w:pPr>
                    <w:overflowPunct w:val="0"/>
                    <w:adjustRightInd w:val="0"/>
                    <w:snapToGrid w:val="0"/>
                    <w:jc w:val="center"/>
                    <w:textAlignment w:val="baseline"/>
                    <w:rPr>
                      <w:color w:val="auto"/>
                      <w:szCs w:val="21"/>
                    </w:rPr>
                  </w:pPr>
                  <w:r>
                    <w:rPr>
                      <w:color w:val="auto"/>
                      <w:szCs w:val="21"/>
                    </w:rPr>
                    <w:t>/</w:t>
                  </w:r>
                </w:p>
              </w:tc>
              <w:tc>
                <w:tcPr>
                  <w:tcW w:w="430" w:type="pct"/>
                  <w:tcBorders>
                    <w:top w:val="single" w:color="auto" w:sz="4" w:space="0"/>
                    <w:bottom w:val="single" w:color="auto" w:sz="4" w:space="0"/>
                  </w:tcBorders>
                  <w:shd w:val="clear" w:color="auto" w:fill="auto"/>
                  <w:vAlign w:val="center"/>
                </w:tcPr>
                <w:p w14:paraId="2E635ED0">
                  <w:pPr>
                    <w:adjustRightInd w:val="0"/>
                    <w:snapToGrid w:val="0"/>
                    <w:jc w:val="center"/>
                    <w:rPr>
                      <w:rFonts w:hint="default" w:eastAsia="宋体"/>
                      <w:color w:val="auto"/>
                      <w:szCs w:val="21"/>
                      <w:lang w:val="en-US" w:eastAsia="zh-CN"/>
                    </w:rPr>
                  </w:pPr>
                  <w:r>
                    <w:rPr>
                      <w:rFonts w:hint="eastAsia"/>
                      <w:color w:val="auto"/>
                      <w:szCs w:val="21"/>
                      <w:lang w:val="en-US" w:eastAsia="zh-CN"/>
                    </w:rPr>
                    <w:t>4.5</w:t>
                  </w:r>
                </w:p>
              </w:tc>
              <w:tc>
                <w:tcPr>
                  <w:tcW w:w="445" w:type="pct"/>
                  <w:shd w:val="clear" w:color="auto" w:fill="auto"/>
                  <w:vAlign w:val="center"/>
                </w:tcPr>
                <w:p w14:paraId="7DB5758D">
                  <w:pPr>
                    <w:adjustRightInd w:val="0"/>
                    <w:snapToGrid w:val="0"/>
                    <w:jc w:val="center"/>
                    <w:rPr>
                      <w:color w:val="auto"/>
                      <w:szCs w:val="21"/>
                    </w:rPr>
                  </w:pPr>
                  <w:r>
                    <w:rPr>
                      <w:rFonts w:hint="eastAsia"/>
                      <w:color w:val="auto"/>
                      <w:szCs w:val="21"/>
                    </w:rPr>
                    <w:t>环卫清运</w:t>
                  </w:r>
                </w:p>
              </w:tc>
            </w:tr>
            <w:tr w14:paraId="626109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8" w:type="pct"/>
                  <w:tcBorders>
                    <w:top w:val="single" w:color="auto" w:sz="4" w:space="0"/>
                    <w:bottom w:val="single" w:color="auto" w:sz="4" w:space="0"/>
                  </w:tcBorders>
                  <w:shd w:val="clear" w:color="auto" w:fill="auto"/>
                  <w:vAlign w:val="center"/>
                </w:tcPr>
                <w:p w14:paraId="53CD7FBA">
                  <w:pPr>
                    <w:adjustRightInd w:val="0"/>
                    <w:snapToGrid w:val="0"/>
                    <w:jc w:val="center"/>
                    <w:rPr>
                      <w:color w:val="auto"/>
                      <w:szCs w:val="21"/>
                    </w:rPr>
                  </w:pPr>
                  <w:r>
                    <w:rPr>
                      <w:rFonts w:hint="eastAsia"/>
                      <w:color w:val="auto"/>
                      <w:szCs w:val="21"/>
                    </w:rPr>
                    <w:t>2</w:t>
                  </w:r>
                </w:p>
              </w:tc>
              <w:tc>
                <w:tcPr>
                  <w:tcW w:w="500" w:type="pct"/>
                  <w:tcBorders>
                    <w:top w:val="single" w:color="auto" w:sz="4" w:space="0"/>
                    <w:bottom w:val="single" w:color="auto" w:sz="4" w:space="0"/>
                  </w:tcBorders>
                  <w:shd w:val="clear" w:color="auto" w:fill="auto"/>
                  <w:vAlign w:val="center"/>
                </w:tcPr>
                <w:p w14:paraId="08E089A0">
                  <w:pPr>
                    <w:overflowPunct w:val="0"/>
                    <w:adjustRightInd w:val="0"/>
                    <w:snapToGrid w:val="0"/>
                    <w:jc w:val="center"/>
                    <w:textAlignment w:val="baseline"/>
                    <w:rPr>
                      <w:color w:val="auto"/>
                      <w:szCs w:val="21"/>
                      <w:lang w:val="zh-CN"/>
                    </w:rPr>
                  </w:pPr>
                  <w:r>
                    <w:rPr>
                      <w:color w:val="auto"/>
                      <w:szCs w:val="21"/>
                    </w:rPr>
                    <w:t>废</w:t>
                  </w:r>
                  <w:r>
                    <w:rPr>
                      <w:rFonts w:hint="eastAsia"/>
                      <w:color w:val="auto"/>
                      <w:szCs w:val="21"/>
                    </w:rPr>
                    <w:t>包装材料</w:t>
                  </w:r>
                </w:p>
              </w:tc>
              <w:tc>
                <w:tcPr>
                  <w:tcW w:w="500" w:type="pct"/>
                  <w:vMerge w:val="continue"/>
                  <w:shd w:val="clear" w:color="auto" w:fill="auto"/>
                  <w:vAlign w:val="center"/>
                </w:tcPr>
                <w:p w14:paraId="50A3710C">
                  <w:pPr>
                    <w:adjustRightInd w:val="0"/>
                    <w:snapToGrid w:val="0"/>
                    <w:jc w:val="center"/>
                    <w:rPr>
                      <w:color w:val="auto"/>
                      <w:szCs w:val="21"/>
                    </w:rPr>
                  </w:pPr>
                </w:p>
              </w:tc>
              <w:tc>
                <w:tcPr>
                  <w:tcW w:w="467" w:type="pct"/>
                  <w:tcBorders>
                    <w:top w:val="single" w:color="auto" w:sz="4" w:space="0"/>
                    <w:bottom w:val="single" w:color="auto" w:sz="4" w:space="0"/>
                  </w:tcBorders>
                  <w:shd w:val="clear" w:color="auto" w:fill="auto"/>
                  <w:vAlign w:val="center"/>
                </w:tcPr>
                <w:p w14:paraId="489E3AEF">
                  <w:pPr>
                    <w:overflowPunct w:val="0"/>
                    <w:adjustRightInd w:val="0"/>
                    <w:snapToGrid w:val="0"/>
                    <w:jc w:val="center"/>
                    <w:textAlignment w:val="baseline"/>
                    <w:rPr>
                      <w:color w:val="auto"/>
                      <w:szCs w:val="21"/>
                      <w:lang w:val="zh-CN"/>
                    </w:rPr>
                  </w:pPr>
                  <w:r>
                    <w:rPr>
                      <w:rFonts w:hint="eastAsia"/>
                      <w:color w:val="auto"/>
                      <w:szCs w:val="21"/>
                    </w:rPr>
                    <w:t>原辅料包装</w:t>
                  </w:r>
                </w:p>
              </w:tc>
              <w:tc>
                <w:tcPr>
                  <w:tcW w:w="243" w:type="pct"/>
                  <w:tcBorders>
                    <w:top w:val="single" w:color="auto" w:sz="4" w:space="0"/>
                    <w:bottom w:val="single" w:color="auto" w:sz="4" w:space="0"/>
                  </w:tcBorders>
                  <w:shd w:val="clear" w:color="auto" w:fill="auto"/>
                  <w:vAlign w:val="center"/>
                </w:tcPr>
                <w:p w14:paraId="39FBBD80">
                  <w:pPr>
                    <w:overflowPunct w:val="0"/>
                    <w:adjustRightInd w:val="0"/>
                    <w:snapToGrid w:val="0"/>
                    <w:jc w:val="center"/>
                    <w:textAlignment w:val="baseline"/>
                    <w:rPr>
                      <w:color w:val="auto"/>
                      <w:szCs w:val="21"/>
                      <w:lang w:val="zh-CN"/>
                    </w:rPr>
                  </w:pPr>
                  <w:r>
                    <w:rPr>
                      <w:color w:val="auto"/>
                      <w:szCs w:val="21"/>
                      <w:lang w:val="zh-CN"/>
                    </w:rPr>
                    <w:t>固</w:t>
                  </w:r>
                </w:p>
              </w:tc>
              <w:tc>
                <w:tcPr>
                  <w:tcW w:w="582" w:type="pct"/>
                  <w:tcBorders>
                    <w:top w:val="single" w:color="auto" w:sz="4" w:space="0"/>
                    <w:bottom w:val="single" w:color="auto" w:sz="4" w:space="0"/>
                  </w:tcBorders>
                  <w:shd w:val="clear" w:color="auto" w:fill="auto"/>
                  <w:vAlign w:val="center"/>
                </w:tcPr>
                <w:p w14:paraId="1D14F282">
                  <w:pPr>
                    <w:overflowPunct w:val="0"/>
                    <w:adjustRightInd w:val="0"/>
                    <w:snapToGrid w:val="0"/>
                    <w:jc w:val="center"/>
                    <w:textAlignment w:val="baseline"/>
                    <w:rPr>
                      <w:color w:val="auto"/>
                      <w:szCs w:val="21"/>
                      <w:lang w:val="zh-CN"/>
                    </w:rPr>
                  </w:pPr>
                  <w:r>
                    <w:rPr>
                      <w:rFonts w:hint="eastAsia"/>
                      <w:color w:val="auto"/>
                      <w:szCs w:val="21"/>
                      <w:lang w:val="zh-CN"/>
                    </w:rPr>
                    <w:t>塑料、纸</w:t>
                  </w:r>
                </w:p>
              </w:tc>
              <w:tc>
                <w:tcPr>
                  <w:tcW w:w="524" w:type="pct"/>
                  <w:vMerge w:val="continue"/>
                  <w:shd w:val="clear" w:color="auto" w:fill="auto"/>
                  <w:vAlign w:val="center"/>
                </w:tcPr>
                <w:p w14:paraId="6C169D74">
                  <w:pPr>
                    <w:adjustRightInd w:val="0"/>
                    <w:snapToGrid w:val="0"/>
                    <w:jc w:val="center"/>
                    <w:rPr>
                      <w:color w:val="auto"/>
                      <w:szCs w:val="21"/>
                    </w:rPr>
                  </w:pPr>
                </w:p>
              </w:tc>
              <w:tc>
                <w:tcPr>
                  <w:tcW w:w="315" w:type="pct"/>
                  <w:tcBorders>
                    <w:top w:val="single" w:color="auto" w:sz="4" w:space="0"/>
                    <w:bottom w:val="single" w:color="auto" w:sz="4" w:space="0"/>
                  </w:tcBorders>
                  <w:shd w:val="clear" w:color="auto" w:fill="auto"/>
                  <w:vAlign w:val="center"/>
                </w:tcPr>
                <w:p w14:paraId="69438BB7">
                  <w:pPr>
                    <w:overflowPunct w:val="0"/>
                    <w:adjustRightInd w:val="0"/>
                    <w:snapToGrid w:val="0"/>
                    <w:jc w:val="center"/>
                    <w:textAlignment w:val="baseline"/>
                    <w:rPr>
                      <w:rFonts w:hint="default" w:eastAsia="宋体"/>
                      <w:color w:val="auto"/>
                      <w:szCs w:val="21"/>
                      <w:lang w:val="en-US" w:eastAsia="zh-CN"/>
                    </w:rPr>
                  </w:pPr>
                  <w:r>
                    <w:rPr>
                      <w:rFonts w:hint="eastAsia"/>
                      <w:color w:val="auto"/>
                      <w:szCs w:val="21"/>
                      <w:lang w:val="en-US" w:eastAsia="zh-CN"/>
                    </w:rPr>
                    <w:t>SW59</w:t>
                  </w:r>
                </w:p>
              </w:tc>
              <w:tc>
                <w:tcPr>
                  <w:tcW w:w="484" w:type="pct"/>
                  <w:tcBorders>
                    <w:top w:val="single" w:color="auto" w:sz="4" w:space="0"/>
                    <w:bottom w:val="single" w:color="auto" w:sz="4" w:space="0"/>
                  </w:tcBorders>
                  <w:shd w:val="clear" w:color="auto" w:fill="auto"/>
                  <w:vAlign w:val="center"/>
                </w:tcPr>
                <w:p w14:paraId="7DED944A">
                  <w:pPr>
                    <w:overflowPunct w:val="0"/>
                    <w:adjustRightInd w:val="0"/>
                    <w:snapToGrid w:val="0"/>
                    <w:jc w:val="center"/>
                    <w:textAlignment w:val="baseline"/>
                    <w:rPr>
                      <w:rFonts w:hint="default" w:eastAsia="宋体"/>
                      <w:color w:val="auto"/>
                      <w:szCs w:val="21"/>
                      <w:lang w:val="en-US" w:eastAsia="zh-CN"/>
                    </w:rPr>
                  </w:pPr>
                  <w:r>
                    <w:rPr>
                      <w:rFonts w:hint="eastAsia"/>
                      <w:color w:val="auto"/>
                      <w:szCs w:val="21"/>
                      <w:lang w:val="en-US" w:eastAsia="zh-CN"/>
                    </w:rPr>
                    <w:t>900-099-S59</w:t>
                  </w:r>
                </w:p>
              </w:tc>
              <w:tc>
                <w:tcPr>
                  <w:tcW w:w="276" w:type="pct"/>
                  <w:tcBorders>
                    <w:top w:val="single" w:color="auto" w:sz="4" w:space="0"/>
                    <w:bottom w:val="single" w:color="auto" w:sz="4" w:space="0"/>
                  </w:tcBorders>
                  <w:shd w:val="clear" w:color="auto" w:fill="auto"/>
                  <w:vAlign w:val="center"/>
                </w:tcPr>
                <w:p w14:paraId="58449203">
                  <w:pPr>
                    <w:overflowPunct w:val="0"/>
                    <w:adjustRightInd w:val="0"/>
                    <w:snapToGrid w:val="0"/>
                    <w:jc w:val="center"/>
                    <w:textAlignment w:val="baseline"/>
                    <w:rPr>
                      <w:color w:val="auto"/>
                      <w:szCs w:val="21"/>
                    </w:rPr>
                  </w:pPr>
                  <w:r>
                    <w:rPr>
                      <w:color w:val="auto"/>
                      <w:szCs w:val="21"/>
                    </w:rPr>
                    <w:t>/</w:t>
                  </w:r>
                </w:p>
              </w:tc>
              <w:tc>
                <w:tcPr>
                  <w:tcW w:w="430" w:type="pct"/>
                  <w:tcBorders>
                    <w:top w:val="single" w:color="auto" w:sz="4" w:space="0"/>
                    <w:bottom w:val="single" w:color="auto" w:sz="4" w:space="0"/>
                  </w:tcBorders>
                  <w:shd w:val="clear" w:color="auto" w:fill="auto"/>
                  <w:vAlign w:val="center"/>
                </w:tcPr>
                <w:p w14:paraId="041AF975">
                  <w:pPr>
                    <w:adjustRightInd w:val="0"/>
                    <w:snapToGrid w:val="0"/>
                    <w:jc w:val="center"/>
                    <w:rPr>
                      <w:color w:val="auto"/>
                      <w:szCs w:val="21"/>
                    </w:rPr>
                  </w:pPr>
                  <w:r>
                    <w:rPr>
                      <w:rFonts w:hint="eastAsia"/>
                      <w:color w:val="auto"/>
                      <w:szCs w:val="21"/>
                    </w:rPr>
                    <w:t>5</w:t>
                  </w:r>
                </w:p>
              </w:tc>
              <w:tc>
                <w:tcPr>
                  <w:tcW w:w="445" w:type="pct"/>
                  <w:shd w:val="clear" w:color="auto" w:fill="auto"/>
                  <w:vAlign w:val="center"/>
                </w:tcPr>
                <w:p w14:paraId="21D729FC">
                  <w:pPr>
                    <w:adjustRightInd w:val="0"/>
                    <w:snapToGrid w:val="0"/>
                    <w:jc w:val="center"/>
                    <w:rPr>
                      <w:color w:val="auto"/>
                      <w:szCs w:val="21"/>
                    </w:rPr>
                  </w:pPr>
                  <w:r>
                    <w:rPr>
                      <w:rFonts w:hint="eastAsia"/>
                      <w:color w:val="auto"/>
                      <w:szCs w:val="21"/>
                    </w:rPr>
                    <w:t>外售</w:t>
                  </w:r>
                </w:p>
              </w:tc>
            </w:tr>
            <w:tr w14:paraId="1DA928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8" w:type="pct"/>
                  <w:shd w:val="clear" w:color="auto" w:fill="auto"/>
                  <w:vAlign w:val="center"/>
                </w:tcPr>
                <w:p w14:paraId="3544883B">
                  <w:pPr>
                    <w:adjustRightInd w:val="0"/>
                    <w:snapToGrid w:val="0"/>
                    <w:jc w:val="center"/>
                    <w:rPr>
                      <w:rFonts w:hint="eastAsia" w:eastAsia="宋体"/>
                      <w:color w:val="auto"/>
                      <w:szCs w:val="21"/>
                      <w:lang w:eastAsia="zh-CN"/>
                    </w:rPr>
                  </w:pPr>
                  <w:r>
                    <w:rPr>
                      <w:rFonts w:hint="eastAsia"/>
                      <w:color w:val="auto"/>
                      <w:szCs w:val="21"/>
                      <w:lang w:val="en-US" w:eastAsia="zh-CN"/>
                    </w:rPr>
                    <w:t>3</w:t>
                  </w:r>
                </w:p>
              </w:tc>
              <w:tc>
                <w:tcPr>
                  <w:tcW w:w="500" w:type="pct"/>
                  <w:shd w:val="clear" w:color="auto" w:fill="auto"/>
                  <w:vAlign w:val="center"/>
                </w:tcPr>
                <w:p w14:paraId="35430FDC">
                  <w:pPr>
                    <w:overflowPunct w:val="0"/>
                    <w:adjustRightInd w:val="0"/>
                    <w:snapToGrid w:val="0"/>
                    <w:jc w:val="center"/>
                    <w:textAlignment w:val="baseline"/>
                    <w:rPr>
                      <w:color w:val="auto"/>
                      <w:szCs w:val="21"/>
                      <w:lang w:val="zh-CN"/>
                    </w:rPr>
                  </w:pPr>
                  <w:r>
                    <w:rPr>
                      <w:color w:val="auto"/>
                      <w:szCs w:val="21"/>
                      <w:lang w:val="zh-CN"/>
                    </w:rPr>
                    <w:t>职工生活垃圾</w:t>
                  </w:r>
                </w:p>
              </w:tc>
              <w:tc>
                <w:tcPr>
                  <w:tcW w:w="500" w:type="pct"/>
                  <w:shd w:val="clear" w:color="auto" w:fill="auto"/>
                  <w:vAlign w:val="center"/>
                </w:tcPr>
                <w:p w14:paraId="4A4396CA">
                  <w:pPr>
                    <w:adjustRightInd w:val="0"/>
                    <w:snapToGrid w:val="0"/>
                    <w:jc w:val="center"/>
                    <w:rPr>
                      <w:color w:val="auto"/>
                      <w:szCs w:val="21"/>
                    </w:rPr>
                  </w:pPr>
                  <w:r>
                    <w:rPr>
                      <w:color w:val="auto"/>
                      <w:szCs w:val="21"/>
                    </w:rPr>
                    <w:t>生活垃圾</w:t>
                  </w:r>
                </w:p>
              </w:tc>
              <w:tc>
                <w:tcPr>
                  <w:tcW w:w="467" w:type="pct"/>
                  <w:shd w:val="clear" w:color="auto" w:fill="auto"/>
                  <w:vAlign w:val="center"/>
                </w:tcPr>
                <w:p w14:paraId="5E5607F3">
                  <w:pPr>
                    <w:overflowPunct w:val="0"/>
                    <w:adjustRightInd w:val="0"/>
                    <w:snapToGrid w:val="0"/>
                    <w:jc w:val="center"/>
                    <w:textAlignment w:val="baseline"/>
                    <w:rPr>
                      <w:color w:val="auto"/>
                      <w:szCs w:val="21"/>
                      <w:lang w:val="zh-CN"/>
                    </w:rPr>
                  </w:pPr>
                  <w:r>
                    <w:rPr>
                      <w:color w:val="auto"/>
                      <w:szCs w:val="21"/>
                      <w:lang w:val="zh-CN"/>
                    </w:rPr>
                    <w:t>生活办公</w:t>
                  </w:r>
                </w:p>
              </w:tc>
              <w:tc>
                <w:tcPr>
                  <w:tcW w:w="243" w:type="pct"/>
                  <w:shd w:val="clear" w:color="auto" w:fill="auto"/>
                  <w:vAlign w:val="center"/>
                </w:tcPr>
                <w:p w14:paraId="22B93473">
                  <w:pPr>
                    <w:overflowPunct w:val="0"/>
                    <w:adjustRightInd w:val="0"/>
                    <w:snapToGrid w:val="0"/>
                    <w:jc w:val="center"/>
                    <w:textAlignment w:val="baseline"/>
                    <w:rPr>
                      <w:color w:val="auto"/>
                      <w:szCs w:val="21"/>
                      <w:lang w:val="zh-CN"/>
                    </w:rPr>
                  </w:pPr>
                  <w:r>
                    <w:rPr>
                      <w:color w:val="auto"/>
                      <w:szCs w:val="21"/>
                      <w:lang w:val="zh-CN"/>
                    </w:rPr>
                    <w:t>固</w:t>
                  </w:r>
                </w:p>
              </w:tc>
              <w:tc>
                <w:tcPr>
                  <w:tcW w:w="582" w:type="pct"/>
                  <w:shd w:val="clear" w:color="auto" w:fill="auto"/>
                  <w:vAlign w:val="center"/>
                </w:tcPr>
                <w:p w14:paraId="608F7497">
                  <w:pPr>
                    <w:overflowPunct w:val="0"/>
                    <w:adjustRightInd w:val="0"/>
                    <w:snapToGrid w:val="0"/>
                    <w:jc w:val="center"/>
                    <w:textAlignment w:val="baseline"/>
                    <w:rPr>
                      <w:color w:val="auto"/>
                      <w:szCs w:val="21"/>
                      <w:lang w:val="zh-CN"/>
                    </w:rPr>
                  </w:pPr>
                  <w:r>
                    <w:rPr>
                      <w:color w:val="auto"/>
                      <w:szCs w:val="21"/>
                      <w:lang w:val="zh-CN"/>
                    </w:rPr>
                    <w:t>果皮、纸壳</w:t>
                  </w:r>
                </w:p>
              </w:tc>
              <w:tc>
                <w:tcPr>
                  <w:tcW w:w="524" w:type="pct"/>
                  <w:vMerge w:val="continue"/>
                  <w:shd w:val="clear" w:color="auto" w:fill="auto"/>
                  <w:vAlign w:val="center"/>
                </w:tcPr>
                <w:p w14:paraId="7FF96E50">
                  <w:pPr>
                    <w:adjustRightInd w:val="0"/>
                    <w:snapToGrid w:val="0"/>
                    <w:jc w:val="center"/>
                    <w:rPr>
                      <w:color w:val="auto"/>
                      <w:szCs w:val="21"/>
                    </w:rPr>
                  </w:pPr>
                </w:p>
              </w:tc>
              <w:tc>
                <w:tcPr>
                  <w:tcW w:w="315" w:type="pct"/>
                  <w:shd w:val="clear" w:color="auto" w:fill="auto"/>
                  <w:vAlign w:val="center"/>
                </w:tcPr>
                <w:p w14:paraId="2FA94131">
                  <w:pPr>
                    <w:overflowPunct w:val="0"/>
                    <w:adjustRightInd w:val="0"/>
                    <w:snapToGrid w:val="0"/>
                    <w:jc w:val="center"/>
                    <w:textAlignment w:val="baseline"/>
                    <w:rPr>
                      <w:rFonts w:hint="default" w:eastAsia="宋体"/>
                      <w:color w:val="auto"/>
                      <w:szCs w:val="21"/>
                      <w:lang w:val="en-US" w:eastAsia="zh-CN"/>
                    </w:rPr>
                  </w:pPr>
                  <w:r>
                    <w:rPr>
                      <w:rFonts w:hint="eastAsia"/>
                      <w:color w:val="auto"/>
                      <w:szCs w:val="21"/>
                      <w:lang w:val="en-US" w:eastAsia="zh-CN"/>
                    </w:rPr>
                    <w:t>S61</w:t>
                  </w:r>
                </w:p>
              </w:tc>
              <w:tc>
                <w:tcPr>
                  <w:tcW w:w="484" w:type="pct"/>
                  <w:shd w:val="clear" w:color="auto" w:fill="auto"/>
                  <w:vAlign w:val="center"/>
                </w:tcPr>
                <w:p w14:paraId="189A3F0F">
                  <w:pPr>
                    <w:overflowPunct w:val="0"/>
                    <w:adjustRightInd w:val="0"/>
                    <w:snapToGrid w:val="0"/>
                    <w:jc w:val="center"/>
                    <w:textAlignment w:val="baseline"/>
                    <w:rPr>
                      <w:rFonts w:hint="default" w:eastAsia="宋体"/>
                      <w:color w:val="auto"/>
                      <w:szCs w:val="21"/>
                      <w:lang w:val="en-US" w:eastAsia="zh-CN"/>
                    </w:rPr>
                  </w:pPr>
                  <w:r>
                    <w:rPr>
                      <w:rFonts w:hint="eastAsia"/>
                      <w:color w:val="auto"/>
                      <w:szCs w:val="21"/>
                      <w:lang w:val="en-US" w:eastAsia="zh-CN"/>
                    </w:rPr>
                    <w:t>900-003-S61</w:t>
                  </w:r>
                </w:p>
              </w:tc>
              <w:tc>
                <w:tcPr>
                  <w:tcW w:w="276" w:type="pct"/>
                  <w:shd w:val="clear" w:color="auto" w:fill="auto"/>
                  <w:vAlign w:val="center"/>
                </w:tcPr>
                <w:p w14:paraId="7E2E90B2">
                  <w:pPr>
                    <w:overflowPunct w:val="0"/>
                    <w:adjustRightInd w:val="0"/>
                    <w:snapToGrid w:val="0"/>
                    <w:jc w:val="center"/>
                    <w:textAlignment w:val="baseline"/>
                    <w:rPr>
                      <w:color w:val="auto"/>
                      <w:szCs w:val="21"/>
                    </w:rPr>
                  </w:pPr>
                  <w:r>
                    <w:rPr>
                      <w:color w:val="auto"/>
                      <w:szCs w:val="21"/>
                    </w:rPr>
                    <w:t>/</w:t>
                  </w:r>
                </w:p>
              </w:tc>
              <w:tc>
                <w:tcPr>
                  <w:tcW w:w="430" w:type="pct"/>
                  <w:shd w:val="clear" w:color="auto" w:fill="auto"/>
                  <w:vAlign w:val="center"/>
                </w:tcPr>
                <w:p w14:paraId="26D3E9CF">
                  <w:pPr>
                    <w:adjustRightInd w:val="0"/>
                    <w:snapToGrid w:val="0"/>
                    <w:jc w:val="center"/>
                    <w:rPr>
                      <w:rFonts w:hint="eastAsia" w:eastAsia="宋体"/>
                      <w:color w:val="auto"/>
                      <w:szCs w:val="21"/>
                      <w:lang w:eastAsia="zh-CN"/>
                    </w:rPr>
                  </w:pPr>
                  <w:r>
                    <w:rPr>
                      <w:color w:val="auto"/>
                      <w:szCs w:val="21"/>
                    </w:rPr>
                    <w:t>1</w:t>
                  </w:r>
                  <w:r>
                    <w:rPr>
                      <w:rFonts w:hint="eastAsia"/>
                      <w:color w:val="auto"/>
                      <w:szCs w:val="21"/>
                      <w:lang w:val="en-US" w:eastAsia="zh-CN"/>
                    </w:rPr>
                    <w:t>8</w:t>
                  </w:r>
                </w:p>
              </w:tc>
              <w:tc>
                <w:tcPr>
                  <w:tcW w:w="445" w:type="pct"/>
                  <w:shd w:val="clear" w:color="auto" w:fill="auto"/>
                  <w:vAlign w:val="center"/>
                </w:tcPr>
                <w:p w14:paraId="2EBA0603">
                  <w:pPr>
                    <w:adjustRightInd w:val="0"/>
                    <w:snapToGrid w:val="0"/>
                    <w:jc w:val="center"/>
                    <w:rPr>
                      <w:color w:val="auto"/>
                      <w:szCs w:val="21"/>
                      <w:lang w:val="zh-CN"/>
                    </w:rPr>
                  </w:pPr>
                  <w:r>
                    <w:rPr>
                      <w:color w:val="auto"/>
                      <w:szCs w:val="21"/>
                    </w:rPr>
                    <w:t>环卫清运</w:t>
                  </w:r>
                </w:p>
              </w:tc>
            </w:tr>
          </w:tbl>
          <w:p w14:paraId="5F5E9423">
            <w:pPr>
              <w:adjustRightInd w:val="0"/>
              <w:snapToGrid w:val="0"/>
              <w:spacing w:before="120" w:beforeLines="50"/>
              <w:jc w:val="center"/>
              <w:rPr>
                <w:b/>
                <w:color w:val="auto"/>
                <w:kern w:val="0"/>
                <w:sz w:val="24"/>
              </w:rPr>
            </w:pPr>
            <w:r>
              <w:rPr>
                <w:b/>
                <w:color w:val="auto"/>
                <w:kern w:val="0"/>
                <w:sz w:val="24"/>
              </w:rPr>
              <w:t>表4-</w:t>
            </w:r>
            <w:r>
              <w:rPr>
                <w:rFonts w:hint="eastAsia"/>
                <w:b/>
                <w:color w:val="auto"/>
                <w:kern w:val="0"/>
                <w:sz w:val="24"/>
                <w:lang w:val="en-US" w:eastAsia="zh-CN"/>
              </w:rPr>
              <w:t>21</w:t>
            </w:r>
            <w:r>
              <w:rPr>
                <w:b/>
                <w:color w:val="auto"/>
                <w:kern w:val="0"/>
                <w:sz w:val="24"/>
              </w:rPr>
              <w:t xml:space="preserve"> 本项目</w:t>
            </w:r>
            <w:r>
              <w:rPr>
                <w:b/>
                <w:bCs/>
                <w:color w:val="auto"/>
                <w:kern w:val="0"/>
                <w:sz w:val="24"/>
              </w:rPr>
              <w:t>固体废物</w:t>
            </w:r>
            <w:r>
              <w:rPr>
                <w:b/>
                <w:color w:val="auto"/>
                <w:kern w:val="0"/>
                <w:sz w:val="24"/>
              </w:rPr>
              <w:t>属性鉴别一览表</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83"/>
              <w:gridCol w:w="2088"/>
              <w:gridCol w:w="1477"/>
              <w:gridCol w:w="615"/>
              <w:gridCol w:w="1974"/>
              <w:gridCol w:w="1231"/>
              <w:gridCol w:w="985"/>
              <w:gridCol w:w="739"/>
              <w:gridCol w:w="1605"/>
              <w:gridCol w:w="1002"/>
            </w:tblGrid>
            <w:tr w14:paraId="201A7E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 w:type="pct"/>
                  <w:vMerge w:val="restart"/>
                  <w:tcBorders>
                    <w:top w:val="single" w:color="auto" w:sz="12" w:space="0"/>
                    <w:bottom w:val="single" w:color="auto" w:sz="4" w:space="0"/>
                  </w:tcBorders>
                  <w:shd w:val="clear" w:color="auto" w:fill="auto"/>
                  <w:vAlign w:val="center"/>
                </w:tcPr>
                <w:p w14:paraId="373F9CAA">
                  <w:pPr>
                    <w:adjustRightInd w:val="0"/>
                    <w:snapToGrid w:val="0"/>
                    <w:jc w:val="center"/>
                    <w:rPr>
                      <w:b/>
                      <w:color w:val="auto"/>
                      <w:szCs w:val="21"/>
                    </w:rPr>
                  </w:pPr>
                  <w:r>
                    <w:rPr>
                      <w:b/>
                      <w:color w:val="auto"/>
                      <w:szCs w:val="21"/>
                    </w:rPr>
                    <w:t>序号</w:t>
                  </w:r>
                </w:p>
              </w:tc>
              <w:tc>
                <w:tcPr>
                  <w:tcW w:w="848" w:type="pct"/>
                  <w:vMerge w:val="restart"/>
                  <w:tcBorders>
                    <w:top w:val="single" w:color="auto" w:sz="12" w:space="0"/>
                    <w:bottom w:val="single" w:color="auto" w:sz="4" w:space="0"/>
                  </w:tcBorders>
                  <w:shd w:val="clear" w:color="auto" w:fill="auto"/>
                  <w:vAlign w:val="center"/>
                </w:tcPr>
                <w:p w14:paraId="2889EE15">
                  <w:pPr>
                    <w:adjustRightInd w:val="0"/>
                    <w:snapToGrid w:val="0"/>
                    <w:jc w:val="center"/>
                    <w:rPr>
                      <w:b/>
                      <w:color w:val="auto"/>
                      <w:szCs w:val="21"/>
                    </w:rPr>
                  </w:pPr>
                  <w:r>
                    <w:rPr>
                      <w:b/>
                      <w:color w:val="auto"/>
                      <w:szCs w:val="21"/>
                    </w:rPr>
                    <w:t>副产品名称</w:t>
                  </w:r>
                </w:p>
              </w:tc>
              <w:tc>
                <w:tcPr>
                  <w:tcW w:w="600" w:type="pct"/>
                  <w:vMerge w:val="restart"/>
                  <w:tcBorders>
                    <w:top w:val="single" w:color="auto" w:sz="12" w:space="0"/>
                    <w:bottom w:val="single" w:color="auto" w:sz="4" w:space="0"/>
                  </w:tcBorders>
                  <w:shd w:val="clear" w:color="auto" w:fill="auto"/>
                  <w:vAlign w:val="center"/>
                </w:tcPr>
                <w:p w14:paraId="4EDCF830">
                  <w:pPr>
                    <w:adjustRightInd w:val="0"/>
                    <w:snapToGrid w:val="0"/>
                    <w:jc w:val="center"/>
                    <w:rPr>
                      <w:b/>
                      <w:color w:val="auto"/>
                      <w:szCs w:val="21"/>
                    </w:rPr>
                  </w:pPr>
                  <w:r>
                    <w:rPr>
                      <w:b/>
                      <w:color w:val="auto"/>
                      <w:szCs w:val="21"/>
                    </w:rPr>
                    <w:t>产生工序</w:t>
                  </w:r>
                </w:p>
              </w:tc>
              <w:tc>
                <w:tcPr>
                  <w:tcW w:w="250" w:type="pct"/>
                  <w:vMerge w:val="restart"/>
                  <w:tcBorders>
                    <w:top w:val="single" w:color="auto" w:sz="12" w:space="0"/>
                    <w:bottom w:val="single" w:color="auto" w:sz="4" w:space="0"/>
                  </w:tcBorders>
                  <w:shd w:val="clear" w:color="auto" w:fill="auto"/>
                  <w:vAlign w:val="center"/>
                </w:tcPr>
                <w:p w14:paraId="1FACED2F">
                  <w:pPr>
                    <w:adjustRightInd w:val="0"/>
                    <w:snapToGrid w:val="0"/>
                    <w:jc w:val="center"/>
                    <w:rPr>
                      <w:b/>
                      <w:color w:val="auto"/>
                      <w:szCs w:val="21"/>
                    </w:rPr>
                  </w:pPr>
                  <w:r>
                    <w:rPr>
                      <w:b/>
                      <w:color w:val="auto"/>
                      <w:szCs w:val="21"/>
                    </w:rPr>
                    <w:t>形态</w:t>
                  </w:r>
                </w:p>
              </w:tc>
              <w:tc>
                <w:tcPr>
                  <w:tcW w:w="802" w:type="pct"/>
                  <w:vMerge w:val="restart"/>
                  <w:tcBorders>
                    <w:top w:val="single" w:color="auto" w:sz="12" w:space="0"/>
                    <w:bottom w:val="single" w:color="auto" w:sz="4" w:space="0"/>
                  </w:tcBorders>
                  <w:shd w:val="clear" w:color="auto" w:fill="auto"/>
                  <w:vAlign w:val="center"/>
                </w:tcPr>
                <w:p w14:paraId="7B7925D0">
                  <w:pPr>
                    <w:adjustRightInd w:val="0"/>
                    <w:snapToGrid w:val="0"/>
                    <w:jc w:val="center"/>
                    <w:rPr>
                      <w:b/>
                      <w:color w:val="auto"/>
                      <w:szCs w:val="21"/>
                    </w:rPr>
                  </w:pPr>
                  <w:r>
                    <w:rPr>
                      <w:b/>
                      <w:color w:val="auto"/>
                      <w:szCs w:val="21"/>
                    </w:rPr>
                    <w:t>主要成分</w:t>
                  </w:r>
                </w:p>
              </w:tc>
              <w:tc>
                <w:tcPr>
                  <w:tcW w:w="500" w:type="pct"/>
                  <w:vMerge w:val="restart"/>
                  <w:tcBorders>
                    <w:top w:val="single" w:color="auto" w:sz="12" w:space="0"/>
                    <w:bottom w:val="single" w:color="auto" w:sz="4" w:space="0"/>
                  </w:tcBorders>
                  <w:shd w:val="clear" w:color="auto" w:fill="auto"/>
                  <w:vAlign w:val="center"/>
                </w:tcPr>
                <w:p w14:paraId="110CE1DC">
                  <w:pPr>
                    <w:adjustRightInd w:val="0"/>
                    <w:snapToGrid w:val="0"/>
                    <w:jc w:val="center"/>
                    <w:rPr>
                      <w:b/>
                      <w:color w:val="auto"/>
                      <w:szCs w:val="21"/>
                    </w:rPr>
                  </w:pPr>
                  <w:r>
                    <w:rPr>
                      <w:b/>
                      <w:color w:val="auto"/>
                      <w:szCs w:val="21"/>
                    </w:rPr>
                    <w:t>预测产生量（t/a）</w:t>
                  </w:r>
                </w:p>
              </w:tc>
              <w:tc>
                <w:tcPr>
                  <w:tcW w:w="1759" w:type="pct"/>
                  <w:gridSpan w:val="4"/>
                  <w:tcBorders>
                    <w:top w:val="single" w:color="auto" w:sz="12" w:space="0"/>
                    <w:bottom w:val="single" w:color="auto" w:sz="4" w:space="0"/>
                  </w:tcBorders>
                  <w:shd w:val="clear" w:color="auto" w:fill="auto"/>
                  <w:vAlign w:val="center"/>
                </w:tcPr>
                <w:p w14:paraId="3A2A9D80">
                  <w:pPr>
                    <w:adjustRightInd w:val="0"/>
                    <w:snapToGrid w:val="0"/>
                    <w:jc w:val="center"/>
                    <w:rPr>
                      <w:b/>
                      <w:color w:val="auto"/>
                      <w:szCs w:val="21"/>
                    </w:rPr>
                  </w:pPr>
                  <w:r>
                    <w:rPr>
                      <w:b/>
                      <w:color w:val="auto"/>
                      <w:szCs w:val="21"/>
                    </w:rPr>
                    <w:t>种类判断*</w:t>
                  </w:r>
                </w:p>
              </w:tc>
            </w:tr>
            <w:tr w14:paraId="03437E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 w:type="pct"/>
                  <w:vMerge w:val="continue"/>
                  <w:tcBorders>
                    <w:top w:val="single" w:color="auto" w:sz="4" w:space="0"/>
                    <w:bottom w:val="single" w:color="auto" w:sz="12" w:space="0"/>
                  </w:tcBorders>
                  <w:shd w:val="clear" w:color="auto" w:fill="auto"/>
                  <w:vAlign w:val="center"/>
                </w:tcPr>
                <w:p w14:paraId="49A12ECF">
                  <w:pPr>
                    <w:adjustRightInd w:val="0"/>
                    <w:snapToGrid w:val="0"/>
                    <w:jc w:val="center"/>
                    <w:rPr>
                      <w:color w:val="auto"/>
                      <w:szCs w:val="21"/>
                    </w:rPr>
                  </w:pPr>
                </w:p>
              </w:tc>
              <w:tc>
                <w:tcPr>
                  <w:tcW w:w="848" w:type="pct"/>
                  <w:vMerge w:val="continue"/>
                  <w:tcBorders>
                    <w:top w:val="single" w:color="auto" w:sz="4" w:space="0"/>
                    <w:bottom w:val="single" w:color="auto" w:sz="12" w:space="0"/>
                  </w:tcBorders>
                  <w:shd w:val="clear" w:color="auto" w:fill="auto"/>
                  <w:vAlign w:val="center"/>
                </w:tcPr>
                <w:p w14:paraId="5392C8F3">
                  <w:pPr>
                    <w:adjustRightInd w:val="0"/>
                    <w:snapToGrid w:val="0"/>
                    <w:jc w:val="center"/>
                    <w:rPr>
                      <w:color w:val="auto"/>
                      <w:szCs w:val="21"/>
                    </w:rPr>
                  </w:pPr>
                </w:p>
              </w:tc>
              <w:tc>
                <w:tcPr>
                  <w:tcW w:w="600" w:type="pct"/>
                  <w:vMerge w:val="continue"/>
                  <w:tcBorders>
                    <w:top w:val="single" w:color="auto" w:sz="4" w:space="0"/>
                    <w:bottom w:val="single" w:color="auto" w:sz="12" w:space="0"/>
                  </w:tcBorders>
                  <w:shd w:val="clear" w:color="auto" w:fill="auto"/>
                  <w:vAlign w:val="center"/>
                </w:tcPr>
                <w:p w14:paraId="00B9D773">
                  <w:pPr>
                    <w:adjustRightInd w:val="0"/>
                    <w:snapToGrid w:val="0"/>
                    <w:jc w:val="center"/>
                    <w:rPr>
                      <w:color w:val="auto"/>
                      <w:szCs w:val="21"/>
                    </w:rPr>
                  </w:pPr>
                </w:p>
              </w:tc>
              <w:tc>
                <w:tcPr>
                  <w:tcW w:w="250" w:type="pct"/>
                  <w:vMerge w:val="continue"/>
                  <w:tcBorders>
                    <w:top w:val="single" w:color="auto" w:sz="4" w:space="0"/>
                    <w:bottom w:val="single" w:color="auto" w:sz="12" w:space="0"/>
                  </w:tcBorders>
                  <w:shd w:val="clear" w:color="auto" w:fill="auto"/>
                  <w:vAlign w:val="center"/>
                </w:tcPr>
                <w:p w14:paraId="21E9B346">
                  <w:pPr>
                    <w:adjustRightInd w:val="0"/>
                    <w:snapToGrid w:val="0"/>
                    <w:jc w:val="center"/>
                    <w:rPr>
                      <w:color w:val="auto"/>
                      <w:szCs w:val="21"/>
                    </w:rPr>
                  </w:pPr>
                </w:p>
              </w:tc>
              <w:tc>
                <w:tcPr>
                  <w:tcW w:w="802" w:type="pct"/>
                  <w:vMerge w:val="continue"/>
                  <w:tcBorders>
                    <w:top w:val="single" w:color="auto" w:sz="4" w:space="0"/>
                    <w:bottom w:val="single" w:color="auto" w:sz="12" w:space="0"/>
                  </w:tcBorders>
                  <w:shd w:val="clear" w:color="auto" w:fill="auto"/>
                  <w:vAlign w:val="center"/>
                </w:tcPr>
                <w:p w14:paraId="7CA572C9">
                  <w:pPr>
                    <w:adjustRightInd w:val="0"/>
                    <w:snapToGrid w:val="0"/>
                    <w:jc w:val="center"/>
                    <w:rPr>
                      <w:color w:val="auto"/>
                      <w:szCs w:val="21"/>
                    </w:rPr>
                  </w:pPr>
                </w:p>
              </w:tc>
              <w:tc>
                <w:tcPr>
                  <w:tcW w:w="500" w:type="pct"/>
                  <w:vMerge w:val="continue"/>
                  <w:tcBorders>
                    <w:top w:val="single" w:color="auto" w:sz="4" w:space="0"/>
                    <w:bottom w:val="single" w:color="auto" w:sz="12" w:space="0"/>
                  </w:tcBorders>
                  <w:shd w:val="clear" w:color="auto" w:fill="auto"/>
                  <w:vAlign w:val="center"/>
                </w:tcPr>
                <w:p w14:paraId="53C31E47">
                  <w:pPr>
                    <w:adjustRightInd w:val="0"/>
                    <w:snapToGrid w:val="0"/>
                    <w:jc w:val="center"/>
                    <w:rPr>
                      <w:color w:val="auto"/>
                      <w:szCs w:val="21"/>
                    </w:rPr>
                  </w:pPr>
                </w:p>
              </w:tc>
              <w:tc>
                <w:tcPr>
                  <w:tcW w:w="400" w:type="pct"/>
                  <w:tcBorders>
                    <w:top w:val="single" w:color="auto" w:sz="4" w:space="0"/>
                    <w:bottom w:val="single" w:color="auto" w:sz="12" w:space="0"/>
                  </w:tcBorders>
                  <w:shd w:val="clear" w:color="auto" w:fill="auto"/>
                  <w:vAlign w:val="center"/>
                </w:tcPr>
                <w:p w14:paraId="55F3EFAF">
                  <w:pPr>
                    <w:adjustRightInd w:val="0"/>
                    <w:snapToGrid w:val="0"/>
                    <w:jc w:val="center"/>
                    <w:rPr>
                      <w:b/>
                      <w:color w:val="auto"/>
                      <w:szCs w:val="21"/>
                    </w:rPr>
                  </w:pPr>
                  <w:r>
                    <w:rPr>
                      <w:b/>
                      <w:color w:val="auto"/>
                      <w:szCs w:val="21"/>
                    </w:rPr>
                    <w:t>固体废物</w:t>
                  </w:r>
                </w:p>
              </w:tc>
              <w:tc>
                <w:tcPr>
                  <w:tcW w:w="300" w:type="pct"/>
                  <w:tcBorders>
                    <w:top w:val="single" w:color="auto" w:sz="4" w:space="0"/>
                    <w:bottom w:val="single" w:color="auto" w:sz="12" w:space="0"/>
                  </w:tcBorders>
                  <w:shd w:val="clear" w:color="auto" w:fill="auto"/>
                  <w:vAlign w:val="center"/>
                </w:tcPr>
                <w:p w14:paraId="7E981DFC">
                  <w:pPr>
                    <w:adjustRightInd w:val="0"/>
                    <w:snapToGrid w:val="0"/>
                    <w:jc w:val="center"/>
                    <w:rPr>
                      <w:b/>
                      <w:color w:val="auto"/>
                      <w:szCs w:val="21"/>
                    </w:rPr>
                  </w:pPr>
                  <w:r>
                    <w:rPr>
                      <w:b/>
                      <w:color w:val="auto"/>
                      <w:szCs w:val="21"/>
                    </w:rPr>
                    <w:t>副产品</w:t>
                  </w:r>
                </w:p>
              </w:tc>
              <w:tc>
                <w:tcPr>
                  <w:tcW w:w="652" w:type="pct"/>
                  <w:tcBorders>
                    <w:top w:val="single" w:color="auto" w:sz="4" w:space="0"/>
                    <w:bottom w:val="single" w:color="auto" w:sz="12" w:space="0"/>
                  </w:tcBorders>
                  <w:shd w:val="clear" w:color="auto" w:fill="auto"/>
                  <w:vAlign w:val="center"/>
                </w:tcPr>
                <w:p w14:paraId="46E80DC9">
                  <w:pPr>
                    <w:adjustRightInd w:val="0"/>
                    <w:snapToGrid w:val="0"/>
                    <w:jc w:val="center"/>
                    <w:rPr>
                      <w:b/>
                      <w:color w:val="auto"/>
                      <w:szCs w:val="21"/>
                    </w:rPr>
                  </w:pPr>
                  <w:r>
                    <w:rPr>
                      <w:b/>
                      <w:color w:val="auto"/>
                      <w:szCs w:val="21"/>
                    </w:rPr>
                    <w:t>来源鉴别</w:t>
                  </w:r>
                </w:p>
              </w:tc>
              <w:tc>
                <w:tcPr>
                  <w:tcW w:w="405" w:type="pct"/>
                  <w:tcBorders>
                    <w:top w:val="single" w:color="auto" w:sz="4" w:space="0"/>
                    <w:bottom w:val="single" w:color="auto" w:sz="12" w:space="0"/>
                  </w:tcBorders>
                  <w:shd w:val="clear" w:color="auto" w:fill="auto"/>
                  <w:vAlign w:val="center"/>
                </w:tcPr>
                <w:p w14:paraId="102CCD35">
                  <w:pPr>
                    <w:adjustRightInd w:val="0"/>
                    <w:snapToGrid w:val="0"/>
                    <w:jc w:val="center"/>
                    <w:rPr>
                      <w:b/>
                      <w:color w:val="auto"/>
                      <w:szCs w:val="21"/>
                    </w:rPr>
                  </w:pPr>
                  <w:r>
                    <w:rPr>
                      <w:b/>
                      <w:color w:val="auto"/>
                      <w:szCs w:val="21"/>
                    </w:rPr>
                    <w:t>处置类别</w:t>
                  </w:r>
                </w:p>
              </w:tc>
            </w:tr>
            <w:tr w14:paraId="05B775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 w:type="pct"/>
                  <w:tcBorders>
                    <w:top w:val="single" w:color="auto" w:sz="12" w:space="0"/>
                    <w:bottom w:val="single" w:color="auto" w:sz="4" w:space="0"/>
                  </w:tcBorders>
                  <w:shd w:val="clear" w:color="auto" w:fill="auto"/>
                  <w:vAlign w:val="center"/>
                </w:tcPr>
                <w:p w14:paraId="07BCDCE5">
                  <w:pPr>
                    <w:adjustRightInd w:val="0"/>
                    <w:snapToGrid w:val="0"/>
                    <w:jc w:val="center"/>
                    <w:rPr>
                      <w:color w:val="auto"/>
                      <w:szCs w:val="21"/>
                    </w:rPr>
                  </w:pPr>
                  <w:r>
                    <w:rPr>
                      <w:color w:val="auto"/>
                      <w:szCs w:val="21"/>
                    </w:rPr>
                    <w:t>1</w:t>
                  </w:r>
                </w:p>
              </w:tc>
              <w:tc>
                <w:tcPr>
                  <w:tcW w:w="2088" w:type="dxa"/>
                  <w:tcBorders>
                    <w:top w:val="single" w:color="auto" w:sz="12" w:space="0"/>
                    <w:bottom w:val="single" w:color="auto" w:sz="4" w:space="0"/>
                  </w:tcBorders>
                  <w:shd w:val="clear" w:color="auto" w:fill="auto"/>
                  <w:vAlign w:val="center"/>
                </w:tcPr>
                <w:p w14:paraId="160DD707">
                  <w:pPr>
                    <w:overflowPunct w:val="0"/>
                    <w:adjustRightInd w:val="0"/>
                    <w:snapToGrid w:val="0"/>
                    <w:jc w:val="center"/>
                    <w:textAlignment w:val="baseline"/>
                    <w:rPr>
                      <w:color w:val="auto"/>
                      <w:szCs w:val="21"/>
                      <w:lang w:val="zh-CN"/>
                    </w:rPr>
                  </w:pPr>
                  <w:r>
                    <w:rPr>
                      <w:rFonts w:hint="eastAsia"/>
                      <w:color w:val="auto"/>
                      <w:szCs w:val="21"/>
                      <w:lang w:val="zh-CN"/>
                    </w:rPr>
                    <w:t>废原料</w:t>
                  </w:r>
                </w:p>
              </w:tc>
              <w:tc>
                <w:tcPr>
                  <w:tcW w:w="1477" w:type="dxa"/>
                  <w:tcBorders>
                    <w:top w:val="single" w:color="auto" w:sz="12" w:space="0"/>
                    <w:bottom w:val="single" w:color="auto" w:sz="4" w:space="0"/>
                  </w:tcBorders>
                  <w:shd w:val="clear" w:color="auto" w:fill="auto"/>
                  <w:vAlign w:val="center"/>
                </w:tcPr>
                <w:p w14:paraId="2572DD7F">
                  <w:pPr>
                    <w:overflowPunct w:val="0"/>
                    <w:adjustRightInd w:val="0"/>
                    <w:snapToGrid w:val="0"/>
                    <w:jc w:val="center"/>
                    <w:textAlignment w:val="baseline"/>
                    <w:rPr>
                      <w:color w:val="auto"/>
                      <w:szCs w:val="21"/>
                      <w:lang w:val="zh-CN"/>
                    </w:rPr>
                  </w:pPr>
                  <w:r>
                    <w:rPr>
                      <w:rFonts w:hint="eastAsia"/>
                      <w:color w:val="auto"/>
                      <w:szCs w:val="21"/>
                      <w:lang w:val="zh-CN"/>
                    </w:rPr>
                    <w:t>除杂</w:t>
                  </w:r>
                </w:p>
              </w:tc>
              <w:tc>
                <w:tcPr>
                  <w:tcW w:w="250" w:type="pct"/>
                  <w:tcBorders>
                    <w:top w:val="single" w:color="auto" w:sz="12" w:space="0"/>
                    <w:bottom w:val="single" w:color="auto" w:sz="4" w:space="0"/>
                  </w:tcBorders>
                  <w:shd w:val="clear" w:color="auto" w:fill="auto"/>
                  <w:vAlign w:val="center"/>
                </w:tcPr>
                <w:p w14:paraId="06C55925">
                  <w:pPr>
                    <w:overflowPunct w:val="0"/>
                    <w:adjustRightInd w:val="0"/>
                    <w:snapToGrid w:val="0"/>
                    <w:jc w:val="center"/>
                    <w:textAlignment w:val="baseline"/>
                    <w:rPr>
                      <w:color w:val="auto"/>
                      <w:szCs w:val="21"/>
                      <w:lang w:val="zh-CN"/>
                    </w:rPr>
                  </w:pPr>
                  <w:r>
                    <w:rPr>
                      <w:color w:val="auto"/>
                      <w:szCs w:val="21"/>
                      <w:lang w:val="zh-CN"/>
                    </w:rPr>
                    <w:t>固</w:t>
                  </w:r>
                </w:p>
              </w:tc>
              <w:tc>
                <w:tcPr>
                  <w:tcW w:w="1974" w:type="dxa"/>
                  <w:tcBorders>
                    <w:top w:val="single" w:color="auto" w:sz="12" w:space="0"/>
                    <w:bottom w:val="single" w:color="auto" w:sz="4" w:space="0"/>
                  </w:tcBorders>
                  <w:shd w:val="clear" w:color="auto" w:fill="auto"/>
                  <w:vAlign w:val="center"/>
                </w:tcPr>
                <w:p w14:paraId="06B590F9">
                  <w:pPr>
                    <w:overflowPunct w:val="0"/>
                    <w:adjustRightInd w:val="0"/>
                    <w:snapToGrid w:val="0"/>
                    <w:jc w:val="center"/>
                    <w:textAlignment w:val="baseline"/>
                    <w:rPr>
                      <w:color w:val="auto"/>
                      <w:szCs w:val="21"/>
                      <w:lang w:val="zh-CN"/>
                    </w:rPr>
                  </w:pPr>
                  <w:r>
                    <w:rPr>
                      <w:rFonts w:hint="eastAsia"/>
                      <w:color w:val="auto"/>
                      <w:szCs w:val="21"/>
                      <w:lang w:val="zh-CN"/>
                    </w:rPr>
                    <w:t>肉、鱿鱼</w:t>
                  </w:r>
                </w:p>
              </w:tc>
              <w:tc>
                <w:tcPr>
                  <w:tcW w:w="500" w:type="pct"/>
                  <w:tcBorders>
                    <w:top w:val="single" w:color="auto" w:sz="12" w:space="0"/>
                    <w:bottom w:val="single" w:color="auto" w:sz="4" w:space="0"/>
                  </w:tcBorders>
                  <w:shd w:val="clear" w:color="auto" w:fill="auto"/>
                  <w:vAlign w:val="center"/>
                </w:tcPr>
                <w:p w14:paraId="2241BBF4">
                  <w:pPr>
                    <w:adjustRightInd w:val="0"/>
                    <w:snapToGrid w:val="0"/>
                    <w:jc w:val="center"/>
                    <w:rPr>
                      <w:rFonts w:hint="default" w:eastAsia="宋体"/>
                      <w:color w:val="auto"/>
                      <w:szCs w:val="21"/>
                      <w:lang w:val="en-US" w:eastAsia="zh-CN"/>
                    </w:rPr>
                  </w:pPr>
                  <w:r>
                    <w:rPr>
                      <w:rFonts w:hint="eastAsia"/>
                      <w:color w:val="auto"/>
                      <w:szCs w:val="21"/>
                      <w:lang w:val="en-US" w:eastAsia="zh-CN"/>
                    </w:rPr>
                    <w:t>4.5</w:t>
                  </w:r>
                </w:p>
              </w:tc>
              <w:tc>
                <w:tcPr>
                  <w:tcW w:w="400" w:type="pct"/>
                  <w:tcBorders>
                    <w:top w:val="single" w:color="auto" w:sz="12" w:space="0"/>
                    <w:bottom w:val="single" w:color="auto" w:sz="4" w:space="0"/>
                  </w:tcBorders>
                  <w:shd w:val="clear" w:color="auto" w:fill="auto"/>
                  <w:vAlign w:val="center"/>
                </w:tcPr>
                <w:p w14:paraId="0EB843A1">
                  <w:pPr>
                    <w:overflowPunct w:val="0"/>
                    <w:adjustRightInd w:val="0"/>
                    <w:snapToGrid w:val="0"/>
                    <w:jc w:val="center"/>
                    <w:textAlignment w:val="baseline"/>
                    <w:rPr>
                      <w:color w:val="auto"/>
                      <w:szCs w:val="21"/>
                      <w:lang w:val="zh-CN"/>
                    </w:rPr>
                  </w:pPr>
                  <w:r>
                    <w:rPr>
                      <w:color w:val="auto"/>
                      <w:szCs w:val="21"/>
                      <w:lang w:val="zh-CN"/>
                    </w:rPr>
                    <w:t>√</w:t>
                  </w:r>
                </w:p>
              </w:tc>
              <w:tc>
                <w:tcPr>
                  <w:tcW w:w="300" w:type="pct"/>
                  <w:tcBorders>
                    <w:top w:val="single" w:color="auto" w:sz="12" w:space="0"/>
                    <w:bottom w:val="single" w:color="auto" w:sz="4" w:space="0"/>
                  </w:tcBorders>
                  <w:shd w:val="clear" w:color="auto" w:fill="auto"/>
                  <w:vAlign w:val="center"/>
                </w:tcPr>
                <w:p w14:paraId="7F66F737">
                  <w:pPr>
                    <w:adjustRightInd w:val="0"/>
                    <w:snapToGrid w:val="0"/>
                    <w:jc w:val="center"/>
                    <w:rPr>
                      <w:color w:val="auto"/>
                      <w:szCs w:val="21"/>
                    </w:rPr>
                  </w:pPr>
                  <w:r>
                    <w:rPr>
                      <w:color w:val="auto"/>
                      <w:szCs w:val="21"/>
                    </w:rPr>
                    <w:t>/</w:t>
                  </w:r>
                </w:p>
              </w:tc>
              <w:tc>
                <w:tcPr>
                  <w:tcW w:w="652" w:type="pct"/>
                  <w:tcBorders>
                    <w:top w:val="single" w:color="auto" w:sz="12" w:space="0"/>
                    <w:bottom w:val="single" w:color="auto" w:sz="4" w:space="0"/>
                  </w:tcBorders>
                  <w:shd w:val="clear" w:color="auto" w:fill="auto"/>
                  <w:vAlign w:val="center"/>
                </w:tcPr>
                <w:p w14:paraId="091CDDAC">
                  <w:pPr>
                    <w:overflowPunct w:val="0"/>
                    <w:adjustRightInd w:val="0"/>
                    <w:snapToGrid w:val="0"/>
                    <w:jc w:val="center"/>
                    <w:textAlignment w:val="baseline"/>
                    <w:rPr>
                      <w:color w:val="auto"/>
                      <w:szCs w:val="21"/>
                    </w:rPr>
                  </w:pPr>
                  <w:r>
                    <w:rPr>
                      <w:color w:val="auto"/>
                      <w:szCs w:val="21"/>
                    </w:rPr>
                    <w:t>4.1（h）</w:t>
                  </w:r>
                </w:p>
              </w:tc>
              <w:tc>
                <w:tcPr>
                  <w:tcW w:w="405" w:type="pct"/>
                  <w:tcBorders>
                    <w:top w:val="single" w:color="auto" w:sz="12" w:space="0"/>
                    <w:bottom w:val="single" w:color="auto" w:sz="4" w:space="0"/>
                  </w:tcBorders>
                  <w:shd w:val="clear" w:color="auto" w:fill="auto"/>
                  <w:vAlign w:val="center"/>
                </w:tcPr>
                <w:p w14:paraId="2B1A7A07">
                  <w:pPr>
                    <w:adjustRightInd w:val="0"/>
                    <w:snapToGrid w:val="0"/>
                    <w:jc w:val="center"/>
                    <w:rPr>
                      <w:color w:val="auto"/>
                      <w:szCs w:val="21"/>
                    </w:rPr>
                  </w:pPr>
                  <w:r>
                    <w:rPr>
                      <w:color w:val="auto"/>
                      <w:szCs w:val="21"/>
                    </w:rPr>
                    <w:t>/</w:t>
                  </w:r>
                </w:p>
              </w:tc>
            </w:tr>
            <w:tr w14:paraId="07CC79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 w:type="pct"/>
                  <w:tcBorders>
                    <w:top w:val="single" w:color="auto" w:sz="4" w:space="0"/>
                    <w:bottom w:val="single" w:color="auto" w:sz="4" w:space="0"/>
                  </w:tcBorders>
                  <w:shd w:val="clear" w:color="auto" w:fill="auto"/>
                  <w:vAlign w:val="center"/>
                </w:tcPr>
                <w:p w14:paraId="07A2058D">
                  <w:pPr>
                    <w:adjustRightInd w:val="0"/>
                    <w:snapToGrid w:val="0"/>
                    <w:jc w:val="center"/>
                    <w:rPr>
                      <w:color w:val="auto"/>
                      <w:szCs w:val="21"/>
                    </w:rPr>
                  </w:pPr>
                  <w:r>
                    <w:rPr>
                      <w:color w:val="auto"/>
                      <w:szCs w:val="21"/>
                    </w:rPr>
                    <w:t>2</w:t>
                  </w:r>
                </w:p>
              </w:tc>
              <w:tc>
                <w:tcPr>
                  <w:tcW w:w="2088" w:type="dxa"/>
                  <w:tcBorders>
                    <w:top w:val="single" w:color="auto" w:sz="4" w:space="0"/>
                    <w:bottom w:val="single" w:color="auto" w:sz="4" w:space="0"/>
                  </w:tcBorders>
                  <w:shd w:val="clear" w:color="auto" w:fill="auto"/>
                  <w:vAlign w:val="center"/>
                </w:tcPr>
                <w:p w14:paraId="461C79BE">
                  <w:pPr>
                    <w:overflowPunct w:val="0"/>
                    <w:adjustRightInd w:val="0"/>
                    <w:snapToGrid w:val="0"/>
                    <w:jc w:val="center"/>
                    <w:textAlignment w:val="baseline"/>
                    <w:rPr>
                      <w:color w:val="auto"/>
                      <w:szCs w:val="21"/>
                      <w:lang w:val="zh-CN"/>
                    </w:rPr>
                  </w:pPr>
                  <w:r>
                    <w:rPr>
                      <w:color w:val="auto"/>
                      <w:szCs w:val="21"/>
                    </w:rPr>
                    <w:t>废</w:t>
                  </w:r>
                  <w:r>
                    <w:rPr>
                      <w:rFonts w:hint="eastAsia"/>
                      <w:color w:val="auto"/>
                      <w:szCs w:val="21"/>
                    </w:rPr>
                    <w:t>包装材料</w:t>
                  </w:r>
                </w:p>
              </w:tc>
              <w:tc>
                <w:tcPr>
                  <w:tcW w:w="1477" w:type="dxa"/>
                  <w:tcBorders>
                    <w:top w:val="single" w:color="auto" w:sz="4" w:space="0"/>
                    <w:bottom w:val="single" w:color="auto" w:sz="4" w:space="0"/>
                  </w:tcBorders>
                  <w:shd w:val="clear" w:color="auto" w:fill="auto"/>
                  <w:vAlign w:val="center"/>
                </w:tcPr>
                <w:p w14:paraId="7060B395">
                  <w:pPr>
                    <w:overflowPunct w:val="0"/>
                    <w:adjustRightInd w:val="0"/>
                    <w:snapToGrid w:val="0"/>
                    <w:jc w:val="center"/>
                    <w:textAlignment w:val="baseline"/>
                    <w:rPr>
                      <w:color w:val="auto"/>
                      <w:szCs w:val="21"/>
                      <w:lang w:val="zh-CN"/>
                    </w:rPr>
                  </w:pPr>
                  <w:r>
                    <w:rPr>
                      <w:rFonts w:hint="eastAsia"/>
                      <w:color w:val="auto"/>
                      <w:szCs w:val="21"/>
                    </w:rPr>
                    <w:t>原辅料包装</w:t>
                  </w:r>
                </w:p>
              </w:tc>
              <w:tc>
                <w:tcPr>
                  <w:tcW w:w="250" w:type="pct"/>
                  <w:tcBorders>
                    <w:top w:val="single" w:color="auto" w:sz="4" w:space="0"/>
                    <w:bottom w:val="single" w:color="auto" w:sz="4" w:space="0"/>
                  </w:tcBorders>
                  <w:shd w:val="clear" w:color="auto" w:fill="auto"/>
                  <w:vAlign w:val="center"/>
                </w:tcPr>
                <w:p w14:paraId="273845FC">
                  <w:pPr>
                    <w:overflowPunct w:val="0"/>
                    <w:adjustRightInd w:val="0"/>
                    <w:snapToGrid w:val="0"/>
                    <w:jc w:val="center"/>
                    <w:textAlignment w:val="baseline"/>
                    <w:rPr>
                      <w:color w:val="auto"/>
                      <w:szCs w:val="21"/>
                      <w:lang w:val="zh-CN"/>
                    </w:rPr>
                  </w:pPr>
                  <w:r>
                    <w:rPr>
                      <w:color w:val="auto"/>
                      <w:szCs w:val="21"/>
                      <w:lang w:val="zh-CN"/>
                    </w:rPr>
                    <w:t>固</w:t>
                  </w:r>
                </w:p>
              </w:tc>
              <w:tc>
                <w:tcPr>
                  <w:tcW w:w="1974" w:type="dxa"/>
                  <w:tcBorders>
                    <w:top w:val="single" w:color="auto" w:sz="4" w:space="0"/>
                    <w:bottom w:val="single" w:color="auto" w:sz="4" w:space="0"/>
                  </w:tcBorders>
                  <w:shd w:val="clear" w:color="auto" w:fill="auto"/>
                  <w:vAlign w:val="center"/>
                </w:tcPr>
                <w:p w14:paraId="4E04B18B">
                  <w:pPr>
                    <w:overflowPunct w:val="0"/>
                    <w:adjustRightInd w:val="0"/>
                    <w:snapToGrid w:val="0"/>
                    <w:jc w:val="center"/>
                    <w:textAlignment w:val="baseline"/>
                    <w:rPr>
                      <w:color w:val="auto"/>
                      <w:szCs w:val="21"/>
                      <w:lang w:val="zh-CN"/>
                    </w:rPr>
                  </w:pPr>
                  <w:r>
                    <w:rPr>
                      <w:rFonts w:hint="eastAsia"/>
                      <w:color w:val="auto"/>
                      <w:szCs w:val="21"/>
                      <w:lang w:val="zh-CN"/>
                    </w:rPr>
                    <w:t>塑料、纸</w:t>
                  </w:r>
                </w:p>
              </w:tc>
              <w:tc>
                <w:tcPr>
                  <w:tcW w:w="500" w:type="pct"/>
                  <w:tcBorders>
                    <w:top w:val="single" w:color="auto" w:sz="4" w:space="0"/>
                    <w:bottom w:val="single" w:color="auto" w:sz="4" w:space="0"/>
                  </w:tcBorders>
                  <w:shd w:val="clear" w:color="auto" w:fill="auto"/>
                  <w:vAlign w:val="center"/>
                </w:tcPr>
                <w:p w14:paraId="645E7109">
                  <w:pPr>
                    <w:adjustRightInd w:val="0"/>
                    <w:snapToGrid w:val="0"/>
                    <w:jc w:val="center"/>
                    <w:rPr>
                      <w:color w:val="auto"/>
                      <w:szCs w:val="21"/>
                    </w:rPr>
                  </w:pPr>
                  <w:r>
                    <w:rPr>
                      <w:rFonts w:hint="eastAsia"/>
                      <w:color w:val="auto"/>
                      <w:szCs w:val="21"/>
                    </w:rPr>
                    <w:t>5</w:t>
                  </w:r>
                </w:p>
              </w:tc>
              <w:tc>
                <w:tcPr>
                  <w:tcW w:w="400" w:type="pct"/>
                  <w:tcBorders>
                    <w:top w:val="single" w:color="auto" w:sz="4" w:space="0"/>
                    <w:bottom w:val="single" w:color="auto" w:sz="4" w:space="0"/>
                  </w:tcBorders>
                  <w:shd w:val="clear" w:color="auto" w:fill="auto"/>
                  <w:vAlign w:val="center"/>
                </w:tcPr>
                <w:p w14:paraId="48E19369">
                  <w:pPr>
                    <w:overflowPunct w:val="0"/>
                    <w:adjustRightInd w:val="0"/>
                    <w:snapToGrid w:val="0"/>
                    <w:jc w:val="center"/>
                    <w:textAlignment w:val="baseline"/>
                    <w:rPr>
                      <w:color w:val="auto"/>
                      <w:szCs w:val="21"/>
                      <w:lang w:val="zh-CN"/>
                    </w:rPr>
                  </w:pPr>
                  <w:r>
                    <w:rPr>
                      <w:color w:val="auto"/>
                      <w:szCs w:val="21"/>
                      <w:lang w:val="zh-CN"/>
                    </w:rPr>
                    <w:t>√</w:t>
                  </w:r>
                </w:p>
              </w:tc>
              <w:tc>
                <w:tcPr>
                  <w:tcW w:w="300" w:type="pct"/>
                  <w:tcBorders>
                    <w:top w:val="single" w:color="auto" w:sz="4" w:space="0"/>
                    <w:bottom w:val="single" w:color="auto" w:sz="4" w:space="0"/>
                  </w:tcBorders>
                  <w:shd w:val="clear" w:color="auto" w:fill="auto"/>
                  <w:vAlign w:val="center"/>
                </w:tcPr>
                <w:p w14:paraId="7FC93D65">
                  <w:pPr>
                    <w:adjustRightInd w:val="0"/>
                    <w:snapToGrid w:val="0"/>
                    <w:jc w:val="center"/>
                    <w:rPr>
                      <w:color w:val="auto"/>
                      <w:szCs w:val="21"/>
                    </w:rPr>
                  </w:pPr>
                  <w:r>
                    <w:rPr>
                      <w:color w:val="auto"/>
                      <w:szCs w:val="21"/>
                    </w:rPr>
                    <w:t>/</w:t>
                  </w:r>
                </w:p>
              </w:tc>
              <w:tc>
                <w:tcPr>
                  <w:tcW w:w="652" w:type="pct"/>
                  <w:tcBorders>
                    <w:top w:val="single" w:color="auto" w:sz="4" w:space="0"/>
                    <w:bottom w:val="single" w:color="auto" w:sz="4" w:space="0"/>
                  </w:tcBorders>
                  <w:shd w:val="clear" w:color="auto" w:fill="auto"/>
                  <w:vAlign w:val="center"/>
                </w:tcPr>
                <w:p w14:paraId="51E7C3A0">
                  <w:pPr>
                    <w:overflowPunct w:val="0"/>
                    <w:adjustRightInd w:val="0"/>
                    <w:snapToGrid w:val="0"/>
                    <w:jc w:val="center"/>
                    <w:textAlignment w:val="baseline"/>
                    <w:rPr>
                      <w:color w:val="auto"/>
                      <w:szCs w:val="21"/>
                      <w:lang w:val="zh-CN"/>
                    </w:rPr>
                  </w:pPr>
                  <w:r>
                    <w:rPr>
                      <w:color w:val="auto"/>
                      <w:szCs w:val="21"/>
                    </w:rPr>
                    <w:t>4.1（h）</w:t>
                  </w:r>
                </w:p>
              </w:tc>
              <w:tc>
                <w:tcPr>
                  <w:tcW w:w="405" w:type="pct"/>
                  <w:tcBorders>
                    <w:top w:val="single" w:color="auto" w:sz="4" w:space="0"/>
                    <w:bottom w:val="single" w:color="auto" w:sz="4" w:space="0"/>
                  </w:tcBorders>
                  <w:shd w:val="clear" w:color="auto" w:fill="auto"/>
                  <w:vAlign w:val="center"/>
                </w:tcPr>
                <w:p w14:paraId="2B481C70">
                  <w:pPr>
                    <w:adjustRightInd w:val="0"/>
                    <w:snapToGrid w:val="0"/>
                    <w:jc w:val="center"/>
                    <w:rPr>
                      <w:color w:val="auto"/>
                      <w:szCs w:val="21"/>
                    </w:rPr>
                  </w:pPr>
                  <w:r>
                    <w:rPr>
                      <w:color w:val="auto"/>
                      <w:szCs w:val="21"/>
                    </w:rPr>
                    <w:t>/</w:t>
                  </w:r>
                </w:p>
              </w:tc>
            </w:tr>
            <w:tr w14:paraId="5A5C28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 w:type="pct"/>
                  <w:shd w:val="clear" w:color="auto" w:fill="auto"/>
                  <w:vAlign w:val="center"/>
                </w:tcPr>
                <w:p w14:paraId="3DB430DE">
                  <w:pPr>
                    <w:adjustRightInd w:val="0"/>
                    <w:snapToGrid w:val="0"/>
                    <w:jc w:val="center"/>
                    <w:rPr>
                      <w:rFonts w:hint="eastAsia" w:eastAsia="宋体"/>
                      <w:color w:val="auto"/>
                      <w:szCs w:val="21"/>
                      <w:lang w:eastAsia="zh-CN"/>
                    </w:rPr>
                  </w:pPr>
                  <w:r>
                    <w:rPr>
                      <w:rFonts w:hint="eastAsia"/>
                      <w:color w:val="auto"/>
                      <w:szCs w:val="21"/>
                      <w:lang w:val="en-US" w:eastAsia="zh-CN"/>
                    </w:rPr>
                    <w:t>3</w:t>
                  </w:r>
                </w:p>
              </w:tc>
              <w:tc>
                <w:tcPr>
                  <w:tcW w:w="2088" w:type="dxa"/>
                  <w:shd w:val="clear" w:color="auto" w:fill="auto"/>
                  <w:vAlign w:val="center"/>
                </w:tcPr>
                <w:p w14:paraId="2AB75397">
                  <w:pPr>
                    <w:overflowPunct w:val="0"/>
                    <w:adjustRightInd w:val="0"/>
                    <w:snapToGrid w:val="0"/>
                    <w:jc w:val="center"/>
                    <w:textAlignment w:val="baseline"/>
                    <w:rPr>
                      <w:color w:val="auto"/>
                      <w:szCs w:val="21"/>
                      <w:lang w:val="zh-CN"/>
                    </w:rPr>
                  </w:pPr>
                  <w:r>
                    <w:rPr>
                      <w:color w:val="auto"/>
                      <w:szCs w:val="21"/>
                      <w:lang w:val="zh-CN"/>
                    </w:rPr>
                    <w:t>职工生活垃圾</w:t>
                  </w:r>
                </w:p>
              </w:tc>
              <w:tc>
                <w:tcPr>
                  <w:tcW w:w="1477" w:type="dxa"/>
                  <w:shd w:val="clear" w:color="auto" w:fill="auto"/>
                  <w:vAlign w:val="center"/>
                </w:tcPr>
                <w:p w14:paraId="4BC2968D">
                  <w:pPr>
                    <w:overflowPunct w:val="0"/>
                    <w:adjustRightInd w:val="0"/>
                    <w:snapToGrid w:val="0"/>
                    <w:jc w:val="center"/>
                    <w:textAlignment w:val="baseline"/>
                    <w:rPr>
                      <w:color w:val="auto"/>
                      <w:szCs w:val="21"/>
                      <w:lang w:val="zh-CN"/>
                    </w:rPr>
                  </w:pPr>
                  <w:r>
                    <w:rPr>
                      <w:color w:val="auto"/>
                      <w:szCs w:val="21"/>
                      <w:lang w:val="zh-CN"/>
                    </w:rPr>
                    <w:t>生活办公</w:t>
                  </w:r>
                </w:p>
              </w:tc>
              <w:tc>
                <w:tcPr>
                  <w:tcW w:w="250" w:type="pct"/>
                  <w:shd w:val="clear" w:color="auto" w:fill="auto"/>
                  <w:vAlign w:val="center"/>
                </w:tcPr>
                <w:p w14:paraId="5A43D3F0">
                  <w:pPr>
                    <w:overflowPunct w:val="0"/>
                    <w:adjustRightInd w:val="0"/>
                    <w:snapToGrid w:val="0"/>
                    <w:jc w:val="center"/>
                    <w:textAlignment w:val="baseline"/>
                    <w:rPr>
                      <w:color w:val="auto"/>
                      <w:szCs w:val="21"/>
                      <w:lang w:val="zh-CN"/>
                    </w:rPr>
                  </w:pPr>
                  <w:r>
                    <w:rPr>
                      <w:color w:val="auto"/>
                      <w:szCs w:val="21"/>
                      <w:lang w:val="zh-CN"/>
                    </w:rPr>
                    <w:t>固</w:t>
                  </w:r>
                </w:p>
              </w:tc>
              <w:tc>
                <w:tcPr>
                  <w:tcW w:w="1974" w:type="dxa"/>
                  <w:shd w:val="clear" w:color="auto" w:fill="auto"/>
                  <w:vAlign w:val="center"/>
                </w:tcPr>
                <w:p w14:paraId="3C9CC36A">
                  <w:pPr>
                    <w:overflowPunct w:val="0"/>
                    <w:adjustRightInd w:val="0"/>
                    <w:snapToGrid w:val="0"/>
                    <w:jc w:val="center"/>
                    <w:textAlignment w:val="baseline"/>
                    <w:rPr>
                      <w:color w:val="auto"/>
                      <w:szCs w:val="21"/>
                      <w:lang w:val="zh-CN"/>
                    </w:rPr>
                  </w:pPr>
                  <w:r>
                    <w:rPr>
                      <w:color w:val="auto"/>
                      <w:szCs w:val="21"/>
                      <w:lang w:val="zh-CN"/>
                    </w:rPr>
                    <w:t>果皮、纸壳</w:t>
                  </w:r>
                </w:p>
              </w:tc>
              <w:tc>
                <w:tcPr>
                  <w:tcW w:w="500" w:type="pct"/>
                  <w:shd w:val="clear" w:color="auto" w:fill="auto"/>
                  <w:vAlign w:val="center"/>
                </w:tcPr>
                <w:p w14:paraId="3BAF9A96">
                  <w:pPr>
                    <w:adjustRightInd w:val="0"/>
                    <w:snapToGrid w:val="0"/>
                    <w:jc w:val="center"/>
                    <w:rPr>
                      <w:color w:val="auto"/>
                      <w:szCs w:val="21"/>
                    </w:rPr>
                  </w:pPr>
                  <w:r>
                    <w:rPr>
                      <w:color w:val="auto"/>
                      <w:szCs w:val="21"/>
                    </w:rPr>
                    <w:t>15</w:t>
                  </w:r>
                </w:p>
              </w:tc>
              <w:tc>
                <w:tcPr>
                  <w:tcW w:w="400" w:type="pct"/>
                  <w:shd w:val="clear" w:color="auto" w:fill="auto"/>
                  <w:vAlign w:val="center"/>
                </w:tcPr>
                <w:p w14:paraId="58FED6E4">
                  <w:pPr>
                    <w:overflowPunct w:val="0"/>
                    <w:adjustRightInd w:val="0"/>
                    <w:snapToGrid w:val="0"/>
                    <w:jc w:val="center"/>
                    <w:textAlignment w:val="baseline"/>
                    <w:rPr>
                      <w:color w:val="auto"/>
                      <w:szCs w:val="21"/>
                      <w:lang w:val="zh-CN"/>
                    </w:rPr>
                  </w:pPr>
                  <w:r>
                    <w:rPr>
                      <w:color w:val="auto"/>
                      <w:szCs w:val="21"/>
                      <w:lang w:val="zh-CN"/>
                    </w:rPr>
                    <w:t>√</w:t>
                  </w:r>
                </w:p>
              </w:tc>
              <w:tc>
                <w:tcPr>
                  <w:tcW w:w="300" w:type="pct"/>
                  <w:shd w:val="clear" w:color="auto" w:fill="auto"/>
                  <w:vAlign w:val="center"/>
                </w:tcPr>
                <w:p w14:paraId="1D9FB242">
                  <w:pPr>
                    <w:adjustRightInd w:val="0"/>
                    <w:snapToGrid w:val="0"/>
                    <w:jc w:val="center"/>
                    <w:rPr>
                      <w:color w:val="auto"/>
                      <w:szCs w:val="21"/>
                    </w:rPr>
                  </w:pPr>
                  <w:r>
                    <w:rPr>
                      <w:color w:val="auto"/>
                      <w:szCs w:val="21"/>
                    </w:rPr>
                    <w:t>/</w:t>
                  </w:r>
                </w:p>
              </w:tc>
              <w:tc>
                <w:tcPr>
                  <w:tcW w:w="652" w:type="pct"/>
                  <w:shd w:val="clear" w:color="auto" w:fill="auto"/>
                  <w:vAlign w:val="center"/>
                </w:tcPr>
                <w:p w14:paraId="5698861A">
                  <w:pPr>
                    <w:adjustRightInd w:val="0"/>
                    <w:snapToGrid w:val="0"/>
                    <w:jc w:val="center"/>
                    <w:rPr>
                      <w:color w:val="auto"/>
                      <w:szCs w:val="21"/>
                    </w:rPr>
                  </w:pPr>
                  <w:r>
                    <w:rPr>
                      <w:color w:val="auto"/>
                      <w:szCs w:val="21"/>
                    </w:rPr>
                    <w:t>4.1（h）</w:t>
                  </w:r>
                </w:p>
              </w:tc>
              <w:tc>
                <w:tcPr>
                  <w:tcW w:w="405" w:type="pct"/>
                  <w:shd w:val="clear" w:color="auto" w:fill="auto"/>
                  <w:vAlign w:val="center"/>
                </w:tcPr>
                <w:p w14:paraId="10A09829">
                  <w:pPr>
                    <w:adjustRightInd w:val="0"/>
                    <w:snapToGrid w:val="0"/>
                    <w:jc w:val="center"/>
                    <w:rPr>
                      <w:color w:val="auto"/>
                      <w:szCs w:val="21"/>
                    </w:rPr>
                  </w:pPr>
                  <w:r>
                    <w:rPr>
                      <w:color w:val="auto"/>
                      <w:szCs w:val="21"/>
                    </w:rPr>
                    <w:t>/</w:t>
                  </w:r>
                </w:p>
              </w:tc>
            </w:tr>
          </w:tbl>
          <w:p w14:paraId="4DE8670C">
            <w:pPr>
              <w:adjustRightInd w:val="0"/>
              <w:snapToGrid w:val="0"/>
              <w:spacing w:line="360" w:lineRule="auto"/>
              <w:ind w:firstLine="360" w:firstLineChars="200"/>
              <w:rPr>
                <w:color w:val="auto"/>
                <w:sz w:val="24"/>
              </w:rPr>
            </w:pPr>
            <w:r>
              <w:rPr>
                <w:color w:val="auto"/>
                <w:sz w:val="18"/>
                <w:szCs w:val="18"/>
              </w:rPr>
              <w:t>*：</w:t>
            </w:r>
            <w:r>
              <w:rPr>
                <w:rFonts w:hint="eastAsia" w:ascii="宋体" w:hAnsi="宋体" w:cs="宋体"/>
                <w:color w:val="auto"/>
                <w:sz w:val="18"/>
                <w:szCs w:val="18"/>
              </w:rPr>
              <w:t>①</w:t>
            </w:r>
            <w:r>
              <w:rPr>
                <w:color w:val="auto"/>
                <w:sz w:val="18"/>
                <w:szCs w:val="18"/>
              </w:rPr>
              <w:t>上表中来源鉴别根据《固体废物鉴别标准通则》（GB34330-2017），4.3（e）表示：</w:t>
            </w:r>
            <w:r>
              <w:rPr>
                <w:rFonts w:hint="eastAsia"/>
                <w:color w:val="auto"/>
                <w:sz w:val="18"/>
                <w:szCs w:val="18"/>
              </w:rPr>
              <w:t>水净化和废水处理产生的污泥及其他废弃物质</w:t>
            </w:r>
            <w:r>
              <w:rPr>
                <w:color w:val="auto"/>
                <w:sz w:val="18"/>
                <w:szCs w:val="18"/>
              </w:rPr>
              <w:t>；4.1（h）表示：因丧失原有功能而无法继续使用的物质；4.3（n）表示：</w:t>
            </w:r>
            <w:r>
              <w:rPr>
                <w:rFonts w:hint="eastAsia"/>
                <w:color w:val="auto"/>
                <w:sz w:val="18"/>
                <w:szCs w:val="18"/>
              </w:rPr>
              <w:t>在其他环境治理和污染修复过程中产生的各类物质</w:t>
            </w:r>
            <w:r>
              <w:rPr>
                <w:color w:val="auto"/>
                <w:sz w:val="18"/>
                <w:szCs w:val="18"/>
              </w:rPr>
              <w:t>。</w:t>
            </w:r>
          </w:p>
          <w:p w14:paraId="4588D83B">
            <w:pPr>
              <w:widowControl/>
              <w:autoSpaceDE w:val="0"/>
              <w:autoSpaceDN w:val="0"/>
              <w:adjustRightInd w:val="0"/>
              <w:snapToGrid w:val="0"/>
              <w:spacing w:beforeLines="50" w:line="360" w:lineRule="auto"/>
              <w:ind w:firstLine="482" w:firstLineChars="200"/>
              <w:jc w:val="left"/>
              <w:rPr>
                <w:b/>
                <w:color w:val="auto"/>
                <w:kern w:val="0"/>
                <w:sz w:val="24"/>
              </w:rPr>
            </w:pPr>
            <w:r>
              <w:rPr>
                <w:rFonts w:hint="eastAsia"/>
                <w:b/>
                <w:color w:val="auto"/>
                <w:kern w:val="0"/>
                <w:sz w:val="24"/>
                <w:lang w:val="en-US" w:eastAsia="zh-CN"/>
              </w:rPr>
              <w:t>4.2</w:t>
            </w:r>
            <w:r>
              <w:rPr>
                <w:b/>
                <w:color w:val="auto"/>
                <w:kern w:val="0"/>
                <w:sz w:val="24"/>
              </w:rPr>
              <w:t>污染源强核算过程简述</w:t>
            </w:r>
          </w:p>
          <w:p w14:paraId="4DE8AC39">
            <w:pPr>
              <w:adjustRightInd w:val="0"/>
              <w:snapToGrid w:val="0"/>
              <w:spacing w:line="360" w:lineRule="auto"/>
              <w:ind w:firstLine="480" w:firstLineChars="200"/>
              <w:rPr>
                <w:rFonts w:hint="eastAsia" w:eastAsia="宋体"/>
                <w:color w:val="auto"/>
                <w:sz w:val="24"/>
                <w:lang w:eastAsia="zh-CN"/>
              </w:rPr>
            </w:pPr>
            <w:r>
              <w:rPr>
                <w:color w:val="auto"/>
                <w:sz w:val="24"/>
              </w:rPr>
              <w:t>（1）</w:t>
            </w:r>
            <w:r>
              <w:rPr>
                <w:rFonts w:hint="eastAsia"/>
                <w:color w:val="auto"/>
                <w:sz w:val="24"/>
              </w:rPr>
              <w:t>废</w:t>
            </w:r>
            <w:r>
              <w:rPr>
                <w:rFonts w:hint="eastAsia"/>
                <w:color w:val="auto"/>
                <w:sz w:val="24"/>
                <w:lang w:eastAsia="zh-CN"/>
              </w:rPr>
              <w:t>原料</w:t>
            </w:r>
          </w:p>
          <w:p w14:paraId="4B6CCD32">
            <w:pPr>
              <w:keepNext/>
              <w:adjustRightInd w:val="0"/>
              <w:snapToGrid w:val="0"/>
              <w:spacing w:line="360" w:lineRule="auto"/>
              <w:ind w:firstLine="480" w:firstLineChars="200"/>
              <w:rPr>
                <w:color w:val="auto"/>
                <w:sz w:val="24"/>
              </w:rPr>
            </w:pPr>
            <w:r>
              <w:rPr>
                <w:color w:val="auto"/>
                <w:sz w:val="24"/>
              </w:rPr>
              <w:t>本项目</w:t>
            </w:r>
            <w:r>
              <w:rPr>
                <w:rFonts w:hint="eastAsia"/>
                <w:color w:val="auto"/>
                <w:sz w:val="24"/>
              </w:rPr>
              <w:t>在</w:t>
            </w:r>
            <w:r>
              <w:rPr>
                <w:rFonts w:hint="eastAsia"/>
                <w:color w:val="auto"/>
                <w:sz w:val="24"/>
                <w:lang w:eastAsia="zh-CN"/>
              </w:rPr>
              <w:t>除杂</w:t>
            </w:r>
            <w:r>
              <w:rPr>
                <w:rFonts w:hint="eastAsia"/>
                <w:color w:val="auto"/>
                <w:sz w:val="24"/>
              </w:rPr>
              <w:t>工序中会产生一定量的废</w:t>
            </w:r>
            <w:r>
              <w:rPr>
                <w:rFonts w:hint="eastAsia"/>
                <w:color w:val="auto"/>
                <w:sz w:val="24"/>
                <w:lang w:eastAsia="zh-CN"/>
              </w:rPr>
              <w:t>原料鱿鱼等</w:t>
            </w:r>
            <w:r>
              <w:rPr>
                <w:rFonts w:hint="eastAsia"/>
                <w:color w:val="auto"/>
                <w:sz w:val="24"/>
              </w:rPr>
              <w:t>，</w:t>
            </w:r>
            <w:r>
              <w:rPr>
                <w:rFonts w:hint="eastAsia"/>
                <w:color w:val="auto"/>
                <w:sz w:val="24"/>
                <w:lang w:eastAsia="zh-CN"/>
              </w:rPr>
              <w:t>类比同类行业</w:t>
            </w:r>
            <w:r>
              <w:rPr>
                <w:rFonts w:hint="eastAsia"/>
                <w:color w:val="auto"/>
                <w:sz w:val="24"/>
              </w:rPr>
              <w:t>，</w:t>
            </w:r>
            <w:r>
              <w:rPr>
                <w:rFonts w:hint="eastAsia"/>
                <w:color w:val="auto"/>
                <w:sz w:val="24"/>
                <w:lang w:eastAsia="zh-CN"/>
              </w:rPr>
              <w:t>冷冻鱿鱼的使用量</w:t>
            </w:r>
            <w:r>
              <w:rPr>
                <w:rFonts w:hint="eastAsia"/>
                <w:color w:val="auto"/>
                <w:sz w:val="24"/>
                <w:lang w:val="en-US" w:eastAsia="zh-CN"/>
              </w:rPr>
              <w:t>4500，</w:t>
            </w:r>
            <w:r>
              <w:rPr>
                <w:rFonts w:hint="eastAsia"/>
                <w:color w:val="auto"/>
                <w:sz w:val="24"/>
              </w:rPr>
              <w:t>则产生的废</w:t>
            </w:r>
            <w:r>
              <w:rPr>
                <w:rFonts w:hint="eastAsia"/>
                <w:color w:val="auto"/>
                <w:sz w:val="24"/>
                <w:lang w:eastAsia="zh-CN"/>
              </w:rPr>
              <w:t>原料</w:t>
            </w:r>
            <w:r>
              <w:rPr>
                <w:rFonts w:hint="eastAsia"/>
                <w:color w:val="auto"/>
                <w:sz w:val="24"/>
              </w:rPr>
              <w:t>为</w:t>
            </w:r>
            <w:r>
              <w:rPr>
                <w:rFonts w:hint="eastAsia"/>
                <w:color w:val="auto"/>
                <w:sz w:val="24"/>
                <w:lang w:val="en-US" w:eastAsia="zh-CN"/>
              </w:rPr>
              <w:t>4.5</w:t>
            </w:r>
            <w:r>
              <w:rPr>
                <w:color w:val="auto"/>
                <w:sz w:val="24"/>
              </w:rPr>
              <w:t>t</w:t>
            </w:r>
            <w:r>
              <w:rPr>
                <w:rFonts w:hint="eastAsia"/>
                <w:color w:val="auto"/>
                <w:sz w:val="24"/>
              </w:rPr>
              <w:t>/</w:t>
            </w:r>
            <w:r>
              <w:rPr>
                <w:color w:val="auto"/>
                <w:sz w:val="24"/>
              </w:rPr>
              <w:t>a</w:t>
            </w:r>
            <w:r>
              <w:rPr>
                <w:rFonts w:hint="eastAsia"/>
                <w:color w:val="auto"/>
                <w:sz w:val="24"/>
              </w:rPr>
              <w:t>。收集后</w:t>
            </w:r>
            <w:r>
              <w:rPr>
                <w:color w:val="auto"/>
                <w:sz w:val="24"/>
              </w:rPr>
              <w:t>委托当地环卫部门统一清运处理</w:t>
            </w:r>
            <w:r>
              <w:rPr>
                <w:rFonts w:hint="eastAsia"/>
                <w:color w:val="auto"/>
                <w:sz w:val="24"/>
              </w:rPr>
              <w:t>。</w:t>
            </w:r>
          </w:p>
          <w:p w14:paraId="302EBA3D">
            <w:pPr>
              <w:adjustRightInd w:val="0"/>
              <w:snapToGrid w:val="0"/>
              <w:spacing w:line="360" w:lineRule="auto"/>
              <w:ind w:firstLine="480" w:firstLineChars="200"/>
              <w:rPr>
                <w:color w:val="auto"/>
                <w:sz w:val="24"/>
              </w:rPr>
            </w:pPr>
            <w:r>
              <w:rPr>
                <w:color w:val="auto"/>
                <w:sz w:val="24"/>
              </w:rPr>
              <w:t>（2）</w:t>
            </w:r>
            <w:r>
              <w:rPr>
                <w:rFonts w:hint="eastAsia"/>
                <w:color w:val="auto"/>
                <w:sz w:val="24"/>
              </w:rPr>
              <w:t>废包装材料</w:t>
            </w:r>
          </w:p>
          <w:p w14:paraId="609277BF">
            <w:pPr>
              <w:adjustRightInd w:val="0"/>
              <w:snapToGrid w:val="0"/>
              <w:spacing w:line="360" w:lineRule="auto"/>
              <w:ind w:firstLine="480" w:firstLineChars="200"/>
              <w:rPr>
                <w:color w:val="auto"/>
                <w:sz w:val="24"/>
              </w:rPr>
            </w:pPr>
            <w:r>
              <w:rPr>
                <w:rFonts w:hint="eastAsia"/>
                <w:color w:val="auto"/>
                <w:sz w:val="24"/>
              </w:rPr>
              <w:t>原辅材料会产生废包装材料，主要成分是塑料和纸，每年的产生量为5</w:t>
            </w:r>
            <w:r>
              <w:rPr>
                <w:color w:val="auto"/>
                <w:sz w:val="24"/>
              </w:rPr>
              <w:t>t</w:t>
            </w:r>
            <w:r>
              <w:rPr>
                <w:rFonts w:hint="eastAsia"/>
                <w:color w:val="auto"/>
                <w:sz w:val="24"/>
              </w:rPr>
              <w:t>/</w:t>
            </w:r>
            <w:r>
              <w:rPr>
                <w:color w:val="auto"/>
                <w:sz w:val="24"/>
              </w:rPr>
              <w:t>a</w:t>
            </w:r>
            <w:r>
              <w:rPr>
                <w:rFonts w:hint="eastAsia"/>
                <w:color w:val="auto"/>
                <w:sz w:val="24"/>
              </w:rPr>
              <w:t>，收集后外售。洗涤剂瓶和乙醇桶使用后由原厂回收用于原始用途，根据《关于用于原始用途的含有或直接沾染危险废物的包装物、容器是否属于危险废物的复函》（环函</w:t>
            </w:r>
            <w:r>
              <w:rPr>
                <w:rFonts w:hint="eastAsia"/>
                <w:color w:val="auto"/>
                <w:sz w:val="24"/>
                <w:lang w:eastAsia="zh-CN"/>
              </w:rPr>
              <w:t>〔2014〕126号</w:t>
            </w:r>
            <w:r>
              <w:rPr>
                <w:rFonts w:hint="eastAsia"/>
                <w:color w:val="auto"/>
                <w:sz w:val="24"/>
              </w:rPr>
              <w:t>）以及《固体废物鉴别标准 通则》（GB34330-2017），用于原始用途的含有或直接沾染危险废物的包装物、容器不属于固废，也不属于危险废物，因此不作为固体废物管理。</w:t>
            </w:r>
          </w:p>
          <w:p w14:paraId="460288C3">
            <w:pPr>
              <w:adjustRightInd w:val="0"/>
              <w:snapToGrid w:val="0"/>
              <w:spacing w:line="360" w:lineRule="auto"/>
              <w:ind w:firstLine="480" w:firstLineChars="200"/>
              <w:rPr>
                <w:color w:val="auto"/>
                <w:sz w:val="24"/>
              </w:rPr>
            </w:pPr>
            <w:r>
              <w:rPr>
                <w:color w:val="auto"/>
                <w:sz w:val="24"/>
              </w:rPr>
              <w:t>（</w:t>
            </w:r>
            <w:r>
              <w:rPr>
                <w:rFonts w:hint="eastAsia"/>
                <w:color w:val="auto"/>
                <w:sz w:val="24"/>
                <w:lang w:val="en-US" w:eastAsia="zh-CN"/>
              </w:rPr>
              <w:t>3</w:t>
            </w:r>
            <w:r>
              <w:rPr>
                <w:color w:val="auto"/>
                <w:sz w:val="24"/>
              </w:rPr>
              <w:t>）</w:t>
            </w:r>
            <w:r>
              <w:rPr>
                <w:rFonts w:hint="eastAsia"/>
                <w:color w:val="auto"/>
                <w:sz w:val="24"/>
              </w:rPr>
              <w:t>生活垃圾</w:t>
            </w:r>
          </w:p>
          <w:p w14:paraId="6A1FE337">
            <w:pPr>
              <w:adjustRightInd w:val="0"/>
              <w:snapToGrid w:val="0"/>
              <w:spacing w:line="360" w:lineRule="auto"/>
              <w:ind w:firstLine="480" w:firstLineChars="200"/>
              <w:rPr>
                <w:bCs/>
                <w:color w:val="auto"/>
                <w:spacing w:val="-10"/>
                <w:sz w:val="32"/>
                <w:szCs w:val="21"/>
              </w:rPr>
            </w:pPr>
            <w:r>
              <w:rPr>
                <w:color w:val="auto"/>
                <w:sz w:val="24"/>
              </w:rPr>
              <w:t>本项目定员1</w:t>
            </w:r>
            <w:r>
              <w:rPr>
                <w:rFonts w:hint="eastAsia"/>
                <w:color w:val="auto"/>
                <w:sz w:val="24"/>
                <w:lang w:val="en-US" w:eastAsia="zh-CN"/>
              </w:rPr>
              <w:t>2</w:t>
            </w:r>
            <w:r>
              <w:rPr>
                <w:color w:val="auto"/>
                <w:sz w:val="24"/>
              </w:rPr>
              <w:t>0人，年生产300天，生活垃圾产量按0.5kg/人•天计算，则年生活垃圾产量为1</w:t>
            </w:r>
            <w:r>
              <w:rPr>
                <w:rFonts w:hint="eastAsia"/>
                <w:color w:val="auto"/>
                <w:sz w:val="24"/>
                <w:lang w:val="en-US" w:eastAsia="zh-CN"/>
              </w:rPr>
              <w:t>8</w:t>
            </w:r>
            <w:r>
              <w:rPr>
                <w:color w:val="auto"/>
                <w:sz w:val="24"/>
              </w:rPr>
              <w:t>t/a。委托当地环卫部门统一清运处理。</w:t>
            </w:r>
          </w:p>
          <w:p w14:paraId="3FA4A203">
            <w:pPr>
              <w:pStyle w:val="40"/>
              <w:outlineLvl w:val="9"/>
              <w:rPr>
                <w:rFonts w:ascii="Times New Roman" w:hAnsi="Times New Roman" w:eastAsia="宋体" w:cs="Times New Roman"/>
                <w:color w:val="auto"/>
              </w:rPr>
            </w:pPr>
          </w:p>
          <w:p w14:paraId="6C46BDCF">
            <w:pPr>
              <w:pStyle w:val="40"/>
              <w:outlineLvl w:val="9"/>
              <w:rPr>
                <w:rFonts w:ascii="Times New Roman" w:hAnsi="Times New Roman" w:eastAsia="宋体" w:cs="Times New Roman"/>
                <w:color w:val="auto"/>
              </w:rPr>
            </w:pPr>
          </w:p>
          <w:p w14:paraId="2499C5FE">
            <w:pPr>
              <w:pStyle w:val="40"/>
              <w:outlineLvl w:val="9"/>
              <w:rPr>
                <w:rFonts w:ascii="Times New Roman" w:hAnsi="Times New Roman" w:eastAsia="宋体" w:cs="Times New Roman"/>
                <w:color w:val="auto"/>
              </w:rPr>
            </w:pPr>
          </w:p>
          <w:p w14:paraId="2FADE960">
            <w:pPr>
              <w:widowControl/>
              <w:autoSpaceDE w:val="0"/>
              <w:autoSpaceDN w:val="0"/>
              <w:adjustRightInd w:val="0"/>
              <w:snapToGrid w:val="0"/>
              <w:jc w:val="left"/>
              <w:rPr>
                <w:color w:val="auto"/>
                <w:kern w:val="0"/>
                <w:sz w:val="18"/>
                <w:szCs w:val="18"/>
              </w:rPr>
            </w:pPr>
          </w:p>
        </w:tc>
      </w:tr>
    </w:tbl>
    <w:p w14:paraId="5E198B24">
      <w:pPr>
        <w:adjustRightInd w:val="0"/>
        <w:snapToGrid w:val="0"/>
        <w:jc w:val="center"/>
        <w:rPr>
          <w:b/>
          <w:bCs/>
          <w:color w:val="auto"/>
          <w:sz w:val="24"/>
        </w:rPr>
        <w:sectPr>
          <w:pgSz w:w="16840" w:h="11907" w:orient="landscape"/>
          <w:pgMar w:top="1531" w:right="1701" w:bottom="1531" w:left="2126" w:header="851" w:footer="851" w:gutter="0"/>
          <w:pgBorders>
            <w:top w:val="none" w:sz="0" w:space="0"/>
            <w:left w:val="none" w:sz="0" w:space="0"/>
            <w:bottom w:val="none" w:sz="0" w:space="0"/>
            <w:right w:val="none" w:sz="0" w:space="0"/>
          </w:pgBorders>
          <w:cols w:space="720" w:num="1"/>
          <w:docGrid w:linePitch="312" w:charSpace="0"/>
        </w:sectPr>
      </w:pPr>
    </w:p>
    <w:tbl>
      <w:tblPr>
        <w:tblStyle w:val="3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97"/>
        <w:gridCol w:w="8684"/>
      </w:tblGrid>
      <w:tr w14:paraId="72F23A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01" w:hRule="atLeast"/>
          <w:jc w:val="center"/>
        </w:trPr>
        <w:tc>
          <w:tcPr>
            <w:tcW w:w="295" w:type="dxa"/>
            <w:tcMar>
              <w:left w:w="28" w:type="dxa"/>
              <w:right w:w="28" w:type="dxa"/>
            </w:tcMar>
            <w:vAlign w:val="center"/>
          </w:tcPr>
          <w:p w14:paraId="1913C333">
            <w:pPr>
              <w:adjustRightInd w:val="0"/>
              <w:snapToGrid w:val="0"/>
              <w:jc w:val="center"/>
              <w:rPr>
                <w:b/>
                <w:bCs/>
                <w:color w:val="auto"/>
                <w:sz w:val="24"/>
              </w:rPr>
            </w:pPr>
            <w:r>
              <w:rPr>
                <w:rFonts w:hAnsi="宋体"/>
                <w:b/>
                <w:bCs/>
                <w:color w:val="auto"/>
                <w:sz w:val="24"/>
              </w:rPr>
              <w:t>运营</w:t>
            </w:r>
          </w:p>
          <w:p w14:paraId="779BD6E5">
            <w:pPr>
              <w:adjustRightInd w:val="0"/>
              <w:snapToGrid w:val="0"/>
              <w:jc w:val="center"/>
              <w:rPr>
                <w:b/>
                <w:bCs/>
                <w:color w:val="auto"/>
                <w:sz w:val="24"/>
              </w:rPr>
            </w:pPr>
            <w:r>
              <w:rPr>
                <w:rFonts w:hAnsi="宋体"/>
                <w:b/>
                <w:bCs/>
                <w:color w:val="auto"/>
                <w:sz w:val="24"/>
              </w:rPr>
              <w:t>期环</w:t>
            </w:r>
          </w:p>
          <w:p w14:paraId="5B18A9D1">
            <w:pPr>
              <w:adjustRightInd w:val="0"/>
              <w:snapToGrid w:val="0"/>
              <w:jc w:val="center"/>
              <w:rPr>
                <w:b/>
                <w:bCs/>
                <w:color w:val="auto"/>
                <w:sz w:val="24"/>
              </w:rPr>
            </w:pPr>
            <w:r>
              <w:rPr>
                <w:rFonts w:hAnsi="宋体"/>
                <w:b/>
                <w:bCs/>
                <w:color w:val="auto"/>
                <w:sz w:val="24"/>
              </w:rPr>
              <w:t>境影</w:t>
            </w:r>
          </w:p>
          <w:p w14:paraId="4108292B">
            <w:pPr>
              <w:adjustRightInd w:val="0"/>
              <w:snapToGrid w:val="0"/>
              <w:jc w:val="center"/>
              <w:rPr>
                <w:b/>
                <w:bCs/>
                <w:color w:val="auto"/>
                <w:sz w:val="24"/>
              </w:rPr>
            </w:pPr>
            <w:r>
              <w:rPr>
                <w:rFonts w:hAnsi="宋体"/>
                <w:b/>
                <w:bCs/>
                <w:color w:val="auto"/>
                <w:sz w:val="24"/>
              </w:rPr>
              <w:t>响和</w:t>
            </w:r>
          </w:p>
          <w:p w14:paraId="7E4627AF">
            <w:pPr>
              <w:adjustRightInd w:val="0"/>
              <w:snapToGrid w:val="0"/>
              <w:jc w:val="center"/>
              <w:rPr>
                <w:b/>
                <w:bCs/>
                <w:color w:val="auto"/>
                <w:sz w:val="24"/>
              </w:rPr>
            </w:pPr>
            <w:r>
              <w:rPr>
                <w:rFonts w:hAnsi="宋体"/>
                <w:b/>
                <w:bCs/>
                <w:color w:val="auto"/>
                <w:sz w:val="24"/>
              </w:rPr>
              <w:t>保护</w:t>
            </w:r>
          </w:p>
          <w:p w14:paraId="7D761A07">
            <w:pPr>
              <w:adjustRightInd w:val="0"/>
              <w:snapToGrid w:val="0"/>
              <w:jc w:val="center"/>
              <w:rPr>
                <w:b/>
                <w:bCs/>
                <w:color w:val="auto"/>
                <w:sz w:val="24"/>
              </w:rPr>
            </w:pPr>
            <w:r>
              <w:rPr>
                <w:rFonts w:hAnsi="宋体"/>
                <w:b/>
                <w:bCs/>
                <w:color w:val="auto"/>
                <w:sz w:val="24"/>
              </w:rPr>
              <w:t>措施</w:t>
            </w:r>
          </w:p>
        </w:tc>
        <w:tc>
          <w:tcPr>
            <w:tcW w:w="8686" w:type="dxa"/>
            <w:vAlign w:val="center"/>
          </w:tcPr>
          <w:p w14:paraId="2A40397C">
            <w:pPr>
              <w:autoSpaceDE w:val="0"/>
              <w:autoSpaceDN w:val="0"/>
              <w:adjustRightInd w:val="0"/>
              <w:snapToGrid w:val="0"/>
              <w:spacing w:line="360" w:lineRule="auto"/>
              <w:ind w:firstLine="442" w:firstLineChars="200"/>
              <w:rPr>
                <w:rFonts w:eastAsiaTheme="minorEastAsia"/>
                <w:b/>
                <w:bCs/>
                <w:color w:val="auto"/>
                <w:spacing w:val="-10"/>
                <w:sz w:val="24"/>
              </w:rPr>
            </w:pPr>
            <w:r>
              <w:rPr>
                <w:rFonts w:eastAsiaTheme="minorEastAsia"/>
                <w:b/>
                <w:bCs/>
                <w:color w:val="auto"/>
                <w:spacing w:val="-10"/>
                <w:sz w:val="24"/>
              </w:rPr>
              <w:t>4.</w:t>
            </w:r>
            <w:r>
              <w:rPr>
                <w:rFonts w:hint="eastAsia" w:eastAsiaTheme="minorEastAsia"/>
                <w:b/>
                <w:bCs/>
                <w:color w:val="auto"/>
                <w:spacing w:val="-10"/>
                <w:sz w:val="24"/>
                <w:lang w:val="en-US" w:eastAsia="zh-CN"/>
              </w:rPr>
              <w:t>3</w:t>
            </w:r>
            <w:r>
              <w:rPr>
                <w:rFonts w:hAnsiTheme="minorEastAsia" w:eastAsiaTheme="minorEastAsia"/>
                <w:b/>
                <w:bCs/>
                <w:color w:val="auto"/>
                <w:spacing w:val="-10"/>
                <w:sz w:val="24"/>
              </w:rPr>
              <w:t>环境管理要求</w:t>
            </w:r>
          </w:p>
          <w:p w14:paraId="733E50F8">
            <w:pPr>
              <w:adjustRightInd w:val="0"/>
              <w:snapToGrid w:val="0"/>
              <w:spacing w:line="360" w:lineRule="auto"/>
              <w:ind w:firstLine="480" w:firstLineChars="200"/>
              <w:rPr>
                <w:color w:val="auto"/>
                <w:sz w:val="24"/>
              </w:rPr>
            </w:pPr>
            <w:r>
              <w:rPr>
                <w:color w:val="auto"/>
                <w:sz w:val="24"/>
              </w:rPr>
              <w:t>（1）包装及贮存场所防治措施</w:t>
            </w:r>
          </w:p>
          <w:p w14:paraId="129F6C19">
            <w:pPr>
              <w:adjustRightInd w:val="0"/>
              <w:snapToGrid w:val="0"/>
              <w:spacing w:line="360" w:lineRule="auto"/>
              <w:ind w:firstLine="480" w:firstLineChars="200"/>
              <w:rPr>
                <w:color w:val="auto"/>
                <w:sz w:val="24"/>
              </w:rPr>
            </w:pPr>
            <w:r>
              <w:rPr>
                <w:color w:val="auto"/>
                <w:sz w:val="24"/>
              </w:rPr>
              <w:t>根据《一般工业固体废物贮存和填埋污染控制标准》（GB18599-2020）、《环境保护图形标志—固体废物贮存（处置场）》（GB15562.2-1995）等规定要求，各类固体废物按照相关要求分类收集贮存。包装容器符合相关规定，与固体废物无任何反应，对固废无影响。</w:t>
            </w:r>
          </w:p>
          <w:p w14:paraId="12C1F537">
            <w:pPr>
              <w:adjustRightInd w:val="0"/>
              <w:snapToGrid w:val="0"/>
              <w:spacing w:line="360" w:lineRule="auto"/>
              <w:ind w:firstLine="480" w:firstLineChars="200"/>
              <w:rPr>
                <w:color w:val="auto"/>
                <w:sz w:val="24"/>
              </w:rPr>
            </w:pPr>
            <w:r>
              <w:rPr>
                <w:color w:val="auto"/>
                <w:sz w:val="24"/>
              </w:rPr>
              <w:t>一般固废暂存具体要求如下：</w:t>
            </w:r>
          </w:p>
          <w:p w14:paraId="2D9017C4">
            <w:pPr>
              <w:adjustRightInd w:val="0"/>
              <w:snapToGrid w:val="0"/>
              <w:spacing w:line="360" w:lineRule="auto"/>
              <w:ind w:firstLine="480" w:firstLineChars="200"/>
              <w:rPr>
                <w:color w:val="auto"/>
                <w:sz w:val="24"/>
              </w:rPr>
            </w:pPr>
            <w:r>
              <w:rPr>
                <w:color w:val="auto"/>
                <w:sz w:val="24"/>
              </w:rPr>
              <w:t>a.贮存、处置场的建设类型必须与将要堆放的一般工业固体废物的类别一致。</w:t>
            </w:r>
          </w:p>
          <w:p w14:paraId="7FAD54F0">
            <w:pPr>
              <w:adjustRightInd w:val="0"/>
              <w:snapToGrid w:val="0"/>
              <w:spacing w:line="360" w:lineRule="auto"/>
              <w:ind w:firstLine="480" w:firstLineChars="200"/>
              <w:rPr>
                <w:color w:val="auto"/>
                <w:sz w:val="24"/>
              </w:rPr>
            </w:pPr>
            <w:r>
              <w:rPr>
                <w:color w:val="auto"/>
                <w:sz w:val="24"/>
              </w:rPr>
              <w:t>b.加强监督管理，采取防火、防扬散、防雨、防流失措施，贮存、处置场应按GB1552.2设置环境保护图形标志。</w:t>
            </w:r>
          </w:p>
          <w:p w14:paraId="2A5EEB4B">
            <w:pPr>
              <w:adjustRightInd w:val="0"/>
              <w:snapToGrid w:val="0"/>
              <w:spacing w:line="360" w:lineRule="auto"/>
              <w:ind w:firstLine="480" w:firstLineChars="200"/>
              <w:rPr>
                <w:color w:val="auto"/>
              </w:rPr>
            </w:pPr>
            <w:r>
              <w:rPr>
                <w:color w:val="auto"/>
                <w:sz w:val="24"/>
                <w:lang w:val="zh-CN"/>
              </w:rPr>
              <w:t>因此，本项目固体废物贮存场所建设能够达到国家相关标准规定要求。</w:t>
            </w:r>
          </w:p>
          <w:p w14:paraId="525CD76B">
            <w:pPr>
              <w:adjustRightInd w:val="0"/>
              <w:snapToGrid w:val="0"/>
              <w:spacing w:line="360" w:lineRule="auto"/>
              <w:ind w:firstLine="480" w:firstLineChars="200"/>
              <w:rPr>
                <w:color w:val="auto"/>
                <w:sz w:val="24"/>
              </w:rPr>
            </w:pPr>
            <w:r>
              <w:rPr>
                <w:color w:val="auto"/>
                <w:sz w:val="24"/>
              </w:rPr>
              <w:t>（2）固体废物自行利用、处置分析</w:t>
            </w:r>
          </w:p>
          <w:p w14:paraId="5E3BFE62">
            <w:pPr>
              <w:adjustRightInd w:val="0"/>
              <w:snapToGrid w:val="0"/>
              <w:spacing w:line="360" w:lineRule="auto"/>
              <w:ind w:firstLine="480" w:firstLineChars="200"/>
              <w:rPr>
                <w:color w:val="auto"/>
                <w:sz w:val="24"/>
              </w:rPr>
            </w:pPr>
            <w:r>
              <w:rPr>
                <w:color w:val="auto"/>
                <w:sz w:val="24"/>
              </w:rPr>
              <w:t>本项目产生的固体废物无自行利用和处置的情况。</w:t>
            </w:r>
          </w:p>
          <w:p w14:paraId="03BA7905">
            <w:pPr>
              <w:adjustRightInd w:val="0"/>
              <w:snapToGrid w:val="0"/>
              <w:spacing w:line="360" w:lineRule="auto"/>
              <w:ind w:firstLine="480" w:firstLineChars="200"/>
              <w:rPr>
                <w:color w:val="auto"/>
                <w:sz w:val="24"/>
              </w:rPr>
            </w:pPr>
            <w:r>
              <w:rPr>
                <w:color w:val="auto"/>
                <w:sz w:val="24"/>
              </w:rPr>
              <w:t>（3）固体废物委托处置分析</w:t>
            </w:r>
          </w:p>
          <w:p w14:paraId="3E2A5FBA">
            <w:pPr>
              <w:autoSpaceDE w:val="0"/>
              <w:autoSpaceDN w:val="0"/>
              <w:adjustRightInd w:val="0"/>
              <w:spacing w:line="360" w:lineRule="auto"/>
              <w:ind w:firstLine="480" w:firstLineChars="200"/>
              <w:rPr>
                <w:color w:val="auto"/>
                <w:sz w:val="24"/>
              </w:rPr>
            </w:pPr>
            <w:r>
              <w:rPr>
                <w:color w:val="auto"/>
                <w:sz w:val="24"/>
              </w:rPr>
              <w:t>本项目</w:t>
            </w:r>
            <w:r>
              <w:rPr>
                <w:rFonts w:hint="eastAsia"/>
                <w:color w:val="auto"/>
                <w:sz w:val="24"/>
              </w:rPr>
              <w:t>不产生危险废物，无需委托处置。</w:t>
            </w:r>
          </w:p>
          <w:p w14:paraId="7C548E99">
            <w:pPr>
              <w:adjustRightInd w:val="0"/>
              <w:snapToGrid w:val="0"/>
              <w:spacing w:line="360" w:lineRule="auto"/>
              <w:ind w:firstLine="482" w:firstLineChars="200"/>
              <w:rPr>
                <w:b/>
                <w:color w:val="auto"/>
                <w:sz w:val="24"/>
              </w:rPr>
            </w:pPr>
            <w:r>
              <w:rPr>
                <w:b/>
                <w:color w:val="auto"/>
                <w:sz w:val="24"/>
              </w:rPr>
              <w:t>固体废物管理措施</w:t>
            </w:r>
          </w:p>
          <w:p w14:paraId="340ED5EA">
            <w:pPr>
              <w:autoSpaceDE w:val="0"/>
              <w:autoSpaceDN w:val="0"/>
              <w:adjustRightInd w:val="0"/>
              <w:spacing w:line="360" w:lineRule="auto"/>
              <w:ind w:firstLine="480" w:firstLineChars="200"/>
              <w:rPr>
                <w:color w:val="auto"/>
                <w:sz w:val="24"/>
              </w:rPr>
            </w:pPr>
            <w:r>
              <w:rPr>
                <w:color w:val="auto"/>
                <w:sz w:val="24"/>
              </w:rPr>
              <w:t>项目建设单位根据《中华人民共和国固体废物污染环境防治法》（2020年4月修订）中有关规定，对其固废收集、贮存、运输和处置做好妥善处理。同时场地应严格执行《一般工业固体废物贮存和填埋污染控制标准》（GB18599-2020）有关规定，设置防雨、防扬散、防流失、防渗透等措施。本项目设置144m</w:t>
            </w:r>
            <w:r>
              <w:rPr>
                <w:color w:val="auto"/>
                <w:sz w:val="24"/>
                <w:vertAlign w:val="superscript"/>
              </w:rPr>
              <w:t>2</w:t>
            </w:r>
            <w:r>
              <w:rPr>
                <w:color w:val="auto"/>
                <w:sz w:val="24"/>
              </w:rPr>
              <w:t>一般固体废物仓库一座。</w:t>
            </w:r>
          </w:p>
          <w:p w14:paraId="756DB749">
            <w:pPr>
              <w:wordWrap w:val="0"/>
              <w:spacing w:line="360" w:lineRule="auto"/>
              <w:ind w:firstLine="480" w:firstLineChars="200"/>
              <w:rPr>
                <w:color w:val="auto"/>
                <w:sz w:val="24"/>
              </w:rPr>
            </w:pPr>
            <w:r>
              <w:rPr>
                <w:color w:val="auto"/>
                <w:sz w:val="24"/>
              </w:rPr>
              <w:t>（1）分类收集</w:t>
            </w:r>
          </w:p>
          <w:p w14:paraId="753F804B">
            <w:pPr>
              <w:spacing w:line="360" w:lineRule="auto"/>
              <w:ind w:firstLine="480" w:firstLineChars="200"/>
              <w:rPr>
                <w:color w:val="auto"/>
                <w:sz w:val="24"/>
              </w:rPr>
            </w:pPr>
            <w:r>
              <w:rPr>
                <w:color w:val="auto"/>
                <w:sz w:val="24"/>
                <w:szCs w:val="28"/>
              </w:rPr>
              <w:t>本</w:t>
            </w:r>
            <w:r>
              <w:rPr>
                <w:rFonts w:hint="eastAsia"/>
                <w:color w:val="auto"/>
                <w:sz w:val="24"/>
                <w:szCs w:val="28"/>
                <w:lang w:eastAsia="zh-CN"/>
              </w:rPr>
              <w:t>项目</w:t>
            </w:r>
            <w:r>
              <w:rPr>
                <w:color w:val="auto"/>
                <w:sz w:val="24"/>
                <w:szCs w:val="28"/>
              </w:rPr>
              <w:t>产生的一般工业固废包括</w:t>
            </w:r>
            <w:r>
              <w:rPr>
                <w:rFonts w:hint="eastAsia"/>
                <w:color w:val="auto"/>
                <w:sz w:val="24"/>
                <w:szCs w:val="28"/>
              </w:rPr>
              <w:t>废</w:t>
            </w:r>
            <w:r>
              <w:rPr>
                <w:rFonts w:hint="eastAsia"/>
                <w:color w:val="auto"/>
                <w:sz w:val="24"/>
                <w:szCs w:val="28"/>
                <w:lang w:eastAsia="zh-CN"/>
              </w:rPr>
              <w:t>原料</w:t>
            </w:r>
            <w:r>
              <w:rPr>
                <w:rFonts w:hint="eastAsia"/>
                <w:color w:val="auto"/>
                <w:sz w:val="24"/>
                <w:szCs w:val="28"/>
              </w:rPr>
              <w:t>、废包装材</w:t>
            </w:r>
            <w:r>
              <w:rPr>
                <w:rFonts w:hint="eastAsia"/>
                <w:color w:val="auto"/>
                <w:sz w:val="24"/>
                <w:szCs w:val="28"/>
                <w:lang w:eastAsia="zh-CN"/>
              </w:rPr>
              <w:t>料</w:t>
            </w:r>
            <w:r>
              <w:rPr>
                <w:color w:val="auto"/>
                <w:sz w:val="24"/>
              </w:rPr>
              <w:t>分类收集，</w:t>
            </w:r>
            <w:r>
              <w:rPr>
                <w:rFonts w:hint="eastAsia"/>
                <w:color w:val="auto"/>
                <w:sz w:val="24"/>
              </w:rPr>
              <w:t>废包装材料</w:t>
            </w:r>
            <w:r>
              <w:rPr>
                <w:rFonts w:hint="eastAsia"/>
                <w:color w:val="auto"/>
                <w:sz w:val="24"/>
                <w:lang w:eastAsia="zh-CN"/>
              </w:rPr>
              <w:t>外</w:t>
            </w:r>
            <w:r>
              <w:rPr>
                <w:color w:val="auto"/>
                <w:sz w:val="24"/>
              </w:rPr>
              <w:t>售综合利用，</w:t>
            </w:r>
            <w:r>
              <w:rPr>
                <w:rFonts w:hint="eastAsia"/>
                <w:color w:val="auto"/>
                <w:sz w:val="24"/>
              </w:rPr>
              <w:t>废</w:t>
            </w:r>
            <w:r>
              <w:rPr>
                <w:rFonts w:hint="eastAsia"/>
                <w:color w:val="auto"/>
                <w:sz w:val="24"/>
                <w:lang w:eastAsia="zh-CN"/>
              </w:rPr>
              <w:t>原料</w:t>
            </w:r>
            <w:r>
              <w:rPr>
                <w:color w:val="auto"/>
                <w:sz w:val="24"/>
              </w:rPr>
              <w:t>生活垃圾则由环卫部门定期收集处理。</w:t>
            </w:r>
          </w:p>
          <w:p w14:paraId="255D4028">
            <w:pPr>
              <w:spacing w:line="360" w:lineRule="auto"/>
              <w:ind w:firstLine="480" w:firstLineChars="200"/>
              <w:rPr>
                <w:b/>
                <w:color w:val="auto"/>
                <w:sz w:val="24"/>
              </w:rPr>
            </w:pPr>
            <w:r>
              <w:rPr>
                <w:color w:val="auto"/>
                <w:sz w:val="24"/>
              </w:rPr>
              <w:t>（2）一般固废处置可行性分析</w:t>
            </w:r>
          </w:p>
          <w:p w14:paraId="49B9F37C">
            <w:pPr>
              <w:spacing w:line="360" w:lineRule="auto"/>
              <w:ind w:firstLine="480" w:firstLineChars="200"/>
              <w:rPr>
                <w:bCs/>
                <w:color w:val="auto"/>
                <w:sz w:val="24"/>
              </w:rPr>
            </w:pPr>
            <w:r>
              <w:rPr>
                <w:rFonts w:hint="eastAsia"/>
                <w:bCs/>
                <w:color w:val="auto"/>
                <w:sz w:val="24"/>
                <w:lang w:eastAsia="zh-CN"/>
              </w:rPr>
              <w:t>扩建项目一般固废产生量为</w:t>
            </w:r>
            <w:r>
              <w:rPr>
                <w:rFonts w:hint="eastAsia"/>
                <w:bCs/>
                <w:color w:val="auto"/>
                <w:sz w:val="24"/>
                <w:lang w:val="en-US" w:eastAsia="zh-CN"/>
              </w:rPr>
              <w:t>27.5t/a，现有</w:t>
            </w:r>
            <w:r>
              <w:rPr>
                <w:bCs/>
                <w:color w:val="auto"/>
                <w:sz w:val="24"/>
              </w:rPr>
              <w:t>项目一般固废产生量为2935.4602t/a，</w:t>
            </w:r>
            <w:r>
              <w:rPr>
                <w:rFonts w:hint="eastAsia"/>
                <w:bCs/>
                <w:color w:val="auto"/>
                <w:sz w:val="24"/>
                <w:lang w:eastAsia="zh-CN"/>
              </w:rPr>
              <w:t>合计</w:t>
            </w:r>
            <w:r>
              <w:rPr>
                <w:rFonts w:hint="eastAsia"/>
                <w:bCs/>
                <w:color w:val="auto"/>
                <w:sz w:val="24"/>
                <w:lang w:val="en-US" w:eastAsia="zh-CN"/>
              </w:rPr>
              <w:t>2962.9602t/a。</w:t>
            </w:r>
            <w:r>
              <w:rPr>
                <w:bCs/>
                <w:color w:val="auto"/>
                <w:sz w:val="24"/>
              </w:rPr>
              <w:t>统一收集后出售</w:t>
            </w:r>
            <w:r>
              <w:rPr>
                <w:rFonts w:hint="eastAsia"/>
                <w:bCs/>
                <w:color w:val="auto"/>
                <w:sz w:val="24"/>
              </w:rPr>
              <w:t>或环卫清运</w:t>
            </w:r>
            <w:r>
              <w:rPr>
                <w:bCs/>
                <w:color w:val="auto"/>
                <w:sz w:val="24"/>
              </w:rPr>
              <w:t>，周转周期为每周一次。本项目一般固废仓库为144m</w:t>
            </w:r>
            <w:r>
              <w:rPr>
                <w:bCs/>
                <w:color w:val="auto"/>
                <w:sz w:val="24"/>
                <w:vertAlign w:val="superscript"/>
              </w:rPr>
              <w:t>2</w:t>
            </w:r>
            <w:r>
              <w:rPr>
                <w:bCs/>
                <w:color w:val="auto"/>
                <w:sz w:val="24"/>
              </w:rPr>
              <w:t>，可以满足固废堆放需要，因此本项目一般固废仓库面积满足需求，是可行的。</w:t>
            </w:r>
          </w:p>
          <w:p w14:paraId="15F1564B">
            <w:pPr>
              <w:adjustRightInd w:val="0"/>
              <w:snapToGrid w:val="0"/>
              <w:spacing w:line="360" w:lineRule="auto"/>
              <w:ind w:firstLine="480" w:firstLineChars="200"/>
              <w:rPr>
                <w:color w:val="auto"/>
                <w:sz w:val="32"/>
              </w:rPr>
            </w:pPr>
            <w:r>
              <w:rPr>
                <w:bCs/>
                <w:color w:val="auto"/>
                <w:sz w:val="24"/>
              </w:rPr>
              <w:t>一般固废暂存具体要求如下：</w:t>
            </w:r>
          </w:p>
          <w:p w14:paraId="3C859E42">
            <w:pPr>
              <w:spacing w:line="360" w:lineRule="auto"/>
              <w:ind w:firstLine="480" w:firstLineChars="200"/>
              <w:rPr>
                <w:bCs/>
                <w:color w:val="auto"/>
                <w:sz w:val="24"/>
              </w:rPr>
            </w:pPr>
            <w:r>
              <w:rPr>
                <w:bCs/>
                <w:color w:val="auto"/>
                <w:sz w:val="24"/>
              </w:rPr>
              <w:fldChar w:fldCharType="begin"/>
            </w:r>
            <w:r>
              <w:rPr>
                <w:bCs/>
                <w:color w:val="auto"/>
                <w:sz w:val="24"/>
              </w:rPr>
              <w:instrText xml:space="preserve"> = 1 \* GB3 </w:instrText>
            </w:r>
            <w:r>
              <w:rPr>
                <w:bCs/>
                <w:color w:val="auto"/>
                <w:sz w:val="24"/>
              </w:rPr>
              <w:fldChar w:fldCharType="separate"/>
            </w:r>
            <w:r>
              <w:rPr>
                <w:rFonts w:hint="eastAsia" w:ascii="宋体" w:hAnsi="宋体" w:cs="宋体"/>
                <w:bCs/>
                <w:color w:val="auto"/>
                <w:sz w:val="24"/>
              </w:rPr>
              <w:t>①</w:t>
            </w:r>
            <w:r>
              <w:rPr>
                <w:bCs/>
                <w:color w:val="auto"/>
                <w:sz w:val="24"/>
              </w:rPr>
              <w:fldChar w:fldCharType="end"/>
            </w:r>
            <w:r>
              <w:rPr>
                <w:bCs/>
                <w:color w:val="auto"/>
                <w:sz w:val="24"/>
              </w:rPr>
              <w:t>贮存、处置场的建设类型必须与将要堆放的一般工业固体废物的类别一致。</w:t>
            </w:r>
          </w:p>
          <w:p w14:paraId="59E68971">
            <w:pPr>
              <w:spacing w:line="360" w:lineRule="auto"/>
              <w:ind w:firstLine="480" w:firstLineChars="200"/>
              <w:rPr>
                <w:bCs/>
                <w:color w:val="auto"/>
                <w:sz w:val="24"/>
              </w:rPr>
            </w:pPr>
            <w:r>
              <w:rPr>
                <w:bCs/>
                <w:color w:val="auto"/>
                <w:sz w:val="24"/>
              </w:rPr>
              <w:fldChar w:fldCharType="begin"/>
            </w:r>
            <w:r>
              <w:rPr>
                <w:bCs/>
                <w:color w:val="auto"/>
                <w:sz w:val="24"/>
              </w:rPr>
              <w:instrText xml:space="preserve"> = 2 \* GB3 </w:instrText>
            </w:r>
            <w:r>
              <w:rPr>
                <w:bCs/>
                <w:color w:val="auto"/>
                <w:sz w:val="24"/>
              </w:rPr>
              <w:fldChar w:fldCharType="separate"/>
            </w:r>
            <w:r>
              <w:rPr>
                <w:rFonts w:hint="eastAsia" w:ascii="宋体" w:hAnsi="宋体" w:cs="宋体"/>
                <w:bCs/>
                <w:color w:val="auto"/>
                <w:sz w:val="24"/>
              </w:rPr>
              <w:t>②</w:t>
            </w:r>
            <w:r>
              <w:rPr>
                <w:bCs/>
                <w:color w:val="auto"/>
                <w:sz w:val="24"/>
              </w:rPr>
              <w:fldChar w:fldCharType="end"/>
            </w:r>
            <w:r>
              <w:rPr>
                <w:bCs/>
                <w:color w:val="auto"/>
                <w:sz w:val="24"/>
              </w:rPr>
              <w:t>加强监督管理，采取防火、防扬散、防雨、防流失措施，贮存、处置场应按GB1552.2设置环境保护图形标志。</w:t>
            </w:r>
          </w:p>
          <w:p w14:paraId="116E27B3">
            <w:pPr>
              <w:adjustRightInd w:val="0"/>
              <w:snapToGrid w:val="0"/>
              <w:spacing w:line="360" w:lineRule="auto"/>
              <w:ind w:firstLine="480" w:firstLineChars="200"/>
              <w:rPr>
                <w:bCs/>
                <w:color w:val="auto"/>
                <w:sz w:val="24"/>
              </w:rPr>
            </w:pPr>
            <w:r>
              <w:rPr>
                <w:bCs/>
                <w:color w:val="auto"/>
                <w:sz w:val="24"/>
              </w:rPr>
              <w:t>综上所述，本项目一般固废处理措施是切实可行的，能够使一般固废得到妥善处置，不会对周边环境产生二次污染。</w:t>
            </w:r>
          </w:p>
          <w:p w14:paraId="7BF0CD51">
            <w:pPr>
              <w:adjustRightInd w:val="0"/>
              <w:snapToGrid w:val="0"/>
              <w:spacing w:line="360" w:lineRule="auto"/>
              <w:ind w:firstLine="482" w:firstLineChars="200"/>
              <w:rPr>
                <w:b/>
                <w:color w:val="auto"/>
                <w:sz w:val="24"/>
              </w:rPr>
            </w:pPr>
            <w:r>
              <w:rPr>
                <w:rFonts w:hint="eastAsia"/>
                <w:b/>
                <w:color w:val="auto"/>
                <w:sz w:val="24"/>
                <w:lang w:val="en-US" w:eastAsia="zh-CN"/>
              </w:rPr>
              <w:t>4.4</w:t>
            </w:r>
            <w:r>
              <w:rPr>
                <w:b/>
                <w:color w:val="auto"/>
                <w:sz w:val="24"/>
              </w:rPr>
              <w:t>结论与建议</w:t>
            </w:r>
          </w:p>
          <w:p w14:paraId="69A57256">
            <w:pPr>
              <w:adjustRightInd w:val="0"/>
              <w:snapToGrid w:val="0"/>
              <w:spacing w:line="360" w:lineRule="auto"/>
              <w:ind w:firstLine="480" w:firstLineChars="200"/>
              <w:rPr>
                <w:color w:val="auto"/>
                <w:sz w:val="32"/>
              </w:rPr>
            </w:pPr>
            <w:r>
              <w:rPr>
                <w:color w:val="auto"/>
                <w:sz w:val="24"/>
              </w:rPr>
              <w:t>综上所述，本项目所产生的固体废物通过以上方法处理处置后，将不会对周围的环境产生影响，亦不会造成二次污染。但必须指出的是，固体废物处理处置前在厂内的堆放、贮存场所应按照国家固体废物贮存有关要求设置，避免其对周围环境产生二次污染。通过以上措施，建设项目产生的固体废物均得到了妥善处置和利用，对外环境的影响可减至</w:t>
            </w:r>
            <w:r>
              <w:rPr>
                <w:rFonts w:hint="eastAsia"/>
                <w:color w:val="auto"/>
                <w:sz w:val="24"/>
                <w:lang w:eastAsia="zh-CN"/>
              </w:rPr>
              <w:t>最低程度</w:t>
            </w:r>
            <w:r>
              <w:rPr>
                <w:color w:val="auto"/>
                <w:sz w:val="24"/>
              </w:rPr>
              <w:t>。</w:t>
            </w:r>
          </w:p>
          <w:p w14:paraId="0D6B47F1">
            <w:pPr>
              <w:widowControl/>
              <w:autoSpaceDE w:val="0"/>
              <w:autoSpaceDN w:val="0"/>
              <w:adjustRightInd w:val="0"/>
              <w:snapToGrid w:val="0"/>
              <w:spacing w:line="360" w:lineRule="auto"/>
              <w:ind w:firstLine="482" w:firstLineChars="200"/>
              <w:jc w:val="left"/>
              <w:rPr>
                <w:b/>
                <w:color w:val="auto"/>
                <w:kern w:val="0"/>
                <w:sz w:val="24"/>
              </w:rPr>
            </w:pPr>
            <w:r>
              <w:rPr>
                <w:rFonts w:hint="eastAsia"/>
                <w:b/>
                <w:color w:val="auto"/>
                <w:kern w:val="0"/>
                <w:sz w:val="24"/>
                <w:lang w:val="en-US" w:eastAsia="zh-CN"/>
              </w:rPr>
              <w:t>5</w:t>
            </w:r>
            <w:r>
              <w:rPr>
                <w:rFonts w:hAnsi="宋体"/>
                <w:b/>
                <w:color w:val="auto"/>
                <w:kern w:val="0"/>
                <w:sz w:val="24"/>
              </w:rPr>
              <w:t>地下水、土壤</w:t>
            </w:r>
          </w:p>
          <w:p w14:paraId="0EF63813">
            <w:pPr>
              <w:adjustRightInd w:val="0"/>
              <w:snapToGrid w:val="0"/>
              <w:spacing w:line="360" w:lineRule="auto"/>
              <w:ind w:firstLine="482" w:firstLineChars="200"/>
              <w:rPr>
                <w:b/>
                <w:color w:val="auto"/>
                <w:sz w:val="24"/>
              </w:rPr>
            </w:pPr>
            <w:r>
              <w:rPr>
                <w:rFonts w:hint="eastAsia"/>
                <w:b/>
                <w:color w:val="auto"/>
                <w:sz w:val="24"/>
                <w:lang w:val="en-US" w:eastAsia="zh-CN"/>
              </w:rPr>
              <w:t>5.</w:t>
            </w:r>
            <w:r>
              <w:rPr>
                <w:b/>
                <w:color w:val="auto"/>
                <w:sz w:val="24"/>
              </w:rPr>
              <w:t>1</w:t>
            </w:r>
            <w:r>
              <w:rPr>
                <w:rFonts w:hAnsi="宋体"/>
                <w:b/>
                <w:color w:val="auto"/>
                <w:sz w:val="24"/>
              </w:rPr>
              <w:t>地下水、土壤环境影响分析</w:t>
            </w:r>
          </w:p>
          <w:p w14:paraId="7BAE754C">
            <w:pPr>
              <w:wordWrap w:val="0"/>
              <w:adjustRightInd w:val="0"/>
              <w:snapToGrid w:val="0"/>
              <w:spacing w:line="360" w:lineRule="auto"/>
              <w:ind w:firstLine="480" w:firstLineChars="200"/>
              <w:rPr>
                <w:color w:val="auto"/>
                <w:sz w:val="24"/>
                <w:szCs w:val="28"/>
              </w:rPr>
            </w:pPr>
            <w:r>
              <w:rPr>
                <w:color w:val="auto"/>
                <w:sz w:val="24"/>
                <w:szCs w:val="28"/>
              </w:rPr>
              <w:t>根据项目工程分析可知，</w:t>
            </w:r>
            <w:r>
              <w:rPr>
                <w:rFonts w:hint="eastAsia"/>
                <w:color w:val="auto"/>
                <w:sz w:val="24"/>
                <w:szCs w:val="28"/>
              </w:rPr>
              <w:t>本</w:t>
            </w:r>
            <w:r>
              <w:rPr>
                <w:color w:val="auto"/>
                <w:sz w:val="24"/>
                <w:szCs w:val="28"/>
              </w:rPr>
              <w:t>项目</w:t>
            </w:r>
            <w:r>
              <w:rPr>
                <w:rFonts w:hint="eastAsia"/>
                <w:color w:val="auto"/>
                <w:sz w:val="24"/>
                <w:szCs w:val="28"/>
              </w:rPr>
              <w:t>污染影响途径主要为大气沉降、垂直入渗。</w:t>
            </w:r>
          </w:p>
          <w:p w14:paraId="69EAFBC8">
            <w:pPr>
              <w:adjustRightInd w:val="0"/>
              <w:snapToGrid w:val="0"/>
              <w:spacing w:line="360" w:lineRule="auto"/>
              <w:ind w:firstLine="480" w:firstLineChars="200"/>
              <w:rPr>
                <w:color w:val="auto"/>
                <w:sz w:val="24"/>
              </w:rPr>
            </w:pPr>
            <w:r>
              <w:rPr>
                <w:color w:val="auto"/>
                <w:sz w:val="24"/>
              </w:rPr>
              <w:t>（1）废气</w:t>
            </w:r>
          </w:p>
          <w:p w14:paraId="475636BB">
            <w:pPr>
              <w:adjustRightInd w:val="0"/>
              <w:snapToGrid w:val="0"/>
              <w:spacing w:line="360" w:lineRule="auto"/>
              <w:ind w:firstLine="480" w:firstLineChars="200"/>
              <w:rPr>
                <w:color w:val="auto"/>
                <w:sz w:val="24"/>
              </w:rPr>
            </w:pPr>
            <w:r>
              <w:rPr>
                <w:color w:val="auto"/>
                <w:sz w:val="24"/>
              </w:rPr>
              <w:t>本项目主要废气</w:t>
            </w:r>
            <w:r>
              <w:rPr>
                <w:rFonts w:hint="eastAsia"/>
                <w:color w:val="auto"/>
                <w:sz w:val="24"/>
              </w:rPr>
              <w:t>污染因子有非甲烷总烃（乙醇）。主要考虑大气沉降对土壤和地下水的影响。</w:t>
            </w:r>
          </w:p>
          <w:p w14:paraId="7319EB2C">
            <w:pPr>
              <w:autoSpaceDE w:val="0"/>
              <w:autoSpaceDN w:val="0"/>
              <w:adjustRightInd w:val="0"/>
              <w:spacing w:line="360" w:lineRule="auto"/>
              <w:ind w:firstLine="480" w:firstLineChars="200"/>
              <w:rPr>
                <w:color w:val="auto"/>
                <w:sz w:val="24"/>
              </w:rPr>
            </w:pPr>
            <w:r>
              <w:rPr>
                <w:color w:val="auto"/>
                <w:sz w:val="24"/>
              </w:rPr>
              <w:t>（2）废水</w:t>
            </w:r>
          </w:p>
          <w:p w14:paraId="002E6AED">
            <w:pPr>
              <w:autoSpaceDE w:val="0"/>
              <w:autoSpaceDN w:val="0"/>
              <w:adjustRightInd w:val="0"/>
              <w:spacing w:line="360" w:lineRule="auto"/>
              <w:ind w:firstLine="480" w:firstLineChars="200"/>
              <w:rPr>
                <w:color w:val="auto"/>
                <w:sz w:val="24"/>
              </w:rPr>
            </w:pPr>
            <w:r>
              <w:rPr>
                <w:color w:val="auto"/>
                <w:sz w:val="24"/>
              </w:rPr>
              <w:t>本项目</w:t>
            </w:r>
            <w:r>
              <w:rPr>
                <w:rFonts w:hint="eastAsia"/>
                <w:color w:val="auto"/>
                <w:sz w:val="24"/>
              </w:rPr>
              <w:t>危险品库属于重点防渗区，乙醇泄漏可能通过垂直入渗对土壤和地下水环境产生影响。</w:t>
            </w:r>
          </w:p>
          <w:p w14:paraId="3C28442F">
            <w:pPr>
              <w:adjustRightInd w:val="0"/>
              <w:snapToGrid w:val="0"/>
              <w:spacing w:line="360" w:lineRule="auto"/>
              <w:ind w:firstLine="480" w:firstLineChars="200"/>
              <w:rPr>
                <w:color w:val="auto"/>
                <w:sz w:val="24"/>
              </w:rPr>
            </w:pPr>
            <w:r>
              <w:rPr>
                <w:rFonts w:hAnsi="宋体"/>
                <w:color w:val="auto"/>
                <w:sz w:val="24"/>
              </w:rPr>
              <w:t>本项目建成后运营过程中涉及的地下水、土壤环境影响途径主要为危险</w:t>
            </w:r>
            <w:r>
              <w:rPr>
                <w:rFonts w:hint="eastAsia" w:hAnsi="宋体"/>
                <w:color w:val="auto"/>
                <w:sz w:val="24"/>
                <w:lang w:eastAsia="zh-CN"/>
              </w:rPr>
              <w:t>品仓库</w:t>
            </w:r>
            <w:r>
              <w:rPr>
                <w:rFonts w:hAnsi="宋体"/>
                <w:color w:val="auto"/>
                <w:sz w:val="24"/>
              </w:rPr>
              <w:t>。</w:t>
            </w:r>
          </w:p>
          <w:p w14:paraId="474E7A9C">
            <w:pPr>
              <w:adjustRightInd w:val="0"/>
              <w:snapToGrid w:val="0"/>
              <w:jc w:val="center"/>
              <w:rPr>
                <w:rFonts w:hAnsi="宋体"/>
                <w:b/>
                <w:color w:val="auto"/>
                <w:sz w:val="24"/>
              </w:rPr>
            </w:pPr>
          </w:p>
          <w:p w14:paraId="6D519EBE">
            <w:pPr>
              <w:adjustRightInd w:val="0"/>
              <w:snapToGrid w:val="0"/>
              <w:jc w:val="center"/>
              <w:rPr>
                <w:rFonts w:hAnsi="宋体"/>
                <w:b/>
                <w:color w:val="auto"/>
                <w:sz w:val="24"/>
              </w:rPr>
            </w:pPr>
          </w:p>
          <w:p w14:paraId="7227EA7C">
            <w:pPr>
              <w:adjustRightInd w:val="0"/>
              <w:snapToGrid w:val="0"/>
              <w:jc w:val="center"/>
              <w:rPr>
                <w:rFonts w:hAnsi="宋体"/>
                <w:b/>
                <w:color w:val="auto"/>
                <w:sz w:val="24"/>
              </w:rPr>
            </w:pPr>
          </w:p>
          <w:p w14:paraId="28036898">
            <w:pPr>
              <w:adjustRightInd w:val="0"/>
              <w:snapToGrid w:val="0"/>
              <w:jc w:val="center"/>
              <w:rPr>
                <w:rFonts w:hAnsi="宋体"/>
                <w:b/>
                <w:color w:val="auto"/>
                <w:sz w:val="24"/>
              </w:rPr>
            </w:pPr>
          </w:p>
          <w:p w14:paraId="40D0AF79">
            <w:pPr>
              <w:adjustRightInd w:val="0"/>
              <w:snapToGrid w:val="0"/>
              <w:jc w:val="center"/>
              <w:rPr>
                <w:color w:val="auto"/>
                <w:sz w:val="24"/>
              </w:rPr>
            </w:pPr>
            <w:r>
              <w:rPr>
                <w:rFonts w:hAnsi="宋体"/>
                <w:b/>
                <w:color w:val="auto"/>
                <w:sz w:val="24"/>
              </w:rPr>
              <w:t>表</w:t>
            </w:r>
            <w:r>
              <w:rPr>
                <w:rFonts w:hint="eastAsia"/>
                <w:b/>
                <w:bCs/>
                <w:color w:val="auto"/>
                <w:sz w:val="24"/>
                <w:lang w:val="en-US" w:eastAsia="zh-CN" w:bidi="en-US"/>
              </w:rPr>
              <w:t>4-22</w:t>
            </w:r>
            <w:r>
              <w:rPr>
                <w:rFonts w:hint="eastAsia" w:hAnsi="宋体"/>
                <w:b/>
                <w:color w:val="auto"/>
                <w:kern w:val="0"/>
                <w:sz w:val="24"/>
                <w:szCs w:val="20"/>
                <w:lang w:eastAsia="zh-CN"/>
              </w:rPr>
              <w:t>扩建项</w:t>
            </w:r>
            <w:r>
              <w:rPr>
                <w:rFonts w:hAnsi="宋体"/>
                <w:b/>
                <w:color w:val="auto"/>
                <w:sz w:val="24"/>
              </w:rPr>
              <w:t>目分区防控措施一览表</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28" w:type="dxa"/>
                <w:bottom w:w="0" w:type="dxa"/>
                <w:right w:w="28" w:type="dxa"/>
              </w:tblCellMar>
            </w:tblPr>
            <w:tblGrid>
              <w:gridCol w:w="1107"/>
              <w:gridCol w:w="1644"/>
              <w:gridCol w:w="956"/>
              <w:gridCol w:w="956"/>
              <w:gridCol w:w="687"/>
              <w:gridCol w:w="1641"/>
              <w:gridCol w:w="1477"/>
            </w:tblGrid>
            <w:tr w14:paraId="7AE80F4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1150" w:type="dxa"/>
                  <w:tcBorders>
                    <w:top w:val="single" w:color="auto" w:sz="12" w:space="0"/>
                    <w:bottom w:val="single" w:color="auto" w:sz="12" w:space="0"/>
                  </w:tcBorders>
                  <w:vAlign w:val="center"/>
                </w:tcPr>
                <w:p w14:paraId="09796877">
                  <w:pPr>
                    <w:pStyle w:val="122"/>
                    <w:adjustRightInd w:val="0"/>
                    <w:snapToGrid w:val="0"/>
                    <w:rPr>
                      <w:b/>
                      <w:color w:val="auto"/>
                      <w:sz w:val="21"/>
                      <w:szCs w:val="21"/>
                    </w:rPr>
                  </w:pPr>
                  <w:r>
                    <w:rPr>
                      <w:b/>
                      <w:color w:val="auto"/>
                      <w:sz w:val="21"/>
                      <w:szCs w:val="21"/>
                    </w:rPr>
                    <w:t>防渗分区</w:t>
                  </w:r>
                </w:p>
              </w:tc>
              <w:tc>
                <w:tcPr>
                  <w:tcW w:w="1704" w:type="dxa"/>
                  <w:tcBorders>
                    <w:top w:val="single" w:color="auto" w:sz="12" w:space="0"/>
                    <w:bottom w:val="single" w:color="auto" w:sz="12" w:space="0"/>
                  </w:tcBorders>
                  <w:vAlign w:val="center"/>
                </w:tcPr>
                <w:p w14:paraId="74846B3C">
                  <w:pPr>
                    <w:pStyle w:val="122"/>
                    <w:adjustRightInd w:val="0"/>
                    <w:snapToGrid w:val="0"/>
                    <w:rPr>
                      <w:b/>
                      <w:color w:val="auto"/>
                      <w:sz w:val="21"/>
                      <w:szCs w:val="21"/>
                    </w:rPr>
                  </w:pPr>
                  <w:r>
                    <w:rPr>
                      <w:b/>
                      <w:color w:val="auto"/>
                      <w:sz w:val="21"/>
                      <w:szCs w:val="21"/>
                    </w:rPr>
                    <w:t>定义</w:t>
                  </w:r>
                </w:p>
              </w:tc>
              <w:tc>
                <w:tcPr>
                  <w:tcW w:w="992" w:type="dxa"/>
                  <w:tcBorders>
                    <w:top w:val="single" w:color="auto" w:sz="12" w:space="0"/>
                    <w:bottom w:val="single" w:color="auto" w:sz="12" w:space="0"/>
                  </w:tcBorders>
                  <w:vAlign w:val="center"/>
                </w:tcPr>
                <w:p w14:paraId="2FB312F7">
                  <w:pPr>
                    <w:pStyle w:val="122"/>
                    <w:adjustRightInd w:val="0"/>
                    <w:snapToGrid w:val="0"/>
                    <w:rPr>
                      <w:b/>
                      <w:color w:val="auto"/>
                      <w:sz w:val="21"/>
                      <w:szCs w:val="21"/>
                    </w:rPr>
                  </w:pPr>
                  <w:r>
                    <w:rPr>
                      <w:b/>
                      <w:color w:val="auto"/>
                      <w:sz w:val="21"/>
                      <w:szCs w:val="21"/>
                    </w:rPr>
                    <w:t>包气带防污性能</w:t>
                  </w:r>
                </w:p>
              </w:tc>
              <w:tc>
                <w:tcPr>
                  <w:tcW w:w="992" w:type="dxa"/>
                  <w:tcBorders>
                    <w:top w:val="single" w:color="auto" w:sz="12" w:space="0"/>
                    <w:bottom w:val="single" w:color="auto" w:sz="12" w:space="0"/>
                  </w:tcBorders>
                  <w:vAlign w:val="center"/>
                </w:tcPr>
                <w:p w14:paraId="16DC2445">
                  <w:pPr>
                    <w:pStyle w:val="122"/>
                    <w:adjustRightInd w:val="0"/>
                    <w:snapToGrid w:val="0"/>
                    <w:rPr>
                      <w:b/>
                      <w:color w:val="auto"/>
                      <w:sz w:val="21"/>
                      <w:szCs w:val="21"/>
                    </w:rPr>
                  </w:pPr>
                  <w:r>
                    <w:rPr>
                      <w:b/>
                      <w:color w:val="auto"/>
                      <w:sz w:val="21"/>
                      <w:szCs w:val="21"/>
                    </w:rPr>
                    <w:t>污染控制难易程度</w:t>
                  </w:r>
                </w:p>
              </w:tc>
              <w:tc>
                <w:tcPr>
                  <w:tcW w:w="709" w:type="dxa"/>
                  <w:tcBorders>
                    <w:top w:val="single" w:color="auto" w:sz="12" w:space="0"/>
                    <w:bottom w:val="single" w:color="auto" w:sz="12" w:space="0"/>
                  </w:tcBorders>
                  <w:vAlign w:val="center"/>
                </w:tcPr>
                <w:p w14:paraId="23EE97A8">
                  <w:pPr>
                    <w:pStyle w:val="122"/>
                    <w:adjustRightInd w:val="0"/>
                    <w:snapToGrid w:val="0"/>
                    <w:rPr>
                      <w:b/>
                      <w:color w:val="auto"/>
                      <w:sz w:val="21"/>
                      <w:szCs w:val="21"/>
                    </w:rPr>
                  </w:pPr>
                  <w:r>
                    <w:rPr>
                      <w:b/>
                      <w:color w:val="auto"/>
                      <w:sz w:val="21"/>
                      <w:szCs w:val="21"/>
                    </w:rPr>
                    <w:t>污染物类型</w:t>
                  </w:r>
                </w:p>
              </w:tc>
              <w:tc>
                <w:tcPr>
                  <w:tcW w:w="1701" w:type="dxa"/>
                  <w:tcBorders>
                    <w:top w:val="single" w:color="auto" w:sz="12" w:space="0"/>
                    <w:bottom w:val="single" w:color="auto" w:sz="12" w:space="0"/>
                  </w:tcBorders>
                  <w:vAlign w:val="center"/>
                </w:tcPr>
                <w:p w14:paraId="6AECA673">
                  <w:pPr>
                    <w:pStyle w:val="122"/>
                    <w:adjustRightInd w:val="0"/>
                    <w:snapToGrid w:val="0"/>
                    <w:rPr>
                      <w:b/>
                      <w:color w:val="auto"/>
                      <w:sz w:val="21"/>
                      <w:szCs w:val="21"/>
                    </w:rPr>
                  </w:pPr>
                  <w:r>
                    <w:rPr>
                      <w:b/>
                      <w:color w:val="auto"/>
                      <w:sz w:val="21"/>
                      <w:szCs w:val="21"/>
                    </w:rPr>
                    <w:t>厂内分区</w:t>
                  </w:r>
                </w:p>
              </w:tc>
              <w:tc>
                <w:tcPr>
                  <w:tcW w:w="1378" w:type="dxa"/>
                  <w:tcBorders>
                    <w:top w:val="single" w:color="auto" w:sz="12" w:space="0"/>
                    <w:bottom w:val="single" w:color="auto" w:sz="12" w:space="0"/>
                  </w:tcBorders>
                  <w:vAlign w:val="center"/>
                </w:tcPr>
                <w:p w14:paraId="0A8D63CE">
                  <w:pPr>
                    <w:pStyle w:val="122"/>
                    <w:adjustRightInd w:val="0"/>
                    <w:snapToGrid w:val="0"/>
                    <w:rPr>
                      <w:b/>
                      <w:color w:val="auto"/>
                      <w:sz w:val="21"/>
                      <w:szCs w:val="21"/>
                    </w:rPr>
                  </w:pPr>
                  <w:r>
                    <w:rPr>
                      <w:b/>
                      <w:color w:val="auto"/>
                      <w:sz w:val="21"/>
                      <w:szCs w:val="21"/>
                    </w:rPr>
                    <w:t>防渗技术要求</w:t>
                  </w:r>
                </w:p>
              </w:tc>
            </w:tr>
            <w:tr w14:paraId="51B2456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1150" w:type="dxa"/>
                  <w:tcBorders>
                    <w:top w:val="single" w:color="auto" w:sz="12" w:space="0"/>
                  </w:tcBorders>
                  <w:vAlign w:val="center"/>
                </w:tcPr>
                <w:p w14:paraId="55C6A0A2">
                  <w:pPr>
                    <w:pStyle w:val="122"/>
                    <w:adjustRightInd w:val="0"/>
                    <w:snapToGrid w:val="0"/>
                    <w:rPr>
                      <w:color w:val="auto"/>
                      <w:sz w:val="21"/>
                      <w:szCs w:val="21"/>
                    </w:rPr>
                  </w:pPr>
                  <w:r>
                    <w:rPr>
                      <w:color w:val="auto"/>
                      <w:sz w:val="21"/>
                      <w:szCs w:val="21"/>
                    </w:rPr>
                    <w:t>重点防渗区</w:t>
                  </w:r>
                </w:p>
              </w:tc>
              <w:tc>
                <w:tcPr>
                  <w:tcW w:w="1704" w:type="dxa"/>
                  <w:tcBorders>
                    <w:top w:val="single" w:color="auto" w:sz="12" w:space="0"/>
                  </w:tcBorders>
                  <w:vAlign w:val="center"/>
                </w:tcPr>
                <w:p w14:paraId="06FDDD3E">
                  <w:pPr>
                    <w:pStyle w:val="122"/>
                    <w:adjustRightInd w:val="0"/>
                    <w:snapToGrid w:val="0"/>
                    <w:rPr>
                      <w:color w:val="auto"/>
                      <w:sz w:val="21"/>
                      <w:szCs w:val="21"/>
                    </w:rPr>
                  </w:pPr>
                  <w:r>
                    <w:rPr>
                      <w:color w:val="auto"/>
                      <w:sz w:val="21"/>
                      <w:szCs w:val="21"/>
                    </w:rPr>
                    <w:t>危害性大、毒性较大的生产装置区、物料储罐区、化学品库、汽车液体产品装卸区，循环冷却水池等</w:t>
                  </w:r>
                </w:p>
              </w:tc>
              <w:tc>
                <w:tcPr>
                  <w:tcW w:w="992" w:type="dxa"/>
                  <w:tcBorders>
                    <w:top w:val="single" w:color="auto" w:sz="12" w:space="0"/>
                  </w:tcBorders>
                  <w:vAlign w:val="center"/>
                </w:tcPr>
                <w:p w14:paraId="46068253">
                  <w:pPr>
                    <w:pStyle w:val="122"/>
                    <w:adjustRightInd w:val="0"/>
                    <w:snapToGrid w:val="0"/>
                    <w:rPr>
                      <w:color w:val="auto"/>
                      <w:sz w:val="21"/>
                      <w:szCs w:val="21"/>
                    </w:rPr>
                  </w:pPr>
                  <w:r>
                    <w:rPr>
                      <w:color w:val="auto"/>
                      <w:sz w:val="21"/>
                      <w:szCs w:val="21"/>
                    </w:rPr>
                    <w:t>弱</w:t>
                  </w:r>
                </w:p>
              </w:tc>
              <w:tc>
                <w:tcPr>
                  <w:tcW w:w="992" w:type="dxa"/>
                  <w:tcBorders>
                    <w:top w:val="single" w:color="auto" w:sz="12" w:space="0"/>
                  </w:tcBorders>
                  <w:vAlign w:val="center"/>
                </w:tcPr>
                <w:p w14:paraId="33780638">
                  <w:pPr>
                    <w:pStyle w:val="122"/>
                    <w:adjustRightInd w:val="0"/>
                    <w:snapToGrid w:val="0"/>
                    <w:rPr>
                      <w:color w:val="auto"/>
                      <w:sz w:val="21"/>
                      <w:szCs w:val="21"/>
                    </w:rPr>
                  </w:pPr>
                  <w:r>
                    <w:rPr>
                      <w:color w:val="auto"/>
                      <w:sz w:val="21"/>
                      <w:szCs w:val="21"/>
                    </w:rPr>
                    <w:t>难</w:t>
                  </w:r>
                </w:p>
              </w:tc>
              <w:tc>
                <w:tcPr>
                  <w:tcW w:w="709" w:type="dxa"/>
                  <w:tcBorders>
                    <w:top w:val="single" w:color="auto" w:sz="12" w:space="0"/>
                  </w:tcBorders>
                  <w:vAlign w:val="center"/>
                </w:tcPr>
                <w:p w14:paraId="67E45060">
                  <w:pPr>
                    <w:pStyle w:val="122"/>
                    <w:adjustRightInd w:val="0"/>
                    <w:snapToGrid w:val="0"/>
                    <w:rPr>
                      <w:color w:val="auto"/>
                      <w:sz w:val="21"/>
                      <w:szCs w:val="21"/>
                    </w:rPr>
                  </w:pPr>
                  <w:r>
                    <w:rPr>
                      <w:color w:val="auto"/>
                      <w:sz w:val="21"/>
                      <w:szCs w:val="21"/>
                    </w:rPr>
                    <w:t>持久性污染物</w:t>
                  </w:r>
                </w:p>
              </w:tc>
              <w:tc>
                <w:tcPr>
                  <w:tcW w:w="1701" w:type="dxa"/>
                  <w:tcBorders>
                    <w:top w:val="single" w:color="auto" w:sz="12" w:space="0"/>
                  </w:tcBorders>
                  <w:vAlign w:val="center"/>
                </w:tcPr>
                <w:p w14:paraId="38DBDA5E">
                  <w:pPr>
                    <w:pStyle w:val="122"/>
                    <w:adjustRightInd w:val="0"/>
                    <w:snapToGrid w:val="0"/>
                    <w:rPr>
                      <w:color w:val="auto"/>
                      <w:sz w:val="21"/>
                      <w:szCs w:val="21"/>
                    </w:rPr>
                  </w:pPr>
                  <w:r>
                    <w:rPr>
                      <w:rFonts w:hint="eastAsia"/>
                      <w:color w:val="auto"/>
                      <w:sz w:val="21"/>
                      <w:szCs w:val="21"/>
                    </w:rPr>
                    <w:t>危险品仓库</w:t>
                  </w:r>
                  <w:r>
                    <w:rPr>
                      <w:color w:val="auto"/>
                      <w:sz w:val="21"/>
                      <w:szCs w:val="21"/>
                    </w:rPr>
                    <w:t>等</w:t>
                  </w:r>
                </w:p>
              </w:tc>
              <w:tc>
                <w:tcPr>
                  <w:tcW w:w="1378" w:type="dxa"/>
                  <w:tcBorders>
                    <w:top w:val="single" w:color="auto" w:sz="12" w:space="0"/>
                  </w:tcBorders>
                  <w:vAlign w:val="center"/>
                </w:tcPr>
                <w:p w14:paraId="4D819300">
                  <w:pPr>
                    <w:pStyle w:val="122"/>
                    <w:adjustRightInd w:val="0"/>
                    <w:snapToGrid w:val="0"/>
                    <w:rPr>
                      <w:color w:val="auto"/>
                      <w:sz w:val="21"/>
                      <w:szCs w:val="21"/>
                    </w:rPr>
                  </w:pPr>
                  <w:r>
                    <w:rPr>
                      <w:color w:val="auto"/>
                      <w:sz w:val="21"/>
                      <w:szCs w:val="21"/>
                    </w:rPr>
                    <w:t>等效黏土防渗层Mb≥6.0m，1米厚粘土层K≤1×10</w:t>
                  </w:r>
                  <w:r>
                    <w:rPr>
                      <w:color w:val="auto"/>
                      <w:sz w:val="21"/>
                      <w:szCs w:val="21"/>
                      <w:vertAlign w:val="superscript"/>
                    </w:rPr>
                    <w:t>-7</w:t>
                  </w:r>
                  <w:r>
                    <w:rPr>
                      <w:color w:val="auto"/>
                      <w:sz w:val="21"/>
                      <w:szCs w:val="21"/>
                    </w:rPr>
                    <w:t>cm/s；或参照GB18598执行</w:t>
                  </w:r>
                </w:p>
              </w:tc>
            </w:tr>
            <w:tr w14:paraId="64DF4AC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1150" w:type="dxa"/>
                  <w:vAlign w:val="center"/>
                </w:tcPr>
                <w:p w14:paraId="49AD6A16">
                  <w:pPr>
                    <w:pStyle w:val="122"/>
                    <w:adjustRightInd w:val="0"/>
                    <w:snapToGrid w:val="0"/>
                    <w:rPr>
                      <w:color w:val="auto"/>
                      <w:sz w:val="21"/>
                      <w:szCs w:val="21"/>
                    </w:rPr>
                  </w:pPr>
                  <w:r>
                    <w:rPr>
                      <w:color w:val="auto"/>
                      <w:sz w:val="21"/>
                      <w:szCs w:val="21"/>
                    </w:rPr>
                    <w:t>一般防渗区</w:t>
                  </w:r>
                </w:p>
              </w:tc>
              <w:tc>
                <w:tcPr>
                  <w:tcW w:w="1704" w:type="dxa"/>
                  <w:vAlign w:val="center"/>
                </w:tcPr>
                <w:p w14:paraId="220A5BF1">
                  <w:pPr>
                    <w:pStyle w:val="122"/>
                    <w:adjustRightInd w:val="0"/>
                    <w:snapToGrid w:val="0"/>
                    <w:rPr>
                      <w:color w:val="auto"/>
                      <w:sz w:val="21"/>
                      <w:szCs w:val="21"/>
                    </w:rPr>
                  </w:pPr>
                  <w:r>
                    <w:rPr>
                      <w:color w:val="auto"/>
                      <w:sz w:val="21"/>
                      <w:szCs w:val="21"/>
                    </w:rPr>
                    <w:t>无毒性或毒性小的生产装置区、装置区外管廊区</w:t>
                  </w:r>
                </w:p>
              </w:tc>
              <w:tc>
                <w:tcPr>
                  <w:tcW w:w="992" w:type="dxa"/>
                  <w:vAlign w:val="center"/>
                </w:tcPr>
                <w:p w14:paraId="3F5A22F7">
                  <w:pPr>
                    <w:pStyle w:val="122"/>
                    <w:adjustRightInd w:val="0"/>
                    <w:snapToGrid w:val="0"/>
                    <w:rPr>
                      <w:color w:val="auto"/>
                      <w:sz w:val="21"/>
                      <w:szCs w:val="21"/>
                    </w:rPr>
                  </w:pPr>
                  <w:r>
                    <w:rPr>
                      <w:color w:val="auto"/>
                      <w:sz w:val="21"/>
                      <w:szCs w:val="21"/>
                    </w:rPr>
                    <w:t>弱</w:t>
                  </w:r>
                </w:p>
              </w:tc>
              <w:tc>
                <w:tcPr>
                  <w:tcW w:w="992" w:type="dxa"/>
                  <w:vAlign w:val="center"/>
                </w:tcPr>
                <w:p w14:paraId="096F7F9E">
                  <w:pPr>
                    <w:pStyle w:val="122"/>
                    <w:adjustRightInd w:val="0"/>
                    <w:snapToGrid w:val="0"/>
                    <w:rPr>
                      <w:color w:val="auto"/>
                      <w:sz w:val="21"/>
                      <w:szCs w:val="21"/>
                    </w:rPr>
                  </w:pPr>
                  <w:r>
                    <w:rPr>
                      <w:color w:val="auto"/>
                      <w:sz w:val="21"/>
                      <w:szCs w:val="21"/>
                    </w:rPr>
                    <w:t>易</w:t>
                  </w:r>
                </w:p>
              </w:tc>
              <w:tc>
                <w:tcPr>
                  <w:tcW w:w="709" w:type="dxa"/>
                  <w:vAlign w:val="center"/>
                </w:tcPr>
                <w:p w14:paraId="465D5F0C">
                  <w:pPr>
                    <w:pStyle w:val="122"/>
                    <w:adjustRightInd w:val="0"/>
                    <w:snapToGrid w:val="0"/>
                    <w:rPr>
                      <w:color w:val="auto"/>
                      <w:sz w:val="21"/>
                      <w:szCs w:val="21"/>
                    </w:rPr>
                  </w:pPr>
                  <w:r>
                    <w:rPr>
                      <w:color w:val="auto"/>
                      <w:sz w:val="21"/>
                      <w:szCs w:val="21"/>
                    </w:rPr>
                    <w:t>其他类型</w:t>
                  </w:r>
                </w:p>
              </w:tc>
              <w:tc>
                <w:tcPr>
                  <w:tcW w:w="1701" w:type="dxa"/>
                  <w:vAlign w:val="center"/>
                </w:tcPr>
                <w:p w14:paraId="5465CC0E">
                  <w:pPr>
                    <w:pStyle w:val="122"/>
                    <w:adjustRightInd w:val="0"/>
                    <w:snapToGrid w:val="0"/>
                    <w:rPr>
                      <w:color w:val="auto"/>
                      <w:sz w:val="21"/>
                      <w:szCs w:val="21"/>
                    </w:rPr>
                  </w:pPr>
                  <w:r>
                    <w:rPr>
                      <w:rFonts w:hint="eastAsia"/>
                      <w:color w:val="auto"/>
                      <w:sz w:val="21"/>
                      <w:szCs w:val="21"/>
                    </w:rPr>
                    <w:t>生产厂房、冷冻仓库、</w:t>
                  </w:r>
                  <w:r>
                    <w:rPr>
                      <w:color w:val="auto"/>
                      <w:sz w:val="21"/>
                      <w:szCs w:val="21"/>
                    </w:rPr>
                    <w:t>一般固废仓库</w:t>
                  </w:r>
                </w:p>
              </w:tc>
              <w:tc>
                <w:tcPr>
                  <w:tcW w:w="1378" w:type="dxa"/>
                  <w:vAlign w:val="center"/>
                </w:tcPr>
                <w:p w14:paraId="710B7232">
                  <w:pPr>
                    <w:pStyle w:val="122"/>
                    <w:adjustRightInd w:val="0"/>
                    <w:snapToGrid w:val="0"/>
                    <w:rPr>
                      <w:color w:val="auto"/>
                      <w:sz w:val="21"/>
                      <w:szCs w:val="21"/>
                    </w:rPr>
                  </w:pPr>
                  <w:r>
                    <w:rPr>
                      <w:color w:val="auto"/>
                      <w:sz w:val="21"/>
                      <w:szCs w:val="21"/>
                    </w:rPr>
                    <w:t>等效黏土防渗层Mb≥1.5m，K≤1×10</w:t>
                  </w:r>
                  <w:r>
                    <w:rPr>
                      <w:color w:val="auto"/>
                      <w:sz w:val="21"/>
                      <w:szCs w:val="21"/>
                      <w:vertAlign w:val="superscript"/>
                    </w:rPr>
                    <w:t>-7</w:t>
                  </w:r>
                  <w:r>
                    <w:rPr>
                      <w:color w:val="auto"/>
                      <w:sz w:val="21"/>
                      <w:szCs w:val="21"/>
                    </w:rPr>
                    <w:t>cm/s；或参照GB18598执行</w:t>
                  </w:r>
                </w:p>
              </w:tc>
            </w:tr>
            <w:tr w14:paraId="7E3834F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1150" w:type="dxa"/>
                  <w:vAlign w:val="center"/>
                </w:tcPr>
                <w:p w14:paraId="5AF1E22D">
                  <w:pPr>
                    <w:pStyle w:val="122"/>
                    <w:adjustRightInd w:val="0"/>
                    <w:snapToGrid w:val="0"/>
                    <w:rPr>
                      <w:color w:val="auto"/>
                      <w:sz w:val="21"/>
                      <w:szCs w:val="21"/>
                    </w:rPr>
                  </w:pPr>
                  <w:r>
                    <w:rPr>
                      <w:color w:val="auto"/>
                      <w:sz w:val="21"/>
                      <w:szCs w:val="21"/>
                    </w:rPr>
                    <w:t>简单防渗区</w:t>
                  </w:r>
                </w:p>
              </w:tc>
              <w:tc>
                <w:tcPr>
                  <w:tcW w:w="1704" w:type="dxa"/>
                  <w:vAlign w:val="center"/>
                </w:tcPr>
                <w:p w14:paraId="70464BAA">
                  <w:pPr>
                    <w:pStyle w:val="122"/>
                    <w:adjustRightInd w:val="0"/>
                    <w:snapToGrid w:val="0"/>
                    <w:rPr>
                      <w:color w:val="auto"/>
                      <w:sz w:val="21"/>
                      <w:szCs w:val="21"/>
                    </w:rPr>
                  </w:pPr>
                  <w:r>
                    <w:rPr>
                      <w:color w:val="auto"/>
                      <w:sz w:val="21"/>
                      <w:szCs w:val="21"/>
                    </w:rPr>
                    <w:t>除污染区的其余区域</w:t>
                  </w:r>
                </w:p>
              </w:tc>
              <w:tc>
                <w:tcPr>
                  <w:tcW w:w="992" w:type="dxa"/>
                  <w:vAlign w:val="center"/>
                </w:tcPr>
                <w:p w14:paraId="5B603A74">
                  <w:pPr>
                    <w:pStyle w:val="122"/>
                    <w:adjustRightInd w:val="0"/>
                    <w:snapToGrid w:val="0"/>
                    <w:rPr>
                      <w:color w:val="auto"/>
                      <w:sz w:val="21"/>
                      <w:szCs w:val="21"/>
                    </w:rPr>
                  </w:pPr>
                  <w:r>
                    <w:rPr>
                      <w:color w:val="auto"/>
                      <w:sz w:val="21"/>
                      <w:szCs w:val="21"/>
                    </w:rPr>
                    <w:t>弱</w:t>
                  </w:r>
                </w:p>
              </w:tc>
              <w:tc>
                <w:tcPr>
                  <w:tcW w:w="992" w:type="dxa"/>
                  <w:vAlign w:val="center"/>
                </w:tcPr>
                <w:p w14:paraId="1FA87418">
                  <w:pPr>
                    <w:pStyle w:val="122"/>
                    <w:adjustRightInd w:val="0"/>
                    <w:snapToGrid w:val="0"/>
                    <w:rPr>
                      <w:color w:val="auto"/>
                      <w:sz w:val="21"/>
                      <w:szCs w:val="21"/>
                    </w:rPr>
                  </w:pPr>
                  <w:r>
                    <w:rPr>
                      <w:color w:val="auto"/>
                      <w:sz w:val="21"/>
                      <w:szCs w:val="21"/>
                    </w:rPr>
                    <w:t>易</w:t>
                  </w:r>
                </w:p>
              </w:tc>
              <w:tc>
                <w:tcPr>
                  <w:tcW w:w="709" w:type="dxa"/>
                  <w:vAlign w:val="center"/>
                </w:tcPr>
                <w:p w14:paraId="33EF8B1F">
                  <w:pPr>
                    <w:pStyle w:val="122"/>
                    <w:adjustRightInd w:val="0"/>
                    <w:snapToGrid w:val="0"/>
                    <w:rPr>
                      <w:color w:val="auto"/>
                      <w:sz w:val="21"/>
                      <w:szCs w:val="21"/>
                    </w:rPr>
                  </w:pPr>
                  <w:r>
                    <w:rPr>
                      <w:color w:val="auto"/>
                      <w:sz w:val="21"/>
                      <w:szCs w:val="21"/>
                    </w:rPr>
                    <w:t>其他类型</w:t>
                  </w:r>
                </w:p>
              </w:tc>
              <w:tc>
                <w:tcPr>
                  <w:tcW w:w="1701" w:type="dxa"/>
                  <w:vAlign w:val="center"/>
                </w:tcPr>
                <w:p w14:paraId="60CDAA6C">
                  <w:pPr>
                    <w:pStyle w:val="122"/>
                    <w:adjustRightInd w:val="0"/>
                    <w:snapToGrid w:val="0"/>
                    <w:rPr>
                      <w:color w:val="auto"/>
                      <w:sz w:val="21"/>
                      <w:szCs w:val="21"/>
                    </w:rPr>
                  </w:pPr>
                  <w:r>
                    <w:rPr>
                      <w:color w:val="auto"/>
                      <w:sz w:val="21"/>
                      <w:szCs w:val="21"/>
                    </w:rPr>
                    <w:t>办公楼</w:t>
                  </w:r>
                  <w:r>
                    <w:rPr>
                      <w:rFonts w:hint="eastAsia"/>
                      <w:color w:val="auto"/>
                      <w:sz w:val="21"/>
                      <w:szCs w:val="21"/>
                    </w:rPr>
                    <w:t>、</w:t>
                  </w:r>
                  <w:r>
                    <w:rPr>
                      <w:color w:val="auto"/>
                      <w:sz w:val="21"/>
                      <w:szCs w:val="21"/>
                    </w:rPr>
                    <w:t>门卫等</w:t>
                  </w:r>
                  <w:r>
                    <w:rPr>
                      <w:rFonts w:hint="eastAsia"/>
                      <w:color w:val="auto"/>
                      <w:sz w:val="21"/>
                      <w:szCs w:val="21"/>
                      <w:lang w:eastAsia="zh-CN"/>
                    </w:rPr>
                    <w:t>其他</w:t>
                  </w:r>
                  <w:r>
                    <w:rPr>
                      <w:color w:val="auto"/>
                      <w:sz w:val="21"/>
                      <w:szCs w:val="21"/>
                    </w:rPr>
                    <w:t>区域</w:t>
                  </w:r>
                </w:p>
              </w:tc>
              <w:tc>
                <w:tcPr>
                  <w:tcW w:w="1378" w:type="dxa"/>
                  <w:vAlign w:val="center"/>
                </w:tcPr>
                <w:p w14:paraId="1281FC73">
                  <w:pPr>
                    <w:pStyle w:val="122"/>
                    <w:adjustRightInd w:val="0"/>
                    <w:snapToGrid w:val="0"/>
                    <w:rPr>
                      <w:color w:val="auto"/>
                      <w:sz w:val="21"/>
                      <w:szCs w:val="21"/>
                    </w:rPr>
                  </w:pPr>
                  <w:r>
                    <w:rPr>
                      <w:color w:val="auto"/>
                      <w:sz w:val="21"/>
                      <w:szCs w:val="21"/>
                    </w:rPr>
                    <w:t>一般地面硬化</w:t>
                  </w:r>
                </w:p>
              </w:tc>
            </w:tr>
          </w:tbl>
          <w:p w14:paraId="04B74A00">
            <w:pPr>
              <w:widowControl/>
              <w:autoSpaceDE w:val="0"/>
              <w:autoSpaceDN w:val="0"/>
              <w:adjustRightInd w:val="0"/>
              <w:snapToGrid w:val="0"/>
              <w:spacing w:before="120" w:beforeLines="50" w:line="360" w:lineRule="auto"/>
              <w:ind w:firstLine="482" w:firstLineChars="200"/>
              <w:jc w:val="left"/>
              <w:rPr>
                <w:b/>
                <w:color w:val="auto"/>
                <w:kern w:val="0"/>
                <w:sz w:val="24"/>
              </w:rPr>
            </w:pPr>
            <w:r>
              <w:rPr>
                <w:b/>
                <w:color w:val="auto"/>
                <w:kern w:val="0"/>
                <w:sz w:val="24"/>
              </w:rPr>
              <w:t>5.2</w:t>
            </w:r>
            <w:r>
              <w:rPr>
                <w:rFonts w:hAnsi="宋体"/>
                <w:b/>
                <w:color w:val="auto"/>
                <w:kern w:val="0"/>
                <w:sz w:val="24"/>
              </w:rPr>
              <w:t>跟踪监测计划</w:t>
            </w:r>
          </w:p>
          <w:p w14:paraId="64F93CDC">
            <w:pPr>
              <w:widowControl/>
              <w:autoSpaceDE w:val="0"/>
              <w:autoSpaceDN w:val="0"/>
              <w:adjustRightInd w:val="0"/>
              <w:snapToGrid w:val="0"/>
              <w:spacing w:line="360" w:lineRule="auto"/>
              <w:ind w:left="181" w:leftChars="86" w:firstLine="480" w:firstLineChars="200"/>
              <w:jc w:val="left"/>
              <w:rPr>
                <w:b/>
                <w:color w:val="auto"/>
                <w:kern w:val="0"/>
                <w:sz w:val="24"/>
              </w:rPr>
            </w:pPr>
            <w:r>
              <w:rPr>
                <w:rFonts w:hint="eastAsia"/>
                <w:color w:val="auto"/>
                <w:sz w:val="24"/>
                <w:lang w:val="en-US" w:eastAsia="zh-CN"/>
              </w:rPr>
              <w:t>扩建</w:t>
            </w:r>
            <w:r>
              <w:rPr>
                <w:color w:val="auto"/>
                <w:sz w:val="24"/>
              </w:rPr>
              <w:t>项目</w:t>
            </w:r>
            <w:r>
              <w:rPr>
                <w:rFonts w:hint="eastAsia"/>
                <w:color w:val="auto"/>
                <w:sz w:val="24"/>
                <w:lang w:eastAsia="zh-CN"/>
              </w:rPr>
              <w:t>乙醇</w:t>
            </w:r>
            <w:r>
              <w:rPr>
                <w:rFonts w:ascii="宋体" w:hAnsi="宋体"/>
                <w:color w:val="auto"/>
                <w:kern w:val="0"/>
                <w:sz w:val="24"/>
              </w:rPr>
              <w:t>均以密闭贮存方式存放于</w:t>
            </w:r>
            <w:r>
              <w:rPr>
                <w:rFonts w:hint="eastAsia" w:ascii="宋体" w:hAnsi="宋体"/>
                <w:color w:val="auto"/>
                <w:kern w:val="0"/>
                <w:sz w:val="24"/>
              </w:rPr>
              <w:t>化学品</w:t>
            </w:r>
            <w:r>
              <w:rPr>
                <w:rFonts w:ascii="宋体" w:hAnsi="宋体"/>
                <w:color w:val="auto"/>
                <w:kern w:val="0"/>
                <w:sz w:val="24"/>
              </w:rPr>
              <w:t>库和生产</w:t>
            </w:r>
            <w:r>
              <w:rPr>
                <w:rFonts w:hint="eastAsia" w:ascii="宋体" w:hAnsi="宋体"/>
                <w:color w:val="auto"/>
                <w:kern w:val="0"/>
                <w:sz w:val="24"/>
              </w:rPr>
              <w:t>区域</w:t>
            </w:r>
            <w:r>
              <w:rPr>
                <w:rFonts w:ascii="宋体" w:hAnsi="宋体"/>
                <w:color w:val="auto"/>
                <w:kern w:val="0"/>
                <w:sz w:val="24"/>
              </w:rPr>
              <w:t>，</w:t>
            </w:r>
            <w:r>
              <w:rPr>
                <w:rFonts w:hint="eastAsia" w:ascii="宋体" w:hAnsi="宋体"/>
                <w:color w:val="auto"/>
                <w:kern w:val="0"/>
                <w:sz w:val="24"/>
                <w:lang w:eastAsia="zh-CN"/>
              </w:rPr>
              <w:t>化学品</w:t>
            </w:r>
            <w:r>
              <w:rPr>
                <w:rFonts w:ascii="宋体" w:hAnsi="宋体"/>
                <w:color w:val="auto"/>
                <w:kern w:val="0"/>
                <w:sz w:val="24"/>
              </w:rPr>
              <w:t>周边设置导流槽及导流沟，可有效收集泄漏物料，</w:t>
            </w:r>
            <w:r>
              <w:rPr>
                <w:rFonts w:hint="eastAsia" w:ascii="宋体" w:hAnsi="宋体"/>
                <w:color w:val="auto"/>
                <w:kern w:val="0"/>
                <w:sz w:val="24"/>
                <w:lang w:eastAsia="zh-CN"/>
              </w:rPr>
              <w:t>车间均</w:t>
            </w:r>
            <w:bookmarkStart w:id="54" w:name="_GoBack"/>
            <w:r>
              <w:rPr>
                <w:rFonts w:hint="eastAsia" w:ascii="宋体" w:hAnsi="宋体"/>
                <w:color w:val="auto"/>
                <w:kern w:val="0"/>
                <w:sz w:val="24"/>
                <w:lang w:eastAsia="zh-CN"/>
              </w:rPr>
              <w:t>以</w:t>
            </w:r>
            <w:bookmarkEnd w:id="54"/>
            <w:r>
              <w:rPr>
                <w:rFonts w:hint="eastAsia" w:ascii="宋体" w:hAnsi="宋体"/>
                <w:color w:val="auto"/>
                <w:kern w:val="0"/>
                <w:sz w:val="24"/>
                <w:lang w:eastAsia="zh-CN"/>
              </w:rPr>
              <w:t>擦拭喷涂方式进行消毒。</w:t>
            </w:r>
            <w:r>
              <w:rPr>
                <w:rFonts w:ascii="宋体" w:hAnsi="宋体"/>
                <w:color w:val="auto"/>
                <w:kern w:val="0"/>
                <w:sz w:val="24"/>
              </w:rPr>
              <w:t>发生泄漏事故的概率较小，</w:t>
            </w:r>
            <w:r>
              <w:rPr>
                <w:rFonts w:hint="eastAsia" w:ascii="宋体" w:hAnsi="宋体"/>
                <w:color w:val="auto"/>
                <w:kern w:val="0"/>
                <w:sz w:val="24"/>
                <w:lang w:val="en-US" w:eastAsia="zh-CN"/>
              </w:rPr>
              <w:t>综上，企业</w:t>
            </w:r>
            <w:r>
              <w:rPr>
                <w:rFonts w:ascii="宋体" w:hAnsi="宋体"/>
                <w:color w:val="auto"/>
                <w:kern w:val="0"/>
                <w:sz w:val="24"/>
              </w:rPr>
              <w:t>不易污染地下水及土壤。因此企业无需进行地下水、土壤跟踪监测</w:t>
            </w:r>
            <w:r>
              <w:rPr>
                <w:color w:val="auto"/>
                <w:kern w:val="0"/>
                <w:sz w:val="24"/>
                <w:szCs w:val="20"/>
              </w:rPr>
              <w:t>。</w:t>
            </w:r>
          </w:p>
          <w:p w14:paraId="0A2D5967">
            <w:pPr>
              <w:widowControl/>
              <w:autoSpaceDE w:val="0"/>
              <w:autoSpaceDN w:val="0"/>
              <w:adjustRightInd w:val="0"/>
              <w:snapToGrid w:val="0"/>
              <w:spacing w:line="360" w:lineRule="auto"/>
              <w:ind w:firstLine="482" w:firstLineChars="200"/>
              <w:jc w:val="left"/>
              <w:rPr>
                <w:b/>
                <w:color w:val="auto"/>
                <w:kern w:val="0"/>
                <w:sz w:val="24"/>
              </w:rPr>
            </w:pPr>
            <w:r>
              <w:rPr>
                <w:b/>
                <w:color w:val="auto"/>
                <w:kern w:val="0"/>
                <w:sz w:val="24"/>
              </w:rPr>
              <w:t>6.</w:t>
            </w:r>
            <w:r>
              <w:rPr>
                <w:rFonts w:hAnsi="宋体"/>
                <w:b/>
                <w:color w:val="auto"/>
                <w:kern w:val="0"/>
                <w:sz w:val="24"/>
              </w:rPr>
              <w:t>生态</w:t>
            </w:r>
          </w:p>
          <w:p w14:paraId="1C0767D3">
            <w:pPr>
              <w:adjustRightInd w:val="0"/>
              <w:snapToGrid w:val="0"/>
              <w:spacing w:line="360" w:lineRule="auto"/>
              <w:ind w:firstLine="480" w:firstLineChars="200"/>
              <w:rPr>
                <w:color w:val="auto"/>
                <w:sz w:val="24"/>
              </w:rPr>
            </w:pPr>
            <w:r>
              <w:rPr>
                <w:rFonts w:hAnsi="宋体"/>
                <w:color w:val="auto"/>
                <w:sz w:val="24"/>
              </w:rPr>
              <w:t>建设项目位于江苏涟水经济开发区西区，在现有厂区内进行，且用地范围不涉及生态环境保护目标，对生态环境影响较小。</w:t>
            </w:r>
          </w:p>
          <w:p w14:paraId="031F5EB7">
            <w:pPr>
              <w:widowControl/>
              <w:autoSpaceDE w:val="0"/>
              <w:autoSpaceDN w:val="0"/>
              <w:adjustRightInd w:val="0"/>
              <w:snapToGrid w:val="0"/>
              <w:spacing w:line="360" w:lineRule="auto"/>
              <w:ind w:firstLine="482" w:firstLineChars="200"/>
              <w:jc w:val="left"/>
              <w:rPr>
                <w:b/>
                <w:color w:val="auto"/>
                <w:kern w:val="0"/>
                <w:sz w:val="24"/>
              </w:rPr>
            </w:pPr>
            <w:r>
              <w:rPr>
                <w:b/>
                <w:color w:val="auto"/>
                <w:kern w:val="0"/>
                <w:sz w:val="24"/>
              </w:rPr>
              <w:t>7.</w:t>
            </w:r>
            <w:r>
              <w:rPr>
                <w:rFonts w:hAnsi="宋体"/>
                <w:b/>
                <w:color w:val="auto"/>
                <w:kern w:val="0"/>
                <w:sz w:val="24"/>
              </w:rPr>
              <w:t>环境风险</w:t>
            </w:r>
          </w:p>
          <w:p w14:paraId="57B4928C">
            <w:pPr>
              <w:widowControl/>
              <w:autoSpaceDE w:val="0"/>
              <w:autoSpaceDN w:val="0"/>
              <w:adjustRightInd w:val="0"/>
              <w:snapToGrid w:val="0"/>
              <w:spacing w:line="360" w:lineRule="auto"/>
              <w:ind w:firstLine="482" w:firstLineChars="200"/>
              <w:rPr>
                <w:b/>
                <w:color w:val="auto"/>
                <w:kern w:val="0"/>
                <w:sz w:val="24"/>
              </w:rPr>
            </w:pPr>
            <w:r>
              <w:rPr>
                <w:b/>
                <w:color w:val="auto"/>
                <w:kern w:val="0"/>
                <w:sz w:val="24"/>
              </w:rPr>
              <w:t>7.1</w:t>
            </w:r>
            <w:r>
              <w:rPr>
                <w:rFonts w:hAnsi="宋体"/>
                <w:b/>
                <w:color w:val="auto"/>
                <w:kern w:val="0"/>
                <w:sz w:val="24"/>
              </w:rPr>
              <w:t>风险源调查</w:t>
            </w:r>
          </w:p>
          <w:p w14:paraId="353DB8D6">
            <w:pPr>
              <w:widowControl/>
              <w:autoSpaceDE w:val="0"/>
              <w:autoSpaceDN w:val="0"/>
              <w:adjustRightInd w:val="0"/>
              <w:snapToGrid w:val="0"/>
              <w:spacing w:line="360" w:lineRule="auto"/>
              <w:ind w:firstLine="480" w:firstLineChars="200"/>
              <w:jc w:val="left"/>
              <w:rPr>
                <w:color w:val="auto"/>
                <w:kern w:val="0"/>
                <w:sz w:val="24"/>
              </w:rPr>
            </w:pPr>
            <w:r>
              <w:rPr>
                <w:rFonts w:ascii="宋体" w:hAnsi="宋体"/>
                <w:color w:val="auto"/>
                <w:kern w:val="0"/>
                <w:sz w:val="24"/>
              </w:rPr>
              <w:t>①</w:t>
            </w:r>
            <w:r>
              <w:rPr>
                <w:rFonts w:hAnsi="宋体"/>
                <w:color w:val="auto"/>
                <w:kern w:val="0"/>
                <w:sz w:val="24"/>
              </w:rPr>
              <w:t>危险物质数量及分布情况</w:t>
            </w:r>
          </w:p>
          <w:p w14:paraId="54F54559">
            <w:pPr>
              <w:widowControl/>
              <w:autoSpaceDE w:val="0"/>
              <w:autoSpaceDN w:val="0"/>
              <w:adjustRightInd w:val="0"/>
              <w:snapToGrid w:val="0"/>
              <w:spacing w:line="360" w:lineRule="auto"/>
              <w:ind w:firstLine="480" w:firstLineChars="200"/>
              <w:jc w:val="left"/>
              <w:rPr>
                <w:bCs/>
                <w:color w:val="auto"/>
                <w:kern w:val="0"/>
                <w:sz w:val="24"/>
              </w:rPr>
            </w:pPr>
            <w:r>
              <w:rPr>
                <w:rFonts w:hAnsi="宋体"/>
                <w:bCs/>
                <w:color w:val="auto"/>
                <w:kern w:val="0"/>
                <w:sz w:val="24"/>
              </w:rPr>
              <w:t>本次对</w:t>
            </w:r>
            <w:r>
              <w:rPr>
                <w:rFonts w:hint="eastAsia" w:hAnsi="宋体"/>
                <w:bCs/>
                <w:color w:val="auto"/>
                <w:kern w:val="0"/>
                <w:sz w:val="24"/>
                <w:lang w:eastAsia="zh-CN"/>
              </w:rPr>
              <w:t>本项目</w:t>
            </w:r>
            <w:r>
              <w:rPr>
                <w:rFonts w:hAnsi="宋体"/>
                <w:bCs/>
                <w:color w:val="auto"/>
                <w:kern w:val="0"/>
                <w:sz w:val="24"/>
              </w:rPr>
              <w:t>进行环境风险评价，见表</w:t>
            </w:r>
            <w:r>
              <w:rPr>
                <w:rFonts w:hint="eastAsia"/>
                <w:bCs/>
                <w:color w:val="auto"/>
                <w:kern w:val="0"/>
                <w:sz w:val="24"/>
                <w:lang w:val="en-US" w:eastAsia="zh-CN"/>
              </w:rPr>
              <w:t>4-23</w:t>
            </w:r>
            <w:r>
              <w:rPr>
                <w:rFonts w:hAnsi="宋体"/>
                <w:bCs/>
                <w:color w:val="auto"/>
                <w:kern w:val="0"/>
                <w:sz w:val="24"/>
              </w:rPr>
              <w:t>。</w:t>
            </w:r>
          </w:p>
          <w:p w14:paraId="33E50ADE">
            <w:pPr>
              <w:widowControl/>
              <w:adjustRightInd w:val="0"/>
              <w:snapToGrid w:val="0"/>
              <w:ind w:firstLine="482" w:firstLineChars="200"/>
              <w:jc w:val="center"/>
              <w:rPr>
                <w:b/>
                <w:bCs/>
                <w:color w:val="auto"/>
                <w:kern w:val="0"/>
                <w:sz w:val="24"/>
              </w:rPr>
            </w:pPr>
            <w:r>
              <w:rPr>
                <w:rFonts w:hAnsi="宋体"/>
                <w:b/>
                <w:bCs/>
                <w:color w:val="auto"/>
                <w:kern w:val="0"/>
                <w:sz w:val="24"/>
              </w:rPr>
              <w:t>表</w:t>
            </w:r>
            <w:r>
              <w:rPr>
                <w:rFonts w:hint="eastAsia"/>
                <w:b/>
                <w:bCs/>
                <w:color w:val="auto"/>
                <w:kern w:val="0"/>
                <w:sz w:val="24"/>
                <w:lang w:val="en-US" w:eastAsia="zh-CN" w:bidi="en-US"/>
              </w:rPr>
              <w:t>4-23</w:t>
            </w:r>
            <w:r>
              <w:rPr>
                <w:rFonts w:hAnsi="宋体"/>
                <w:b/>
                <w:bCs/>
                <w:color w:val="auto"/>
                <w:kern w:val="0"/>
                <w:sz w:val="24"/>
              </w:rPr>
              <w:t>危险物质数量及分布情况一览表</w:t>
            </w:r>
          </w:p>
          <w:tbl>
            <w:tblPr>
              <w:tblStyle w:val="3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687"/>
              <w:gridCol w:w="2683"/>
              <w:gridCol w:w="1409"/>
              <w:gridCol w:w="1719"/>
              <w:gridCol w:w="967"/>
            </w:tblGrid>
            <w:tr w14:paraId="44E714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65" w:hRule="atLeast"/>
                <w:jc w:val="center"/>
              </w:trPr>
              <w:tc>
                <w:tcPr>
                  <w:tcW w:w="996" w:type="pct"/>
                  <w:vAlign w:val="center"/>
                </w:tcPr>
                <w:p w14:paraId="62EBE3BE">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名称</w:t>
                  </w:r>
                </w:p>
              </w:tc>
              <w:tc>
                <w:tcPr>
                  <w:tcW w:w="1584" w:type="pct"/>
                  <w:vAlign w:val="center"/>
                </w:tcPr>
                <w:p w14:paraId="69D83485">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主要规格/型号</w:t>
                  </w:r>
                </w:p>
              </w:tc>
              <w:tc>
                <w:tcPr>
                  <w:tcW w:w="832" w:type="pct"/>
                  <w:vAlign w:val="center"/>
                </w:tcPr>
                <w:p w14:paraId="35495DE8">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贮存周期</w:t>
                  </w:r>
                </w:p>
              </w:tc>
              <w:tc>
                <w:tcPr>
                  <w:tcW w:w="1015" w:type="pct"/>
                  <w:vAlign w:val="center"/>
                </w:tcPr>
                <w:p w14:paraId="5FFC2C8A">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最大贮存量（吨）</w:t>
                  </w:r>
                </w:p>
              </w:tc>
              <w:tc>
                <w:tcPr>
                  <w:tcW w:w="571" w:type="pct"/>
                  <w:vAlign w:val="center"/>
                </w:tcPr>
                <w:p w14:paraId="300D6F22">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分布</w:t>
                  </w:r>
                </w:p>
              </w:tc>
            </w:tr>
            <w:tr w14:paraId="68909A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1" w:hRule="atLeast"/>
                <w:jc w:val="center"/>
              </w:trPr>
              <w:tc>
                <w:tcPr>
                  <w:tcW w:w="996" w:type="pct"/>
                  <w:vAlign w:val="center"/>
                </w:tcPr>
                <w:p w14:paraId="4C0370F4">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sz w:val="21"/>
                      <w:szCs w:val="21"/>
                      <w:lang w:eastAsia="zh-CN"/>
                    </w:rPr>
                  </w:pPr>
                  <w:r>
                    <w:rPr>
                      <w:rFonts w:hint="eastAsia" w:cs="Times New Roman"/>
                      <w:color w:val="auto"/>
                      <w:lang w:eastAsia="zh-CN"/>
                    </w:rPr>
                    <w:t>乙醇</w:t>
                  </w:r>
                </w:p>
              </w:tc>
              <w:tc>
                <w:tcPr>
                  <w:tcW w:w="1584" w:type="pct"/>
                  <w:shd w:val="clear" w:color="auto" w:fill="auto"/>
                  <w:vAlign w:val="center"/>
                </w:tcPr>
                <w:p w14:paraId="465FCC5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lang w:val="en-US" w:eastAsia="zh-CN"/>
                    </w:rPr>
                    <w:t>75%</w:t>
                  </w:r>
                </w:p>
              </w:tc>
              <w:tc>
                <w:tcPr>
                  <w:tcW w:w="832" w:type="pct"/>
                  <w:vAlign w:val="center"/>
                </w:tcPr>
                <w:p w14:paraId="4D9AF9D2">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一年</w:t>
                  </w:r>
                </w:p>
              </w:tc>
              <w:tc>
                <w:tcPr>
                  <w:tcW w:w="1015" w:type="pct"/>
                  <w:shd w:val="clear" w:color="auto" w:fill="auto"/>
                  <w:vAlign w:val="center"/>
                </w:tcPr>
                <w:p w14:paraId="4A400A96">
                  <w:pPr>
                    <w:widowControl/>
                    <w:adjustRightInd w:val="0"/>
                    <w:snapToGrid w:val="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sz w:val="21"/>
                      <w:szCs w:val="21"/>
                      <w:lang w:val="en-US" w:eastAsia="zh-CN"/>
                    </w:rPr>
                    <w:t>0.05</w:t>
                  </w:r>
                </w:p>
              </w:tc>
              <w:tc>
                <w:tcPr>
                  <w:tcW w:w="571" w:type="pct"/>
                  <w:vAlign w:val="center"/>
                </w:tcPr>
                <w:p w14:paraId="73CCF3D0">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lang w:eastAsia="zh-CN"/>
                    </w:rPr>
                    <w:t>化学品</w:t>
                  </w:r>
                  <w:r>
                    <w:rPr>
                      <w:rFonts w:hint="default" w:ascii="Times New Roman" w:hAnsi="Times New Roman" w:eastAsia="宋体" w:cs="Times New Roman"/>
                      <w:color w:val="auto"/>
                      <w:sz w:val="21"/>
                      <w:szCs w:val="21"/>
                      <w:lang w:eastAsia="zh-CN"/>
                    </w:rPr>
                    <w:t>仓库</w:t>
                  </w:r>
                </w:p>
              </w:tc>
            </w:tr>
          </w:tbl>
          <w:p w14:paraId="012FA156">
            <w:pPr>
              <w:widowControl/>
              <w:autoSpaceDE w:val="0"/>
              <w:autoSpaceDN w:val="0"/>
              <w:adjustRightInd w:val="0"/>
              <w:snapToGrid w:val="0"/>
              <w:spacing w:before="120" w:beforeLines="50" w:line="360" w:lineRule="auto"/>
              <w:ind w:firstLine="480" w:firstLineChars="200"/>
              <w:jc w:val="left"/>
              <w:rPr>
                <w:color w:val="auto"/>
                <w:kern w:val="0"/>
                <w:sz w:val="24"/>
              </w:rPr>
            </w:pPr>
            <w:r>
              <w:rPr>
                <w:rFonts w:ascii="宋体" w:hAnsi="宋体"/>
                <w:color w:val="auto"/>
                <w:kern w:val="0"/>
                <w:sz w:val="24"/>
              </w:rPr>
              <w:t>②</w:t>
            </w:r>
            <w:r>
              <w:rPr>
                <w:rFonts w:hAnsi="宋体"/>
                <w:color w:val="auto"/>
                <w:kern w:val="0"/>
                <w:sz w:val="24"/>
              </w:rPr>
              <w:t>生产工艺特点</w:t>
            </w:r>
          </w:p>
          <w:p w14:paraId="1E1CB558">
            <w:pPr>
              <w:widowControl/>
              <w:autoSpaceDE w:val="0"/>
              <w:autoSpaceDN w:val="0"/>
              <w:adjustRightInd w:val="0"/>
              <w:snapToGrid w:val="0"/>
              <w:spacing w:line="360" w:lineRule="auto"/>
              <w:ind w:firstLine="480" w:firstLineChars="200"/>
              <w:jc w:val="left"/>
              <w:rPr>
                <w:color w:val="auto"/>
                <w:kern w:val="0"/>
                <w:sz w:val="24"/>
              </w:rPr>
            </w:pPr>
            <w:r>
              <w:rPr>
                <w:rFonts w:hAnsi="宋体"/>
                <w:bCs/>
                <w:color w:val="auto"/>
                <w:kern w:val="0"/>
                <w:sz w:val="24"/>
              </w:rPr>
              <w:t>建设项目</w:t>
            </w:r>
            <w:r>
              <w:rPr>
                <w:rFonts w:hAnsi="宋体"/>
                <w:color w:val="auto"/>
                <w:kern w:val="0"/>
                <w:sz w:val="24"/>
              </w:rPr>
              <w:t>不涉及风险导则附录</w:t>
            </w:r>
            <w:r>
              <w:rPr>
                <w:color w:val="auto"/>
                <w:kern w:val="0"/>
                <w:sz w:val="24"/>
              </w:rPr>
              <w:t>C</w:t>
            </w:r>
            <w:r>
              <w:rPr>
                <w:rFonts w:hAnsi="宋体"/>
                <w:color w:val="auto"/>
                <w:kern w:val="0"/>
                <w:sz w:val="24"/>
              </w:rPr>
              <w:t>表</w:t>
            </w:r>
            <w:r>
              <w:rPr>
                <w:color w:val="auto"/>
                <w:kern w:val="0"/>
                <w:sz w:val="24"/>
              </w:rPr>
              <w:t>C.1</w:t>
            </w:r>
            <w:r>
              <w:rPr>
                <w:rFonts w:hAnsi="宋体"/>
                <w:color w:val="auto"/>
                <w:kern w:val="0"/>
                <w:sz w:val="24"/>
              </w:rPr>
              <w:t>中的危险工艺，只涉及危险物质的使用和贮存。</w:t>
            </w:r>
          </w:p>
          <w:p w14:paraId="61BA8F3A">
            <w:pPr>
              <w:widowControl/>
              <w:autoSpaceDE w:val="0"/>
              <w:autoSpaceDN w:val="0"/>
              <w:adjustRightInd w:val="0"/>
              <w:snapToGrid w:val="0"/>
              <w:spacing w:line="360" w:lineRule="auto"/>
              <w:ind w:firstLine="480" w:firstLineChars="200"/>
              <w:jc w:val="left"/>
              <w:rPr>
                <w:color w:val="auto"/>
                <w:kern w:val="0"/>
                <w:sz w:val="24"/>
              </w:rPr>
            </w:pPr>
            <w:r>
              <w:rPr>
                <w:rFonts w:ascii="宋体" w:hAnsi="宋体"/>
                <w:color w:val="auto"/>
                <w:kern w:val="0"/>
                <w:sz w:val="24"/>
              </w:rPr>
              <w:t>③</w:t>
            </w:r>
            <w:r>
              <w:rPr>
                <w:rFonts w:hAnsi="宋体"/>
                <w:color w:val="auto"/>
                <w:kern w:val="0"/>
                <w:sz w:val="24"/>
              </w:rPr>
              <w:t>风险潜势初判根据</w:t>
            </w:r>
            <w:r>
              <w:rPr>
                <w:rFonts w:hAnsi="宋体"/>
                <w:bCs/>
                <w:color w:val="auto"/>
                <w:kern w:val="0"/>
                <w:sz w:val="24"/>
              </w:rPr>
              <w:t>技改项目</w:t>
            </w:r>
            <w:r>
              <w:rPr>
                <w:rFonts w:hAnsi="宋体"/>
                <w:color w:val="auto"/>
                <w:kern w:val="0"/>
                <w:sz w:val="24"/>
              </w:rPr>
              <w:t>所涉及的每种危险物质在厂界内的最大存在总量与其在附录</w:t>
            </w:r>
            <w:r>
              <w:rPr>
                <w:color w:val="auto"/>
                <w:kern w:val="0"/>
                <w:sz w:val="24"/>
              </w:rPr>
              <w:t>B</w:t>
            </w:r>
            <w:r>
              <w:rPr>
                <w:rFonts w:hAnsi="宋体"/>
                <w:color w:val="auto"/>
                <w:kern w:val="0"/>
                <w:sz w:val="24"/>
              </w:rPr>
              <w:t>中对应临界量的比值计算</w:t>
            </w:r>
            <w:r>
              <w:rPr>
                <w:color w:val="auto"/>
                <w:kern w:val="0"/>
                <w:sz w:val="24"/>
              </w:rPr>
              <w:t>Q</w:t>
            </w:r>
            <w:r>
              <w:rPr>
                <w:rFonts w:hAnsi="宋体"/>
                <w:color w:val="auto"/>
                <w:kern w:val="0"/>
                <w:sz w:val="24"/>
              </w:rPr>
              <w:t>，判定情况见表</w:t>
            </w:r>
            <w:r>
              <w:rPr>
                <w:rFonts w:hint="eastAsia"/>
                <w:color w:val="auto"/>
                <w:kern w:val="0"/>
                <w:sz w:val="24"/>
                <w:lang w:val="en-US" w:eastAsia="zh-CN"/>
              </w:rPr>
              <w:t>4-24</w:t>
            </w:r>
            <w:r>
              <w:rPr>
                <w:rFonts w:hAnsi="宋体"/>
                <w:color w:val="auto"/>
                <w:kern w:val="0"/>
                <w:sz w:val="24"/>
              </w:rPr>
              <w:t>。</w:t>
            </w:r>
          </w:p>
          <w:p w14:paraId="3F573B8D">
            <w:pPr>
              <w:widowControl/>
              <w:autoSpaceDE w:val="0"/>
              <w:autoSpaceDN w:val="0"/>
              <w:adjustRightInd w:val="0"/>
              <w:snapToGrid w:val="0"/>
              <w:jc w:val="center"/>
              <w:rPr>
                <w:b/>
                <w:bCs/>
                <w:color w:val="auto"/>
                <w:kern w:val="0"/>
                <w:sz w:val="24"/>
              </w:rPr>
            </w:pPr>
            <w:r>
              <w:rPr>
                <w:rFonts w:hAnsi="宋体"/>
                <w:b/>
                <w:bCs/>
                <w:color w:val="auto"/>
                <w:kern w:val="0"/>
                <w:sz w:val="24"/>
              </w:rPr>
              <w:t>表</w:t>
            </w:r>
            <w:r>
              <w:rPr>
                <w:rFonts w:hint="eastAsia"/>
                <w:b/>
                <w:bCs/>
                <w:color w:val="auto"/>
                <w:kern w:val="0"/>
                <w:sz w:val="24"/>
                <w:lang w:val="en-US" w:eastAsia="zh-CN"/>
              </w:rPr>
              <w:t>4-24本项目</w:t>
            </w:r>
            <w:r>
              <w:rPr>
                <w:b/>
                <w:bCs/>
                <w:color w:val="auto"/>
                <w:kern w:val="0"/>
                <w:sz w:val="24"/>
              </w:rPr>
              <w:t>Q</w:t>
            </w:r>
            <w:r>
              <w:rPr>
                <w:rFonts w:hAnsi="宋体"/>
                <w:b/>
                <w:bCs/>
                <w:color w:val="auto"/>
                <w:kern w:val="0"/>
                <w:sz w:val="24"/>
              </w:rPr>
              <w:t>值计算表</w:t>
            </w:r>
          </w:p>
          <w:tbl>
            <w:tblPr>
              <w:tblStyle w:val="32"/>
              <w:tblW w:w="5000" w:type="pct"/>
              <w:jc w:val="center"/>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Layout w:type="autofit"/>
              <w:tblCellMar>
                <w:top w:w="0" w:type="dxa"/>
                <w:left w:w="30" w:type="dxa"/>
                <w:bottom w:w="0" w:type="dxa"/>
                <w:right w:w="30" w:type="dxa"/>
              </w:tblCellMar>
            </w:tblPr>
            <w:tblGrid>
              <w:gridCol w:w="830"/>
              <w:gridCol w:w="1548"/>
              <w:gridCol w:w="1009"/>
              <w:gridCol w:w="1856"/>
              <w:gridCol w:w="1358"/>
              <w:gridCol w:w="1867"/>
            </w:tblGrid>
            <w:tr w14:paraId="768C13CF">
              <w:tblPrEx>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CellMar>
                  <w:top w:w="0" w:type="dxa"/>
                  <w:left w:w="30" w:type="dxa"/>
                  <w:bottom w:w="0" w:type="dxa"/>
                  <w:right w:w="30" w:type="dxa"/>
                </w:tblCellMar>
              </w:tblPrEx>
              <w:trPr>
                <w:trHeight w:val="340" w:hRule="atLeast"/>
                <w:jc w:val="center"/>
              </w:trPr>
              <w:tc>
                <w:tcPr>
                  <w:tcW w:w="490" w:type="pct"/>
                  <w:tcBorders>
                    <w:top w:val="single" w:color="auto" w:sz="12" w:space="0"/>
                    <w:left w:val="nil"/>
                    <w:bottom w:val="single" w:color="auto" w:sz="12" w:space="0"/>
                    <w:right w:val="single" w:color="auto" w:sz="4" w:space="0"/>
                  </w:tcBorders>
                  <w:shd w:val="clear" w:color="auto" w:fill="auto"/>
                  <w:noWrap/>
                  <w:vAlign w:val="center"/>
                </w:tcPr>
                <w:p w14:paraId="1CA98D45">
                  <w:pPr>
                    <w:pStyle w:val="147"/>
                    <w:framePr w:hSpace="0" w:wrap="auto" w:vAnchor="margin" w:hAnchor="text" w:yAlign="inline"/>
                    <w:spacing w:before="62"/>
                    <w:rPr>
                      <w:b/>
                      <w:color w:val="auto"/>
                    </w:rPr>
                  </w:pPr>
                  <w:bookmarkStart w:id="49" w:name="_Hlk1402009"/>
                  <w:r>
                    <w:rPr>
                      <w:b/>
                      <w:color w:val="auto"/>
                    </w:rPr>
                    <w:t>序号</w:t>
                  </w:r>
                </w:p>
              </w:tc>
              <w:tc>
                <w:tcPr>
                  <w:tcW w:w="914" w:type="pct"/>
                  <w:tcBorders>
                    <w:top w:val="single" w:color="auto" w:sz="12" w:space="0"/>
                    <w:left w:val="single" w:color="auto" w:sz="4" w:space="0"/>
                    <w:bottom w:val="single" w:color="auto" w:sz="12" w:space="0"/>
                    <w:right w:val="single" w:color="auto" w:sz="4" w:space="0"/>
                  </w:tcBorders>
                  <w:shd w:val="clear" w:color="auto" w:fill="auto"/>
                  <w:noWrap/>
                  <w:vAlign w:val="center"/>
                </w:tcPr>
                <w:p w14:paraId="3533C3F0">
                  <w:pPr>
                    <w:pStyle w:val="147"/>
                    <w:framePr w:hSpace="0" w:wrap="auto" w:vAnchor="margin" w:hAnchor="text" w:yAlign="inline"/>
                    <w:spacing w:before="62"/>
                    <w:rPr>
                      <w:b/>
                      <w:color w:val="auto"/>
                    </w:rPr>
                  </w:pPr>
                  <w:r>
                    <w:rPr>
                      <w:b/>
                      <w:color w:val="auto"/>
                    </w:rPr>
                    <w:t>危险物质名称</w:t>
                  </w:r>
                </w:p>
              </w:tc>
              <w:tc>
                <w:tcPr>
                  <w:tcW w:w="596" w:type="pct"/>
                  <w:tcBorders>
                    <w:top w:val="single" w:color="auto" w:sz="12" w:space="0"/>
                    <w:left w:val="single" w:color="auto" w:sz="4" w:space="0"/>
                    <w:bottom w:val="single" w:color="auto" w:sz="12" w:space="0"/>
                    <w:right w:val="single" w:color="auto" w:sz="4" w:space="0"/>
                  </w:tcBorders>
                  <w:shd w:val="clear" w:color="auto" w:fill="auto"/>
                  <w:noWrap/>
                  <w:vAlign w:val="center"/>
                </w:tcPr>
                <w:p w14:paraId="3DDAF5FE">
                  <w:pPr>
                    <w:pStyle w:val="147"/>
                    <w:framePr w:hSpace="0" w:wrap="auto" w:vAnchor="margin" w:hAnchor="text" w:yAlign="inline"/>
                    <w:spacing w:before="62"/>
                    <w:rPr>
                      <w:b/>
                      <w:color w:val="auto"/>
                    </w:rPr>
                  </w:pPr>
                  <w:r>
                    <w:rPr>
                      <w:b/>
                      <w:color w:val="auto"/>
                    </w:rPr>
                    <w:t>CAS号</w:t>
                  </w:r>
                </w:p>
              </w:tc>
              <w:tc>
                <w:tcPr>
                  <w:tcW w:w="1096" w:type="pct"/>
                  <w:tcBorders>
                    <w:top w:val="single" w:color="auto" w:sz="12" w:space="0"/>
                    <w:left w:val="single" w:color="auto" w:sz="4" w:space="0"/>
                    <w:bottom w:val="single" w:color="auto" w:sz="12" w:space="0"/>
                    <w:right w:val="single" w:color="auto" w:sz="4" w:space="0"/>
                  </w:tcBorders>
                  <w:shd w:val="clear" w:color="auto" w:fill="auto"/>
                  <w:noWrap/>
                  <w:vAlign w:val="center"/>
                </w:tcPr>
                <w:p w14:paraId="054A1981">
                  <w:pPr>
                    <w:pStyle w:val="147"/>
                    <w:framePr w:hSpace="0" w:wrap="auto" w:vAnchor="margin" w:hAnchor="text" w:yAlign="inline"/>
                    <w:spacing w:before="62"/>
                    <w:rPr>
                      <w:b/>
                      <w:color w:val="auto"/>
                    </w:rPr>
                  </w:pPr>
                  <w:r>
                    <w:rPr>
                      <w:b/>
                      <w:color w:val="auto"/>
                    </w:rPr>
                    <w:t>最大存在总量qn/t</w:t>
                  </w:r>
                </w:p>
              </w:tc>
              <w:tc>
                <w:tcPr>
                  <w:tcW w:w="802" w:type="pct"/>
                  <w:tcBorders>
                    <w:top w:val="single" w:color="auto" w:sz="12" w:space="0"/>
                    <w:left w:val="single" w:color="auto" w:sz="4" w:space="0"/>
                    <w:bottom w:val="single" w:color="auto" w:sz="12" w:space="0"/>
                    <w:right w:val="single" w:color="auto" w:sz="4" w:space="0"/>
                  </w:tcBorders>
                  <w:shd w:val="clear" w:color="auto" w:fill="auto"/>
                  <w:noWrap/>
                  <w:vAlign w:val="center"/>
                </w:tcPr>
                <w:p w14:paraId="69DBD85E">
                  <w:pPr>
                    <w:pStyle w:val="147"/>
                    <w:framePr w:hSpace="0" w:wrap="auto" w:vAnchor="margin" w:hAnchor="text" w:yAlign="inline"/>
                    <w:spacing w:before="62"/>
                    <w:rPr>
                      <w:b/>
                      <w:color w:val="auto"/>
                    </w:rPr>
                  </w:pPr>
                  <w:r>
                    <w:rPr>
                      <w:b/>
                      <w:color w:val="auto"/>
                    </w:rPr>
                    <w:t>临界量Qn/t</w:t>
                  </w:r>
                </w:p>
              </w:tc>
              <w:tc>
                <w:tcPr>
                  <w:tcW w:w="1102" w:type="pct"/>
                  <w:tcBorders>
                    <w:top w:val="single" w:color="auto" w:sz="12" w:space="0"/>
                    <w:left w:val="single" w:color="auto" w:sz="4" w:space="0"/>
                    <w:bottom w:val="single" w:color="auto" w:sz="12" w:space="0"/>
                    <w:right w:val="nil"/>
                  </w:tcBorders>
                  <w:shd w:val="clear" w:color="auto" w:fill="auto"/>
                  <w:noWrap/>
                  <w:vAlign w:val="center"/>
                </w:tcPr>
                <w:p w14:paraId="127B6761">
                  <w:pPr>
                    <w:pStyle w:val="147"/>
                    <w:framePr w:hSpace="0" w:wrap="auto" w:vAnchor="margin" w:hAnchor="text" w:yAlign="inline"/>
                    <w:spacing w:before="62"/>
                    <w:rPr>
                      <w:b/>
                      <w:color w:val="auto"/>
                    </w:rPr>
                  </w:pPr>
                  <w:r>
                    <w:rPr>
                      <w:b/>
                      <w:color w:val="auto"/>
                    </w:rPr>
                    <w:t>该种危险物质Q值</w:t>
                  </w:r>
                </w:p>
              </w:tc>
            </w:tr>
            <w:tr w14:paraId="4ADD588E">
              <w:tblPrEx>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CellMar>
                  <w:top w:w="0" w:type="dxa"/>
                  <w:left w:w="30" w:type="dxa"/>
                  <w:bottom w:w="0" w:type="dxa"/>
                  <w:right w:w="30" w:type="dxa"/>
                </w:tblCellMar>
              </w:tblPrEx>
              <w:trPr>
                <w:trHeight w:val="340" w:hRule="atLeast"/>
                <w:jc w:val="center"/>
              </w:trPr>
              <w:tc>
                <w:tcPr>
                  <w:tcW w:w="490" w:type="pct"/>
                  <w:tcBorders>
                    <w:bottom w:val="single" w:color="auto" w:sz="4" w:space="0"/>
                  </w:tcBorders>
                  <w:shd w:val="clear" w:color="auto" w:fill="auto"/>
                  <w:noWrap/>
                  <w:vAlign w:val="center"/>
                </w:tcPr>
                <w:p w14:paraId="1FEB245F">
                  <w:pPr>
                    <w:pStyle w:val="147"/>
                    <w:framePr w:hSpace="0" w:wrap="auto" w:vAnchor="margin" w:hAnchor="text" w:yAlign="inline"/>
                    <w:rPr>
                      <w:color w:val="auto"/>
                    </w:rPr>
                  </w:pPr>
                  <w:r>
                    <w:rPr>
                      <w:rFonts w:hint="eastAsia"/>
                      <w:color w:val="auto"/>
                    </w:rPr>
                    <w:t>1</w:t>
                  </w:r>
                </w:p>
              </w:tc>
              <w:tc>
                <w:tcPr>
                  <w:tcW w:w="914" w:type="pct"/>
                  <w:tcBorders>
                    <w:bottom w:val="single" w:color="auto" w:sz="4" w:space="0"/>
                  </w:tcBorders>
                  <w:shd w:val="clear" w:color="auto" w:fill="auto"/>
                  <w:noWrap/>
                  <w:vAlign w:val="center"/>
                </w:tcPr>
                <w:p w14:paraId="28939A33">
                  <w:pPr>
                    <w:adjustRightInd w:val="0"/>
                    <w:snapToGrid w:val="0"/>
                    <w:jc w:val="center"/>
                    <w:rPr>
                      <w:color w:val="auto"/>
                      <w:szCs w:val="21"/>
                    </w:rPr>
                  </w:pPr>
                  <w:r>
                    <w:rPr>
                      <w:rFonts w:hint="eastAsia"/>
                      <w:color w:val="auto"/>
                      <w:szCs w:val="21"/>
                    </w:rPr>
                    <w:t>乙醇</w:t>
                  </w:r>
                </w:p>
              </w:tc>
              <w:tc>
                <w:tcPr>
                  <w:tcW w:w="596" w:type="pct"/>
                  <w:tcBorders>
                    <w:bottom w:val="single" w:color="auto" w:sz="4" w:space="0"/>
                  </w:tcBorders>
                  <w:shd w:val="clear" w:color="auto" w:fill="auto"/>
                  <w:noWrap/>
                  <w:vAlign w:val="center"/>
                </w:tcPr>
                <w:p w14:paraId="646A21F9">
                  <w:pPr>
                    <w:adjustRightInd w:val="0"/>
                    <w:snapToGrid w:val="0"/>
                    <w:jc w:val="center"/>
                    <w:rPr>
                      <w:color w:val="auto"/>
                      <w:szCs w:val="21"/>
                    </w:rPr>
                  </w:pPr>
                  <w:r>
                    <w:rPr>
                      <w:rFonts w:hint="eastAsia"/>
                      <w:color w:val="auto"/>
                      <w:szCs w:val="21"/>
                    </w:rPr>
                    <w:t>6</w:t>
                  </w:r>
                  <w:r>
                    <w:rPr>
                      <w:color w:val="auto"/>
                      <w:szCs w:val="21"/>
                    </w:rPr>
                    <w:t>4</w:t>
                  </w:r>
                  <w:r>
                    <w:rPr>
                      <w:rFonts w:hint="eastAsia"/>
                      <w:color w:val="auto"/>
                      <w:szCs w:val="21"/>
                    </w:rPr>
                    <w:t>-</w:t>
                  </w:r>
                  <w:r>
                    <w:rPr>
                      <w:color w:val="auto"/>
                      <w:szCs w:val="21"/>
                    </w:rPr>
                    <w:t>17</w:t>
                  </w:r>
                  <w:r>
                    <w:rPr>
                      <w:rFonts w:hint="eastAsia"/>
                      <w:color w:val="auto"/>
                      <w:szCs w:val="21"/>
                    </w:rPr>
                    <w:t>-</w:t>
                  </w:r>
                  <w:r>
                    <w:rPr>
                      <w:color w:val="auto"/>
                      <w:szCs w:val="21"/>
                    </w:rPr>
                    <w:t>5</w:t>
                  </w:r>
                </w:p>
              </w:tc>
              <w:tc>
                <w:tcPr>
                  <w:tcW w:w="1096" w:type="pct"/>
                  <w:tcBorders>
                    <w:bottom w:val="single" w:color="auto" w:sz="4" w:space="0"/>
                  </w:tcBorders>
                  <w:shd w:val="clear" w:color="auto" w:fill="auto"/>
                  <w:noWrap/>
                  <w:vAlign w:val="center"/>
                </w:tcPr>
                <w:p w14:paraId="39B39BC0">
                  <w:pPr>
                    <w:adjustRightInd w:val="0"/>
                    <w:snapToGrid w:val="0"/>
                    <w:jc w:val="center"/>
                    <w:rPr>
                      <w:color w:val="auto"/>
                      <w:szCs w:val="21"/>
                    </w:rPr>
                  </w:pPr>
                  <w:r>
                    <w:rPr>
                      <w:rFonts w:hint="eastAsia"/>
                      <w:color w:val="auto"/>
                      <w:szCs w:val="21"/>
                    </w:rPr>
                    <w:t>0</w:t>
                  </w:r>
                  <w:r>
                    <w:rPr>
                      <w:color w:val="auto"/>
                      <w:szCs w:val="21"/>
                    </w:rPr>
                    <w:t>.05</w:t>
                  </w:r>
                </w:p>
              </w:tc>
              <w:tc>
                <w:tcPr>
                  <w:tcW w:w="802" w:type="pct"/>
                  <w:tcBorders>
                    <w:bottom w:val="single" w:color="auto" w:sz="4" w:space="0"/>
                  </w:tcBorders>
                  <w:shd w:val="clear" w:color="auto" w:fill="auto"/>
                  <w:noWrap/>
                  <w:vAlign w:val="center"/>
                </w:tcPr>
                <w:p w14:paraId="7A4A12DC">
                  <w:pPr>
                    <w:adjustRightInd w:val="0"/>
                    <w:snapToGrid w:val="0"/>
                    <w:jc w:val="center"/>
                    <w:rPr>
                      <w:color w:val="auto"/>
                      <w:szCs w:val="21"/>
                    </w:rPr>
                  </w:pPr>
                  <w:r>
                    <w:rPr>
                      <w:color w:val="auto"/>
                      <w:szCs w:val="21"/>
                    </w:rPr>
                    <w:t>500</w:t>
                  </w:r>
                </w:p>
              </w:tc>
              <w:tc>
                <w:tcPr>
                  <w:tcW w:w="1102" w:type="pct"/>
                  <w:tcBorders>
                    <w:bottom w:val="single" w:color="auto" w:sz="4" w:space="0"/>
                  </w:tcBorders>
                  <w:shd w:val="clear" w:color="auto" w:fill="auto"/>
                  <w:noWrap/>
                  <w:vAlign w:val="center"/>
                </w:tcPr>
                <w:p w14:paraId="2D7ED880">
                  <w:pPr>
                    <w:adjustRightInd w:val="0"/>
                    <w:snapToGrid w:val="0"/>
                    <w:jc w:val="center"/>
                    <w:rPr>
                      <w:color w:val="auto"/>
                      <w:szCs w:val="21"/>
                    </w:rPr>
                  </w:pPr>
                  <w:r>
                    <w:rPr>
                      <w:rFonts w:hint="eastAsia"/>
                      <w:color w:val="auto"/>
                      <w:szCs w:val="21"/>
                    </w:rPr>
                    <w:t>0</w:t>
                  </w:r>
                  <w:r>
                    <w:rPr>
                      <w:color w:val="auto"/>
                      <w:szCs w:val="21"/>
                    </w:rPr>
                    <w:t>.0001</w:t>
                  </w:r>
                </w:p>
              </w:tc>
            </w:tr>
            <w:tr w14:paraId="7C636FD9">
              <w:tblPrEx>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CellMar>
                  <w:top w:w="0" w:type="dxa"/>
                  <w:left w:w="30" w:type="dxa"/>
                  <w:bottom w:w="0" w:type="dxa"/>
                  <w:right w:w="30" w:type="dxa"/>
                </w:tblCellMar>
              </w:tblPrEx>
              <w:trPr>
                <w:trHeight w:val="340" w:hRule="atLeast"/>
                <w:jc w:val="center"/>
              </w:trPr>
              <w:tc>
                <w:tcPr>
                  <w:tcW w:w="3898" w:type="pct"/>
                  <w:gridSpan w:val="5"/>
                  <w:tcBorders>
                    <w:top w:val="single" w:color="auto" w:sz="4" w:space="0"/>
                  </w:tcBorders>
                  <w:shd w:val="clear" w:color="auto" w:fill="auto"/>
                  <w:noWrap/>
                  <w:vAlign w:val="center"/>
                </w:tcPr>
                <w:p w14:paraId="6E890C75">
                  <w:pPr>
                    <w:adjustRightInd w:val="0"/>
                    <w:snapToGrid w:val="0"/>
                    <w:jc w:val="center"/>
                    <w:rPr>
                      <w:color w:val="auto"/>
                    </w:rPr>
                  </w:pPr>
                  <w:r>
                    <w:rPr>
                      <w:color w:val="auto"/>
                      <w:szCs w:val="21"/>
                    </w:rPr>
                    <w:t>合计</w:t>
                  </w:r>
                </w:p>
              </w:tc>
              <w:tc>
                <w:tcPr>
                  <w:tcW w:w="1102" w:type="pct"/>
                  <w:tcBorders>
                    <w:top w:val="single" w:color="auto" w:sz="4" w:space="0"/>
                  </w:tcBorders>
                  <w:shd w:val="clear" w:color="auto" w:fill="auto"/>
                  <w:noWrap/>
                  <w:vAlign w:val="center"/>
                </w:tcPr>
                <w:p w14:paraId="2467B192">
                  <w:pPr>
                    <w:adjustRightInd w:val="0"/>
                    <w:snapToGrid w:val="0"/>
                    <w:jc w:val="center"/>
                    <w:rPr>
                      <w:color w:val="auto"/>
                    </w:rPr>
                  </w:pPr>
                  <w:r>
                    <w:rPr>
                      <w:rFonts w:hint="eastAsia"/>
                      <w:color w:val="auto"/>
                    </w:rPr>
                    <w:t>0.</w:t>
                  </w:r>
                  <w:r>
                    <w:rPr>
                      <w:color w:val="auto"/>
                    </w:rPr>
                    <w:t>0001</w:t>
                  </w:r>
                </w:p>
              </w:tc>
            </w:tr>
            <w:bookmarkEnd w:id="49"/>
          </w:tbl>
          <w:p w14:paraId="0D428FD4">
            <w:pPr>
              <w:widowControl/>
              <w:autoSpaceDE w:val="0"/>
              <w:autoSpaceDN w:val="0"/>
              <w:adjustRightInd w:val="0"/>
              <w:snapToGrid w:val="0"/>
              <w:spacing w:before="120" w:beforeLines="50" w:line="360" w:lineRule="auto"/>
              <w:ind w:firstLine="480" w:firstLineChars="200"/>
              <w:jc w:val="left"/>
              <w:rPr>
                <w:color w:val="auto"/>
                <w:kern w:val="0"/>
                <w:sz w:val="24"/>
              </w:rPr>
            </w:pPr>
            <w:r>
              <w:rPr>
                <w:rFonts w:hAnsi="宋体"/>
                <w:color w:val="auto"/>
                <w:kern w:val="0"/>
                <w:sz w:val="24"/>
              </w:rPr>
              <w:t>根据《建设项目环境风险评价技术导则》（</w:t>
            </w:r>
            <w:r>
              <w:rPr>
                <w:color w:val="auto"/>
                <w:kern w:val="0"/>
                <w:sz w:val="24"/>
              </w:rPr>
              <w:t>HJ169-2018</w:t>
            </w:r>
            <w:r>
              <w:rPr>
                <w:rFonts w:hAnsi="宋体"/>
                <w:color w:val="auto"/>
                <w:kern w:val="0"/>
                <w:sz w:val="24"/>
              </w:rPr>
              <w:t>）附录</w:t>
            </w:r>
            <w:r>
              <w:rPr>
                <w:color w:val="auto"/>
                <w:kern w:val="0"/>
                <w:sz w:val="24"/>
              </w:rPr>
              <w:t>C</w:t>
            </w:r>
            <w:r>
              <w:rPr>
                <w:rFonts w:hAnsi="宋体"/>
                <w:color w:val="auto"/>
                <w:kern w:val="0"/>
                <w:sz w:val="24"/>
              </w:rPr>
              <w:t>，上表中物质的</w:t>
            </w:r>
            <w:r>
              <w:rPr>
                <w:color w:val="auto"/>
                <w:kern w:val="0"/>
                <w:sz w:val="24"/>
              </w:rPr>
              <w:t>Q</w:t>
            </w:r>
            <w:r>
              <w:rPr>
                <w:rFonts w:hAnsi="宋体"/>
                <w:color w:val="auto"/>
                <w:kern w:val="0"/>
                <w:sz w:val="24"/>
              </w:rPr>
              <w:t>（</w:t>
            </w:r>
            <w:r>
              <w:rPr>
                <w:rFonts w:hint="eastAsia"/>
                <w:color w:val="auto"/>
                <w:kern w:val="0"/>
                <w:sz w:val="24"/>
                <w:lang w:val="en-US" w:eastAsia="zh-CN"/>
              </w:rPr>
              <w:t>0.0001</w:t>
            </w:r>
            <w:r>
              <w:rPr>
                <w:rFonts w:hAnsi="宋体"/>
                <w:color w:val="auto"/>
                <w:kern w:val="0"/>
                <w:sz w:val="24"/>
              </w:rPr>
              <w:t>）＜</w:t>
            </w:r>
            <w:r>
              <w:rPr>
                <w:color w:val="auto"/>
                <w:kern w:val="0"/>
                <w:sz w:val="24"/>
              </w:rPr>
              <w:t>1</w:t>
            </w:r>
            <w:r>
              <w:rPr>
                <w:rFonts w:hAnsi="宋体"/>
                <w:color w:val="auto"/>
                <w:kern w:val="0"/>
                <w:sz w:val="24"/>
              </w:rPr>
              <w:t>，建设项目环境风险潜势为</w:t>
            </w:r>
            <w:r>
              <w:rPr>
                <w:color w:val="auto"/>
                <w:kern w:val="0"/>
                <w:sz w:val="24"/>
              </w:rPr>
              <w:t>Ⅰ</w:t>
            </w:r>
            <w:r>
              <w:rPr>
                <w:rFonts w:hAnsi="宋体"/>
                <w:color w:val="auto"/>
                <w:kern w:val="0"/>
                <w:sz w:val="24"/>
              </w:rPr>
              <w:t>。</w:t>
            </w:r>
          </w:p>
          <w:p w14:paraId="4C9296B8">
            <w:pPr>
              <w:widowControl/>
              <w:autoSpaceDE w:val="0"/>
              <w:autoSpaceDN w:val="0"/>
              <w:adjustRightInd w:val="0"/>
              <w:snapToGrid w:val="0"/>
              <w:spacing w:line="360" w:lineRule="auto"/>
              <w:ind w:firstLine="482" w:firstLineChars="200"/>
              <w:rPr>
                <w:b/>
                <w:color w:val="auto"/>
                <w:kern w:val="0"/>
                <w:sz w:val="24"/>
              </w:rPr>
            </w:pPr>
            <w:r>
              <w:rPr>
                <w:b/>
                <w:color w:val="auto"/>
                <w:kern w:val="0"/>
                <w:sz w:val="24"/>
              </w:rPr>
              <w:t>7.2</w:t>
            </w:r>
            <w:r>
              <w:rPr>
                <w:rFonts w:hAnsi="宋体"/>
                <w:b/>
                <w:color w:val="auto"/>
                <w:kern w:val="0"/>
                <w:sz w:val="24"/>
              </w:rPr>
              <w:t>环境风险识别</w:t>
            </w:r>
          </w:p>
          <w:p w14:paraId="62DF9DD0">
            <w:pPr>
              <w:widowControl/>
              <w:adjustRightInd w:val="0"/>
              <w:snapToGrid w:val="0"/>
              <w:ind w:firstLine="482" w:firstLineChars="200"/>
              <w:jc w:val="center"/>
              <w:rPr>
                <w:b/>
                <w:bCs/>
                <w:color w:val="auto"/>
                <w:kern w:val="0"/>
                <w:sz w:val="24"/>
              </w:rPr>
            </w:pPr>
            <w:r>
              <w:rPr>
                <w:rFonts w:hAnsi="宋体"/>
                <w:b/>
                <w:bCs/>
                <w:color w:val="auto"/>
                <w:kern w:val="0"/>
                <w:sz w:val="24"/>
              </w:rPr>
              <w:t>表</w:t>
            </w:r>
            <w:r>
              <w:rPr>
                <w:rFonts w:hint="eastAsia"/>
                <w:b/>
                <w:bCs/>
                <w:color w:val="auto"/>
                <w:kern w:val="0"/>
                <w:sz w:val="24"/>
                <w:lang w:val="en-US" w:eastAsia="zh-CN" w:bidi="en-US"/>
              </w:rPr>
              <w:t>4-25</w:t>
            </w:r>
            <w:r>
              <w:rPr>
                <w:rFonts w:hAnsi="宋体"/>
                <w:b/>
                <w:bCs/>
                <w:color w:val="auto"/>
                <w:kern w:val="0"/>
                <w:sz w:val="24"/>
              </w:rPr>
              <w:t>建设项目环境风险识别汇总表</w:t>
            </w:r>
          </w:p>
          <w:tbl>
            <w:tblPr>
              <w:tblStyle w:val="32"/>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28" w:type="dxa"/>
                <w:bottom w:w="0" w:type="dxa"/>
                <w:right w:w="28" w:type="dxa"/>
              </w:tblCellMar>
            </w:tblPr>
            <w:tblGrid>
              <w:gridCol w:w="561"/>
              <w:gridCol w:w="1910"/>
              <w:gridCol w:w="1319"/>
              <w:gridCol w:w="1502"/>
              <w:gridCol w:w="1368"/>
              <w:gridCol w:w="1808"/>
            </w:tblGrid>
            <w:tr w14:paraId="5C36CFA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331" w:type="pct"/>
                  <w:vAlign w:val="center"/>
                </w:tcPr>
                <w:p w14:paraId="25D9DDAF">
                  <w:pPr>
                    <w:adjustRightInd w:val="0"/>
                    <w:snapToGrid w:val="0"/>
                    <w:jc w:val="center"/>
                    <w:rPr>
                      <w:rFonts w:eastAsiaTheme="minorEastAsia"/>
                      <w:b/>
                      <w:color w:val="auto"/>
                      <w:sz w:val="21"/>
                      <w:szCs w:val="21"/>
                    </w:rPr>
                  </w:pPr>
                  <w:r>
                    <w:rPr>
                      <w:rFonts w:hAnsiTheme="minorEastAsia" w:eastAsiaTheme="minorEastAsia"/>
                      <w:b/>
                      <w:color w:val="auto"/>
                      <w:sz w:val="21"/>
                      <w:szCs w:val="21"/>
                    </w:rPr>
                    <w:t>序号</w:t>
                  </w:r>
                </w:p>
              </w:tc>
              <w:tc>
                <w:tcPr>
                  <w:tcW w:w="1127" w:type="pct"/>
                  <w:vAlign w:val="center"/>
                </w:tcPr>
                <w:p w14:paraId="3809962A">
                  <w:pPr>
                    <w:adjustRightInd w:val="0"/>
                    <w:snapToGrid w:val="0"/>
                    <w:jc w:val="center"/>
                    <w:rPr>
                      <w:rFonts w:eastAsiaTheme="minorEastAsia"/>
                      <w:b/>
                      <w:color w:val="auto"/>
                      <w:sz w:val="21"/>
                      <w:szCs w:val="21"/>
                    </w:rPr>
                  </w:pPr>
                  <w:r>
                    <w:rPr>
                      <w:rFonts w:hAnsiTheme="minorEastAsia" w:eastAsiaTheme="minorEastAsia"/>
                      <w:b/>
                      <w:color w:val="auto"/>
                      <w:sz w:val="21"/>
                      <w:szCs w:val="21"/>
                    </w:rPr>
                    <w:t>危险单元</w:t>
                  </w:r>
                </w:p>
              </w:tc>
              <w:tc>
                <w:tcPr>
                  <w:tcW w:w="778" w:type="pct"/>
                  <w:vAlign w:val="center"/>
                </w:tcPr>
                <w:p w14:paraId="57CE4E11">
                  <w:pPr>
                    <w:adjustRightInd w:val="0"/>
                    <w:snapToGrid w:val="0"/>
                    <w:jc w:val="center"/>
                    <w:rPr>
                      <w:rFonts w:eastAsiaTheme="minorEastAsia"/>
                      <w:b/>
                      <w:color w:val="auto"/>
                      <w:sz w:val="21"/>
                      <w:szCs w:val="21"/>
                    </w:rPr>
                  </w:pPr>
                  <w:r>
                    <w:rPr>
                      <w:rFonts w:hAnsiTheme="minorEastAsia" w:eastAsiaTheme="minorEastAsia"/>
                      <w:b/>
                      <w:color w:val="auto"/>
                      <w:sz w:val="21"/>
                      <w:szCs w:val="21"/>
                    </w:rPr>
                    <w:t>主要危险</w:t>
                  </w:r>
                </w:p>
                <w:p w14:paraId="25CB78D3">
                  <w:pPr>
                    <w:adjustRightInd w:val="0"/>
                    <w:snapToGrid w:val="0"/>
                    <w:jc w:val="center"/>
                    <w:rPr>
                      <w:rFonts w:eastAsiaTheme="minorEastAsia"/>
                      <w:b/>
                      <w:color w:val="auto"/>
                      <w:sz w:val="21"/>
                      <w:szCs w:val="21"/>
                    </w:rPr>
                  </w:pPr>
                  <w:r>
                    <w:rPr>
                      <w:rFonts w:hAnsiTheme="minorEastAsia" w:eastAsiaTheme="minorEastAsia"/>
                      <w:b/>
                      <w:color w:val="auto"/>
                      <w:sz w:val="21"/>
                      <w:szCs w:val="21"/>
                    </w:rPr>
                    <w:t>物质</w:t>
                  </w:r>
                </w:p>
              </w:tc>
              <w:tc>
                <w:tcPr>
                  <w:tcW w:w="886" w:type="pct"/>
                  <w:vAlign w:val="center"/>
                </w:tcPr>
                <w:p w14:paraId="34832426">
                  <w:pPr>
                    <w:adjustRightInd w:val="0"/>
                    <w:snapToGrid w:val="0"/>
                    <w:jc w:val="center"/>
                    <w:rPr>
                      <w:rFonts w:eastAsiaTheme="minorEastAsia"/>
                      <w:b/>
                      <w:color w:val="auto"/>
                      <w:sz w:val="21"/>
                      <w:szCs w:val="21"/>
                    </w:rPr>
                  </w:pPr>
                  <w:r>
                    <w:rPr>
                      <w:rFonts w:hAnsiTheme="minorEastAsia" w:eastAsiaTheme="minorEastAsia"/>
                      <w:b/>
                      <w:color w:val="auto"/>
                      <w:sz w:val="21"/>
                      <w:szCs w:val="21"/>
                    </w:rPr>
                    <w:t>环境风险类型</w:t>
                  </w:r>
                </w:p>
              </w:tc>
              <w:tc>
                <w:tcPr>
                  <w:tcW w:w="807" w:type="pct"/>
                  <w:vAlign w:val="center"/>
                </w:tcPr>
                <w:p w14:paraId="3C27ACDA">
                  <w:pPr>
                    <w:adjustRightInd w:val="0"/>
                    <w:snapToGrid w:val="0"/>
                    <w:jc w:val="center"/>
                    <w:rPr>
                      <w:rFonts w:eastAsiaTheme="minorEastAsia"/>
                      <w:b/>
                      <w:color w:val="auto"/>
                      <w:sz w:val="21"/>
                      <w:szCs w:val="21"/>
                    </w:rPr>
                  </w:pPr>
                  <w:r>
                    <w:rPr>
                      <w:rFonts w:hAnsiTheme="minorEastAsia" w:eastAsiaTheme="minorEastAsia"/>
                      <w:b/>
                      <w:color w:val="auto"/>
                      <w:sz w:val="21"/>
                      <w:szCs w:val="21"/>
                    </w:rPr>
                    <w:t>环境影响途径</w:t>
                  </w:r>
                </w:p>
              </w:tc>
              <w:tc>
                <w:tcPr>
                  <w:tcW w:w="1066" w:type="pct"/>
                  <w:vAlign w:val="center"/>
                </w:tcPr>
                <w:p w14:paraId="1277D088">
                  <w:pPr>
                    <w:adjustRightInd w:val="0"/>
                    <w:snapToGrid w:val="0"/>
                    <w:jc w:val="center"/>
                    <w:rPr>
                      <w:rFonts w:eastAsiaTheme="minorEastAsia"/>
                      <w:b/>
                      <w:color w:val="auto"/>
                      <w:sz w:val="21"/>
                      <w:szCs w:val="21"/>
                    </w:rPr>
                  </w:pPr>
                  <w:r>
                    <w:rPr>
                      <w:rFonts w:hAnsiTheme="minorEastAsia" w:eastAsiaTheme="minorEastAsia"/>
                      <w:b/>
                      <w:color w:val="auto"/>
                      <w:sz w:val="21"/>
                      <w:szCs w:val="21"/>
                    </w:rPr>
                    <w:t>可能受影响的环境敏感目标</w:t>
                  </w:r>
                </w:p>
              </w:tc>
            </w:tr>
            <w:tr w14:paraId="488C877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06" w:hRule="atLeast"/>
                <w:jc w:val="center"/>
              </w:trPr>
              <w:tc>
                <w:tcPr>
                  <w:tcW w:w="331" w:type="pct"/>
                  <w:tcBorders>
                    <w:bottom w:val="single" w:color="000000" w:sz="12" w:space="0"/>
                  </w:tcBorders>
                  <w:vAlign w:val="center"/>
                </w:tcPr>
                <w:p w14:paraId="307859A4">
                  <w:pPr>
                    <w:adjustRightInd w:val="0"/>
                    <w:snapToGrid w:val="0"/>
                    <w:jc w:val="center"/>
                    <w:rPr>
                      <w:rFonts w:eastAsiaTheme="minorEastAsia"/>
                      <w:color w:val="auto"/>
                      <w:sz w:val="21"/>
                      <w:szCs w:val="21"/>
                    </w:rPr>
                  </w:pPr>
                  <w:r>
                    <w:rPr>
                      <w:rFonts w:eastAsiaTheme="minorEastAsia"/>
                      <w:color w:val="auto"/>
                      <w:sz w:val="21"/>
                      <w:szCs w:val="21"/>
                    </w:rPr>
                    <w:t>1</w:t>
                  </w:r>
                </w:p>
              </w:tc>
              <w:tc>
                <w:tcPr>
                  <w:tcW w:w="1127" w:type="pct"/>
                  <w:tcBorders>
                    <w:bottom w:val="single" w:color="000000" w:sz="12" w:space="0"/>
                  </w:tcBorders>
                  <w:vAlign w:val="center"/>
                </w:tcPr>
                <w:p w14:paraId="2C8F8AA5">
                  <w:pPr>
                    <w:adjustRightInd w:val="0"/>
                    <w:snapToGrid w:val="0"/>
                    <w:jc w:val="center"/>
                    <w:rPr>
                      <w:rFonts w:eastAsiaTheme="minorEastAsia"/>
                      <w:color w:val="auto"/>
                      <w:sz w:val="21"/>
                      <w:szCs w:val="21"/>
                    </w:rPr>
                  </w:pPr>
                  <w:r>
                    <w:rPr>
                      <w:rFonts w:hint="eastAsia" w:hAnsiTheme="minorEastAsia" w:eastAsiaTheme="minorEastAsia"/>
                      <w:color w:val="auto"/>
                      <w:sz w:val="21"/>
                      <w:szCs w:val="21"/>
                      <w:lang w:eastAsia="zh-CN"/>
                    </w:rPr>
                    <w:t>化学品</w:t>
                  </w:r>
                  <w:r>
                    <w:rPr>
                      <w:rFonts w:hint="eastAsia" w:hAnsiTheme="minorEastAsia" w:eastAsiaTheme="minorEastAsia"/>
                      <w:color w:val="auto"/>
                      <w:sz w:val="21"/>
                      <w:szCs w:val="21"/>
                    </w:rPr>
                    <w:t>仓库</w:t>
                  </w:r>
                </w:p>
              </w:tc>
              <w:tc>
                <w:tcPr>
                  <w:tcW w:w="778" w:type="pct"/>
                  <w:tcBorders>
                    <w:bottom w:val="single" w:color="000000" w:sz="12" w:space="0"/>
                  </w:tcBorders>
                  <w:vAlign w:val="center"/>
                </w:tcPr>
                <w:p w14:paraId="6E013F1B">
                  <w:pPr>
                    <w:adjustRightInd w:val="0"/>
                    <w:snapToGrid w:val="0"/>
                    <w:jc w:val="center"/>
                    <w:rPr>
                      <w:rFonts w:hAnsiTheme="minorEastAsia" w:eastAsiaTheme="minorEastAsia"/>
                      <w:color w:val="auto"/>
                      <w:sz w:val="21"/>
                      <w:szCs w:val="21"/>
                    </w:rPr>
                  </w:pPr>
                  <w:r>
                    <w:rPr>
                      <w:rFonts w:hint="eastAsia" w:hAnsiTheme="minorEastAsia" w:eastAsiaTheme="minorEastAsia"/>
                      <w:color w:val="auto"/>
                      <w:sz w:val="21"/>
                      <w:szCs w:val="21"/>
                      <w:lang w:eastAsia="zh-CN"/>
                    </w:rPr>
                    <w:t>乙醇</w:t>
                  </w:r>
                </w:p>
              </w:tc>
              <w:tc>
                <w:tcPr>
                  <w:tcW w:w="886" w:type="pct"/>
                  <w:tcBorders>
                    <w:bottom w:val="single" w:color="000000" w:sz="12" w:space="0"/>
                  </w:tcBorders>
                  <w:vAlign w:val="center"/>
                </w:tcPr>
                <w:p w14:paraId="179D94D6">
                  <w:pPr>
                    <w:adjustRightInd w:val="0"/>
                    <w:snapToGrid w:val="0"/>
                    <w:jc w:val="center"/>
                    <w:rPr>
                      <w:rFonts w:eastAsiaTheme="minorEastAsia"/>
                      <w:color w:val="auto"/>
                      <w:sz w:val="21"/>
                      <w:szCs w:val="21"/>
                    </w:rPr>
                  </w:pPr>
                  <w:r>
                    <w:rPr>
                      <w:rFonts w:hAnsiTheme="minorEastAsia" w:eastAsiaTheme="minorEastAsia"/>
                      <w:color w:val="auto"/>
                      <w:sz w:val="21"/>
                      <w:szCs w:val="21"/>
                    </w:rPr>
                    <w:t>泄漏、火灾</w:t>
                  </w:r>
                </w:p>
              </w:tc>
              <w:tc>
                <w:tcPr>
                  <w:tcW w:w="807" w:type="pct"/>
                  <w:tcBorders>
                    <w:bottom w:val="single" w:color="000000" w:sz="12" w:space="0"/>
                  </w:tcBorders>
                  <w:vAlign w:val="center"/>
                </w:tcPr>
                <w:p w14:paraId="313B9F3A">
                  <w:pPr>
                    <w:adjustRightInd w:val="0"/>
                    <w:snapToGrid w:val="0"/>
                    <w:jc w:val="center"/>
                    <w:rPr>
                      <w:rFonts w:eastAsiaTheme="minorEastAsia"/>
                      <w:color w:val="auto"/>
                      <w:sz w:val="21"/>
                      <w:szCs w:val="21"/>
                    </w:rPr>
                  </w:pPr>
                  <w:r>
                    <w:rPr>
                      <w:rFonts w:hAnsiTheme="minorEastAsia" w:eastAsiaTheme="minorEastAsia"/>
                      <w:color w:val="auto"/>
                      <w:sz w:val="21"/>
                      <w:szCs w:val="21"/>
                    </w:rPr>
                    <w:t>大气、地表水、土壤、地下水</w:t>
                  </w:r>
                </w:p>
              </w:tc>
              <w:tc>
                <w:tcPr>
                  <w:tcW w:w="1066" w:type="pct"/>
                  <w:tcBorders>
                    <w:bottom w:val="single" w:color="000000" w:sz="12" w:space="0"/>
                  </w:tcBorders>
                  <w:vAlign w:val="center"/>
                </w:tcPr>
                <w:p w14:paraId="112FD73F">
                  <w:pPr>
                    <w:adjustRightInd w:val="0"/>
                    <w:snapToGrid w:val="0"/>
                    <w:jc w:val="center"/>
                    <w:rPr>
                      <w:rFonts w:eastAsiaTheme="minorEastAsia"/>
                      <w:color w:val="auto"/>
                      <w:sz w:val="21"/>
                      <w:szCs w:val="21"/>
                    </w:rPr>
                  </w:pPr>
                  <w:r>
                    <w:rPr>
                      <w:rFonts w:hAnsiTheme="minorEastAsia" w:eastAsiaTheme="minorEastAsia"/>
                      <w:color w:val="auto"/>
                      <w:sz w:val="21"/>
                      <w:szCs w:val="21"/>
                    </w:rPr>
                    <w:t>居民区、土壤及地下水、附近水体</w:t>
                  </w:r>
                </w:p>
              </w:tc>
            </w:tr>
          </w:tbl>
          <w:p w14:paraId="39CD7BCB">
            <w:pPr>
              <w:widowControl/>
              <w:autoSpaceDE w:val="0"/>
              <w:autoSpaceDN w:val="0"/>
              <w:adjustRightInd w:val="0"/>
              <w:snapToGrid w:val="0"/>
              <w:spacing w:before="120" w:beforeLines="50" w:line="360" w:lineRule="auto"/>
              <w:ind w:firstLine="482" w:firstLineChars="200"/>
              <w:jc w:val="left"/>
              <w:rPr>
                <w:b/>
                <w:color w:val="auto"/>
                <w:kern w:val="0"/>
                <w:sz w:val="24"/>
              </w:rPr>
            </w:pPr>
            <w:r>
              <w:rPr>
                <w:b/>
                <w:color w:val="auto"/>
                <w:kern w:val="0"/>
                <w:sz w:val="24"/>
              </w:rPr>
              <w:t>7.3</w:t>
            </w:r>
            <w:r>
              <w:rPr>
                <w:rFonts w:hAnsi="宋体"/>
                <w:b/>
                <w:color w:val="auto"/>
                <w:kern w:val="0"/>
                <w:sz w:val="24"/>
              </w:rPr>
              <w:t>环境风险防范措施</w:t>
            </w:r>
          </w:p>
          <w:p w14:paraId="61682506">
            <w:pPr>
              <w:spacing w:line="360" w:lineRule="auto"/>
              <w:ind w:firstLine="480" w:firstLineChars="200"/>
              <w:rPr>
                <w:color w:val="auto"/>
                <w:sz w:val="24"/>
              </w:rPr>
            </w:pPr>
            <w:r>
              <w:rPr>
                <w:color w:val="auto"/>
                <w:sz w:val="24"/>
              </w:rPr>
              <w:t>（1）企业依托镇区设置与生产、储存、运输的物料和操作条件相适应的消防设施，供专职消防人员和岗位操作人员使用；厂区内</w:t>
            </w:r>
            <w:r>
              <w:rPr>
                <w:rFonts w:hint="eastAsia"/>
                <w:color w:val="auto"/>
                <w:sz w:val="24"/>
                <w:lang w:eastAsia="zh-CN"/>
              </w:rPr>
              <w:t>已</w:t>
            </w:r>
            <w:r>
              <w:rPr>
                <w:color w:val="auto"/>
                <w:sz w:val="24"/>
              </w:rPr>
              <w:t>设置578m</w:t>
            </w:r>
            <w:r>
              <w:rPr>
                <w:color w:val="auto"/>
                <w:sz w:val="24"/>
                <w:vertAlign w:val="superscript"/>
              </w:rPr>
              <w:t>3</w:t>
            </w:r>
            <w:r>
              <w:rPr>
                <w:color w:val="auto"/>
                <w:sz w:val="24"/>
              </w:rPr>
              <w:t>的应急事故池。</w:t>
            </w:r>
          </w:p>
          <w:p w14:paraId="2B8A38B7">
            <w:pPr>
              <w:spacing w:line="360" w:lineRule="auto"/>
              <w:ind w:firstLine="480" w:firstLineChars="200"/>
              <w:rPr>
                <w:color w:val="auto"/>
                <w:sz w:val="24"/>
              </w:rPr>
            </w:pPr>
            <w:r>
              <w:rPr>
                <w:color w:val="auto"/>
                <w:sz w:val="24"/>
              </w:rPr>
              <w:t>（2）设立安全与环保专员，负责全厂的安全运营，建立完善的安全生产管理制度，加强安全生产的宣传和教育，确保安全生产落实到生产中的每一个环节，禁止职工人员在车间内吸烟等。</w:t>
            </w:r>
          </w:p>
          <w:p w14:paraId="76E8B8BF">
            <w:pPr>
              <w:spacing w:line="360" w:lineRule="auto"/>
              <w:ind w:firstLine="480" w:firstLineChars="200"/>
              <w:rPr>
                <w:color w:val="auto"/>
                <w:sz w:val="24"/>
              </w:rPr>
            </w:pPr>
            <w:r>
              <w:rPr>
                <w:color w:val="auto"/>
                <w:sz w:val="24"/>
              </w:rPr>
              <w:t>（3）严格按照《建筑设计防火规范》合理布置总图，各生产和辅助装置按功能分别布置，并充分考虑消防和疏散通道等问题，消防隔离带及消防通道要求参照消防有关要求建设、布置，消防通道和建筑物耐火等级应满足消防要求，在危险物品存放区设立警告牌（严禁烟火）。</w:t>
            </w:r>
          </w:p>
          <w:p w14:paraId="6DCF5F4D">
            <w:pPr>
              <w:spacing w:line="360" w:lineRule="auto"/>
              <w:ind w:firstLine="480" w:firstLineChars="200"/>
              <w:rPr>
                <w:color w:val="auto"/>
                <w:sz w:val="24"/>
              </w:rPr>
            </w:pPr>
            <w:r>
              <w:rPr>
                <w:color w:val="auto"/>
                <w:sz w:val="24"/>
              </w:rPr>
              <w:t>（4）本项目生产区等火灾危险场所设置火灾自动报警系统和火灾电话报警。火灾自动报警系统设计符合现行国家标准《火灾自动报警系统设计规范》GB50116的规定。</w:t>
            </w:r>
          </w:p>
          <w:p w14:paraId="48252EAC">
            <w:pPr>
              <w:widowControl/>
              <w:autoSpaceDE w:val="0"/>
              <w:autoSpaceDN w:val="0"/>
              <w:adjustRightInd w:val="0"/>
              <w:snapToGrid w:val="0"/>
              <w:spacing w:line="360" w:lineRule="auto"/>
              <w:ind w:firstLine="482" w:firstLineChars="200"/>
              <w:jc w:val="left"/>
              <w:rPr>
                <w:b/>
                <w:color w:val="auto"/>
                <w:kern w:val="0"/>
                <w:sz w:val="24"/>
              </w:rPr>
            </w:pPr>
            <w:r>
              <w:rPr>
                <w:b/>
                <w:color w:val="auto"/>
                <w:kern w:val="0"/>
                <w:sz w:val="24"/>
              </w:rPr>
              <w:t>8.</w:t>
            </w:r>
            <w:r>
              <w:rPr>
                <w:rFonts w:hAnsi="宋体"/>
                <w:b/>
                <w:color w:val="auto"/>
                <w:kern w:val="0"/>
                <w:sz w:val="24"/>
              </w:rPr>
              <w:t>电磁辐射</w:t>
            </w:r>
          </w:p>
          <w:p w14:paraId="7884972E">
            <w:pPr>
              <w:widowControl/>
              <w:autoSpaceDE w:val="0"/>
              <w:autoSpaceDN w:val="0"/>
              <w:adjustRightInd w:val="0"/>
              <w:snapToGrid w:val="0"/>
              <w:spacing w:line="360" w:lineRule="auto"/>
              <w:ind w:firstLine="480" w:firstLineChars="200"/>
              <w:jc w:val="left"/>
              <w:rPr>
                <w:color w:val="auto"/>
                <w:kern w:val="0"/>
                <w:sz w:val="24"/>
              </w:rPr>
            </w:pPr>
            <w:r>
              <w:rPr>
                <w:rFonts w:hint="eastAsia" w:hAnsi="宋体"/>
                <w:color w:val="auto"/>
                <w:kern w:val="0"/>
                <w:sz w:val="24"/>
                <w:lang w:eastAsia="zh-CN"/>
              </w:rPr>
              <w:t>技改</w:t>
            </w:r>
            <w:r>
              <w:rPr>
                <w:rFonts w:hAnsi="宋体"/>
                <w:color w:val="auto"/>
                <w:kern w:val="0"/>
                <w:sz w:val="24"/>
              </w:rPr>
              <w:t>项目不涉及电磁辐射环境影响。</w:t>
            </w:r>
          </w:p>
        </w:tc>
      </w:tr>
    </w:tbl>
    <w:p w14:paraId="1B2406BF">
      <w:pPr>
        <w:widowControl/>
        <w:jc w:val="left"/>
        <w:rPr>
          <w:b/>
          <w:color w:val="auto"/>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14:paraId="64CCAA8E">
      <w:pPr>
        <w:pStyle w:val="29"/>
        <w:spacing w:before="0" w:beforeAutospacing="0" w:after="0" w:afterAutospacing="0"/>
        <w:jc w:val="both"/>
        <w:outlineLvl w:val="0"/>
        <w:rPr>
          <w:rFonts w:ascii="Times New Roman" w:hAnsi="Times New Roman"/>
          <w:b/>
          <w:snapToGrid w:val="0"/>
          <w:color w:val="auto"/>
          <w:sz w:val="30"/>
          <w:szCs w:val="30"/>
        </w:rPr>
      </w:pPr>
      <w:r>
        <w:rPr>
          <w:rFonts w:hint="eastAsia" w:ascii="Times New Roman"/>
          <w:b/>
          <w:snapToGrid w:val="0"/>
          <w:color w:val="auto"/>
          <w:sz w:val="30"/>
          <w:szCs w:val="30"/>
          <w:lang w:val="en-US" w:eastAsia="zh-CN"/>
        </w:rPr>
        <w:t xml:space="preserve"> </w:t>
      </w:r>
      <w:bookmarkStart w:id="50" w:name="_Toc2191"/>
      <w:r>
        <w:rPr>
          <w:rFonts w:ascii="Times New Roman"/>
          <w:b/>
          <w:snapToGrid w:val="0"/>
          <w:color w:val="auto"/>
          <w:sz w:val="30"/>
          <w:szCs w:val="30"/>
        </w:rPr>
        <w:t>五、</w:t>
      </w:r>
      <w:bookmarkStart w:id="51" w:name="_Hlk54167917"/>
      <w:r>
        <w:rPr>
          <w:rFonts w:ascii="Times New Roman"/>
          <w:b/>
          <w:snapToGrid w:val="0"/>
          <w:color w:val="auto"/>
          <w:sz w:val="30"/>
          <w:szCs w:val="30"/>
        </w:rPr>
        <w:t>环境保护措施监督检查清单</w:t>
      </w:r>
      <w:bookmarkEnd w:id="50"/>
      <w:bookmarkEnd w:id="51"/>
    </w:p>
    <w:tbl>
      <w:tblPr>
        <w:tblStyle w:val="3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1041"/>
        <w:gridCol w:w="665"/>
        <w:gridCol w:w="481"/>
        <w:gridCol w:w="1621"/>
        <w:gridCol w:w="1631"/>
        <w:gridCol w:w="3407"/>
      </w:tblGrid>
      <w:tr w14:paraId="1EA29C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041" w:type="dxa"/>
            <w:tcBorders>
              <w:tl2br w:val="single" w:color="auto" w:sz="4" w:space="0"/>
            </w:tcBorders>
          </w:tcPr>
          <w:p w14:paraId="6D4BAFBD">
            <w:pPr>
              <w:adjustRightInd w:val="0"/>
              <w:snapToGrid w:val="0"/>
              <w:ind w:firstLine="620" w:firstLineChars="294"/>
              <w:rPr>
                <w:rFonts w:eastAsiaTheme="minorEastAsia"/>
                <w:b/>
                <w:color w:val="auto"/>
                <w:sz w:val="21"/>
                <w:szCs w:val="21"/>
              </w:rPr>
            </w:pPr>
            <w:r>
              <w:rPr>
                <w:rFonts w:hAnsiTheme="minorEastAsia" w:eastAsiaTheme="minorEastAsia"/>
                <w:b/>
                <w:color w:val="auto"/>
                <w:sz w:val="21"/>
                <w:szCs w:val="21"/>
              </w:rPr>
              <w:t>内容</w:t>
            </w:r>
          </w:p>
          <w:p w14:paraId="49B76C57">
            <w:pPr>
              <w:adjustRightInd w:val="0"/>
              <w:snapToGrid w:val="0"/>
              <w:ind w:firstLine="103" w:firstLineChars="49"/>
              <w:rPr>
                <w:rFonts w:eastAsiaTheme="minorEastAsia"/>
                <w:b/>
                <w:color w:val="auto"/>
                <w:sz w:val="21"/>
                <w:szCs w:val="21"/>
              </w:rPr>
            </w:pPr>
            <w:r>
              <w:rPr>
                <w:rFonts w:hAnsiTheme="minorEastAsia" w:eastAsiaTheme="minorEastAsia"/>
                <w:b/>
                <w:color w:val="auto"/>
                <w:sz w:val="21"/>
                <w:szCs w:val="21"/>
              </w:rPr>
              <w:t>要素</w:t>
            </w:r>
          </w:p>
        </w:tc>
        <w:tc>
          <w:tcPr>
            <w:tcW w:w="1146" w:type="dxa"/>
            <w:gridSpan w:val="2"/>
            <w:vAlign w:val="center"/>
          </w:tcPr>
          <w:p w14:paraId="16DBFD11">
            <w:pPr>
              <w:adjustRightInd w:val="0"/>
              <w:snapToGrid w:val="0"/>
              <w:jc w:val="center"/>
              <w:rPr>
                <w:rFonts w:eastAsiaTheme="minorEastAsia"/>
                <w:b/>
                <w:color w:val="auto"/>
                <w:sz w:val="21"/>
                <w:szCs w:val="21"/>
              </w:rPr>
            </w:pPr>
            <w:r>
              <w:rPr>
                <w:rFonts w:hAnsiTheme="minorEastAsia" w:eastAsiaTheme="minorEastAsia"/>
                <w:b/>
                <w:color w:val="auto"/>
                <w:sz w:val="21"/>
                <w:szCs w:val="21"/>
              </w:rPr>
              <w:t>排放口</w:t>
            </w:r>
            <w:r>
              <w:rPr>
                <w:rFonts w:eastAsiaTheme="minorEastAsia"/>
                <w:b/>
                <w:color w:val="auto"/>
                <w:sz w:val="21"/>
                <w:szCs w:val="21"/>
              </w:rPr>
              <w:t>(</w:t>
            </w:r>
            <w:r>
              <w:rPr>
                <w:rFonts w:hAnsiTheme="minorEastAsia" w:eastAsiaTheme="minorEastAsia"/>
                <w:b/>
                <w:color w:val="auto"/>
                <w:sz w:val="21"/>
                <w:szCs w:val="21"/>
              </w:rPr>
              <w:t>编号、名称</w:t>
            </w:r>
            <w:r>
              <w:rPr>
                <w:rFonts w:eastAsiaTheme="minorEastAsia"/>
                <w:b/>
                <w:color w:val="auto"/>
                <w:sz w:val="21"/>
                <w:szCs w:val="21"/>
              </w:rPr>
              <w:t>)/</w:t>
            </w:r>
            <w:r>
              <w:rPr>
                <w:rFonts w:hAnsiTheme="minorEastAsia" w:eastAsiaTheme="minorEastAsia"/>
                <w:b/>
                <w:color w:val="auto"/>
                <w:sz w:val="21"/>
                <w:szCs w:val="21"/>
              </w:rPr>
              <w:t>污染源</w:t>
            </w:r>
          </w:p>
        </w:tc>
        <w:tc>
          <w:tcPr>
            <w:tcW w:w="1621" w:type="dxa"/>
            <w:vAlign w:val="center"/>
          </w:tcPr>
          <w:p w14:paraId="229D7183">
            <w:pPr>
              <w:adjustRightInd w:val="0"/>
              <w:snapToGrid w:val="0"/>
              <w:jc w:val="center"/>
              <w:rPr>
                <w:rFonts w:eastAsiaTheme="minorEastAsia"/>
                <w:b/>
                <w:color w:val="auto"/>
                <w:sz w:val="21"/>
                <w:szCs w:val="21"/>
              </w:rPr>
            </w:pPr>
            <w:r>
              <w:rPr>
                <w:rFonts w:hAnsiTheme="minorEastAsia" w:eastAsiaTheme="minorEastAsia"/>
                <w:b/>
                <w:color w:val="auto"/>
                <w:sz w:val="21"/>
                <w:szCs w:val="21"/>
              </w:rPr>
              <w:t>污染物项目</w:t>
            </w:r>
          </w:p>
        </w:tc>
        <w:tc>
          <w:tcPr>
            <w:tcW w:w="1631" w:type="dxa"/>
            <w:vAlign w:val="center"/>
          </w:tcPr>
          <w:p w14:paraId="13D7E92E">
            <w:pPr>
              <w:adjustRightInd w:val="0"/>
              <w:snapToGrid w:val="0"/>
              <w:jc w:val="center"/>
              <w:rPr>
                <w:rFonts w:eastAsiaTheme="minorEastAsia"/>
                <w:b/>
                <w:color w:val="auto"/>
                <w:sz w:val="21"/>
                <w:szCs w:val="21"/>
              </w:rPr>
            </w:pPr>
            <w:r>
              <w:rPr>
                <w:rFonts w:hAnsiTheme="minorEastAsia" w:eastAsiaTheme="minorEastAsia"/>
                <w:b/>
                <w:color w:val="auto"/>
                <w:sz w:val="21"/>
                <w:szCs w:val="21"/>
              </w:rPr>
              <w:t>环境保护措施</w:t>
            </w:r>
          </w:p>
        </w:tc>
        <w:tc>
          <w:tcPr>
            <w:tcW w:w="3407" w:type="dxa"/>
            <w:vAlign w:val="center"/>
          </w:tcPr>
          <w:p w14:paraId="74A5B7C0">
            <w:pPr>
              <w:adjustRightInd w:val="0"/>
              <w:snapToGrid w:val="0"/>
              <w:jc w:val="center"/>
              <w:rPr>
                <w:rFonts w:eastAsiaTheme="minorEastAsia"/>
                <w:b/>
                <w:color w:val="auto"/>
                <w:sz w:val="21"/>
                <w:szCs w:val="21"/>
              </w:rPr>
            </w:pPr>
            <w:r>
              <w:rPr>
                <w:rFonts w:hAnsiTheme="minorEastAsia" w:eastAsiaTheme="minorEastAsia"/>
                <w:b/>
                <w:color w:val="auto"/>
                <w:sz w:val="21"/>
                <w:szCs w:val="21"/>
              </w:rPr>
              <w:t>执行标准</w:t>
            </w:r>
          </w:p>
        </w:tc>
      </w:tr>
      <w:tr w14:paraId="6017D4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041" w:type="dxa"/>
            <w:vAlign w:val="center"/>
          </w:tcPr>
          <w:p w14:paraId="6F51D7CD">
            <w:pPr>
              <w:adjustRightInd w:val="0"/>
              <w:snapToGrid w:val="0"/>
              <w:jc w:val="center"/>
              <w:rPr>
                <w:rFonts w:eastAsiaTheme="minorEastAsia"/>
                <w:b/>
                <w:color w:val="auto"/>
                <w:sz w:val="21"/>
                <w:szCs w:val="21"/>
              </w:rPr>
            </w:pPr>
            <w:r>
              <w:rPr>
                <w:rFonts w:hAnsiTheme="minorEastAsia" w:eastAsiaTheme="minorEastAsia"/>
                <w:b/>
                <w:color w:val="auto"/>
                <w:sz w:val="21"/>
                <w:szCs w:val="21"/>
              </w:rPr>
              <w:t>大气环境</w:t>
            </w:r>
          </w:p>
        </w:tc>
        <w:tc>
          <w:tcPr>
            <w:tcW w:w="665" w:type="dxa"/>
            <w:shd w:val="clear" w:color="auto" w:fill="auto"/>
            <w:vAlign w:val="center"/>
          </w:tcPr>
          <w:p w14:paraId="0C4969D0">
            <w:pPr>
              <w:adjustRightInd w:val="0"/>
              <w:snapToGrid w:val="0"/>
              <w:jc w:val="center"/>
              <w:rPr>
                <w:rFonts w:ascii="Times New Roman" w:cs="Times New Roman" w:hAnsiTheme="minorEastAsia" w:eastAsiaTheme="minorEastAsia"/>
                <w:color w:val="auto"/>
                <w:kern w:val="2"/>
                <w:sz w:val="18"/>
                <w:szCs w:val="18"/>
                <w:lang w:val="en-US" w:eastAsia="zh-CN" w:bidi="ar-SA"/>
              </w:rPr>
            </w:pPr>
            <w:r>
              <w:rPr>
                <w:rFonts w:hAnsiTheme="minorEastAsia" w:eastAsiaTheme="minorEastAsia"/>
                <w:color w:val="auto"/>
                <w:sz w:val="18"/>
                <w:szCs w:val="18"/>
              </w:rPr>
              <w:t>无组织</w:t>
            </w:r>
          </w:p>
        </w:tc>
        <w:tc>
          <w:tcPr>
            <w:tcW w:w="481" w:type="dxa"/>
            <w:shd w:val="clear" w:color="auto" w:fill="auto"/>
            <w:vAlign w:val="center"/>
          </w:tcPr>
          <w:p w14:paraId="04290E9A">
            <w:pPr>
              <w:adjustRightInd w:val="0"/>
              <w:snapToGrid w:val="0"/>
              <w:jc w:val="center"/>
              <w:rPr>
                <w:rFonts w:hint="eastAsia" w:ascii="Times New Roman" w:cs="Times New Roman" w:hAnsiTheme="minorEastAsia" w:eastAsiaTheme="minorEastAsia"/>
                <w:color w:val="auto"/>
                <w:kern w:val="2"/>
                <w:sz w:val="18"/>
                <w:szCs w:val="18"/>
                <w:lang w:val="en-US" w:eastAsia="zh-CN" w:bidi="ar-SA"/>
              </w:rPr>
            </w:pPr>
            <w:r>
              <w:rPr>
                <w:rFonts w:hint="eastAsia" w:hAnsiTheme="minorEastAsia" w:eastAsiaTheme="minorEastAsia"/>
                <w:color w:val="auto"/>
                <w:sz w:val="18"/>
                <w:szCs w:val="18"/>
                <w:lang w:val="en-US" w:eastAsia="zh-CN"/>
              </w:rPr>
              <w:t>生产车间</w:t>
            </w:r>
          </w:p>
        </w:tc>
        <w:tc>
          <w:tcPr>
            <w:tcW w:w="1621" w:type="dxa"/>
            <w:shd w:val="clear" w:color="auto" w:fill="auto"/>
            <w:vAlign w:val="center"/>
          </w:tcPr>
          <w:p w14:paraId="78E66387">
            <w:pPr>
              <w:adjustRightInd w:val="0"/>
              <w:snapToGrid w:val="0"/>
              <w:jc w:val="center"/>
              <w:rPr>
                <w:rFonts w:hint="eastAsia" w:ascii="Times New Roman" w:cs="Times New Roman" w:hAnsiTheme="minorEastAsia" w:eastAsiaTheme="minorEastAsia"/>
                <w:color w:val="auto"/>
                <w:kern w:val="2"/>
                <w:sz w:val="18"/>
                <w:szCs w:val="18"/>
                <w:lang w:val="en-US" w:eastAsia="zh-CN" w:bidi="ar-SA"/>
              </w:rPr>
            </w:pPr>
            <w:r>
              <w:rPr>
                <w:rFonts w:hint="eastAsia" w:eastAsiaTheme="minorEastAsia"/>
                <w:color w:val="auto"/>
                <w:sz w:val="18"/>
                <w:szCs w:val="18"/>
                <w:lang w:eastAsia="zh-CN"/>
              </w:rPr>
              <w:t>非甲烷总烃</w:t>
            </w:r>
          </w:p>
        </w:tc>
        <w:tc>
          <w:tcPr>
            <w:tcW w:w="1631" w:type="dxa"/>
            <w:shd w:val="clear" w:color="auto" w:fill="auto"/>
            <w:vAlign w:val="center"/>
          </w:tcPr>
          <w:p w14:paraId="64028013">
            <w:pPr>
              <w:adjustRightInd w:val="0"/>
              <w:snapToGrid w:val="0"/>
              <w:jc w:val="center"/>
              <w:rPr>
                <w:rFonts w:hint="eastAsia" w:ascii="Times New Roman" w:cs="Times New Roman" w:hAnsiTheme="minorEastAsia" w:eastAsiaTheme="minorEastAsia"/>
                <w:color w:val="auto"/>
                <w:kern w:val="2"/>
                <w:sz w:val="18"/>
                <w:szCs w:val="18"/>
                <w:lang w:val="en-US" w:eastAsia="zh-CN" w:bidi="ar-SA"/>
              </w:rPr>
            </w:pPr>
            <w:r>
              <w:rPr>
                <w:rFonts w:hint="eastAsia" w:hAnsiTheme="minorEastAsia" w:eastAsiaTheme="minorEastAsia"/>
                <w:color w:val="auto"/>
                <w:sz w:val="18"/>
                <w:szCs w:val="18"/>
                <w:lang w:val="en-US" w:eastAsia="zh-CN"/>
              </w:rPr>
              <w:t>/</w:t>
            </w:r>
          </w:p>
        </w:tc>
        <w:tc>
          <w:tcPr>
            <w:tcW w:w="3407" w:type="dxa"/>
            <w:shd w:val="clear" w:color="auto" w:fill="auto"/>
            <w:vAlign w:val="center"/>
          </w:tcPr>
          <w:p w14:paraId="0AB7BC32">
            <w:pPr>
              <w:adjustRightInd w:val="0"/>
              <w:snapToGrid w:val="0"/>
              <w:jc w:val="center"/>
              <w:rPr>
                <w:rFonts w:hint="eastAsia" w:ascii="Times New Roman" w:cs="Times New Roman" w:hAnsiTheme="minorEastAsia" w:eastAsiaTheme="minorEastAsia"/>
                <w:color w:val="auto"/>
                <w:kern w:val="2"/>
                <w:sz w:val="18"/>
                <w:szCs w:val="18"/>
                <w:lang w:val="en-US" w:eastAsia="zh-CN" w:bidi="ar-SA"/>
              </w:rPr>
            </w:pPr>
            <w:r>
              <w:rPr>
                <w:rFonts w:hAnsiTheme="minorEastAsia" w:eastAsiaTheme="minorEastAsia"/>
                <w:color w:val="auto"/>
                <w:sz w:val="18"/>
                <w:szCs w:val="18"/>
              </w:rPr>
              <w:t>江苏省地方标准《大气污染物综合排放标准》（DB32/4041-2021）表</w:t>
            </w:r>
            <w:r>
              <w:rPr>
                <w:rFonts w:hint="eastAsia" w:hAnsiTheme="minorEastAsia" w:eastAsiaTheme="minorEastAsia"/>
                <w:color w:val="auto"/>
                <w:sz w:val="18"/>
                <w:szCs w:val="18"/>
                <w:lang w:val="en-US" w:eastAsia="zh-CN"/>
              </w:rPr>
              <w:t>2</w:t>
            </w:r>
          </w:p>
        </w:tc>
      </w:tr>
      <w:tr w14:paraId="20926D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041" w:type="dxa"/>
            <w:vAlign w:val="center"/>
          </w:tcPr>
          <w:p w14:paraId="033D3152">
            <w:pPr>
              <w:adjustRightInd w:val="0"/>
              <w:snapToGrid w:val="0"/>
              <w:jc w:val="center"/>
              <w:rPr>
                <w:rFonts w:eastAsiaTheme="minorEastAsia"/>
                <w:b/>
                <w:color w:val="auto"/>
                <w:sz w:val="21"/>
                <w:szCs w:val="21"/>
              </w:rPr>
            </w:pPr>
            <w:r>
              <w:rPr>
                <w:rFonts w:hAnsiTheme="minorEastAsia" w:eastAsiaTheme="minorEastAsia"/>
                <w:b/>
                <w:color w:val="auto"/>
                <w:sz w:val="21"/>
                <w:szCs w:val="21"/>
              </w:rPr>
              <w:t>地表水环境</w:t>
            </w:r>
          </w:p>
        </w:tc>
        <w:tc>
          <w:tcPr>
            <w:tcW w:w="1146" w:type="dxa"/>
            <w:gridSpan w:val="2"/>
            <w:vAlign w:val="center"/>
          </w:tcPr>
          <w:p w14:paraId="2AF5EF8A">
            <w:pPr>
              <w:adjustRightInd w:val="0"/>
              <w:snapToGrid w:val="0"/>
              <w:jc w:val="center"/>
              <w:rPr>
                <w:rFonts w:eastAsiaTheme="minorEastAsia"/>
                <w:color w:val="auto"/>
                <w:sz w:val="18"/>
                <w:szCs w:val="18"/>
              </w:rPr>
            </w:pPr>
            <w:r>
              <w:rPr>
                <w:color w:val="auto"/>
                <w:sz w:val="18"/>
                <w:szCs w:val="18"/>
              </w:rPr>
              <w:t>综合废水排放口（DW001）</w:t>
            </w:r>
          </w:p>
        </w:tc>
        <w:tc>
          <w:tcPr>
            <w:tcW w:w="1621" w:type="dxa"/>
            <w:vAlign w:val="center"/>
          </w:tcPr>
          <w:p w14:paraId="218B0A2F">
            <w:pPr>
              <w:pStyle w:val="135"/>
              <w:rPr>
                <w:rFonts w:hint="eastAsia" w:eastAsia="宋体"/>
                <w:color w:val="auto"/>
                <w:sz w:val="18"/>
                <w:szCs w:val="18"/>
                <w:lang w:val="en-US" w:eastAsia="zh-CN"/>
              </w:rPr>
            </w:pPr>
            <w:r>
              <w:rPr>
                <w:rFonts w:ascii="Times New Roman" w:hAnsi="Times New Roman" w:eastAsia="宋体"/>
                <w:color w:val="auto"/>
                <w:sz w:val="18"/>
                <w:szCs w:val="18"/>
              </w:rPr>
              <w:t>pH</w:t>
            </w:r>
            <w:r>
              <w:rPr>
                <w:rFonts w:hint="eastAsia" w:ascii="Times New Roman" w:hAnsi="Times New Roman" w:eastAsia="宋体"/>
                <w:color w:val="auto"/>
                <w:sz w:val="18"/>
                <w:szCs w:val="18"/>
                <w:lang w:eastAsia="zh-CN"/>
              </w:rPr>
              <w:t>、</w:t>
            </w:r>
            <w:r>
              <w:rPr>
                <w:rFonts w:ascii="Times New Roman" w:hAnsi="Times New Roman" w:eastAsia="宋体"/>
                <w:color w:val="auto"/>
                <w:sz w:val="18"/>
                <w:szCs w:val="18"/>
              </w:rPr>
              <w:t>COD</w:t>
            </w:r>
            <w:r>
              <w:rPr>
                <w:rFonts w:hint="eastAsia" w:ascii="Times New Roman" w:hAnsi="Times New Roman" w:eastAsia="宋体"/>
                <w:color w:val="auto"/>
                <w:sz w:val="18"/>
                <w:szCs w:val="18"/>
                <w:lang w:eastAsia="zh-CN"/>
              </w:rPr>
              <w:t>、</w:t>
            </w:r>
            <w:r>
              <w:rPr>
                <w:rFonts w:hint="eastAsia" w:ascii="Times New Roman" w:hAnsi="Times New Roman" w:eastAsia="宋体"/>
                <w:color w:val="auto"/>
                <w:sz w:val="18"/>
                <w:szCs w:val="18"/>
              </w:rPr>
              <w:t>B</w:t>
            </w:r>
            <w:r>
              <w:rPr>
                <w:rFonts w:ascii="Times New Roman" w:hAnsi="Times New Roman" w:eastAsia="宋体"/>
                <w:color w:val="auto"/>
                <w:sz w:val="18"/>
                <w:szCs w:val="18"/>
              </w:rPr>
              <w:t>OD</w:t>
            </w:r>
            <w:r>
              <w:rPr>
                <w:rFonts w:ascii="Times New Roman" w:hAnsi="Times New Roman" w:eastAsia="宋体"/>
                <w:color w:val="auto"/>
                <w:sz w:val="18"/>
                <w:szCs w:val="18"/>
                <w:vertAlign w:val="subscript"/>
              </w:rPr>
              <w:t>5</w:t>
            </w:r>
            <w:r>
              <w:rPr>
                <w:rFonts w:hint="eastAsia" w:ascii="Times New Roman" w:hAnsi="Times New Roman" w:eastAsia="宋体"/>
                <w:color w:val="auto"/>
                <w:sz w:val="18"/>
                <w:szCs w:val="18"/>
                <w:vertAlign w:val="baseline"/>
                <w:lang w:eastAsia="zh-CN"/>
              </w:rPr>
              <w:t>、</w:t>
            </w:r>
            <w:r>
              <w:rPr>
                <w:rFonts w:hint="eastAsia" w:ascii="Times New Roman" w:hAnsi="Times New Roman" w:eastAsia="宋体"/>
                <w:color w:val="auto"/>
                <w:sz w:val="18"/>
                <w:szCs w:val="18"/>
              </w:rPr>
              <w:t>S</w:t>
            </w:r>
            <w:r>
              <w:rPr>
                <w:rFonts w:ascii="Times New Roman" w:hAnsi="Times New Roman" w:eastAsia="宋体"/>
                <w:color w:val="auto"/>
                <w:sz w:val="18"/>
                <w:szCs w:val="18"/>
              </w:rPr>
              <w:t>S</w:t>
            </w:r>
            <w:r>
              <w:rPr>
                <w:rFonts w:hint="eastAsia" w:ascii="Times New Roman" w:hAnsi="Times New Roman" w:eastAsia="宋体"/>
                <w:color w:val="auto"/>
                <w:sz w:val="18"/>
                <w:szCs w:val="18"/>
                <w:lang w:eastAsia="zh-CN"/>
              </w:rPr>
              <w:t>、</w:t>
            </w:r>
            <w:r>
              <w:rPr>
                <w:rFonts w:ascii="Times New Roman" w:hAnsi="Times New Roman" w:eastAsia="宋体"/>
                <w:color w:val="auto"/>
                <w:sz w:val="18"/>
                <w:szCs w:val="18"/>
              </w:rPr>
              <w:t>氨氮</w:t>
            </w:r>
            <w:r>
              <w:rPr>
                <w:rFonts w:hint="eastAsia" w:ascii="Times New Roman" w:hAnsi="Times New Roman" w:eastAsia="宋体"/>
                <w:color w:val="auto"/>
                <w:sz w:val="18"/>
                <w:szCs w:val="18"/>
                <w:lang w:eastAsia="zh-CN"/>
              </w:rPr>
              <w:t>、</w:t>
            </w:r>
            <w:r>
              <w:rPr>
                <w:rFonts w:hint="eastAsia" w:ascii="Times New Roman" w:hAnsi="Times New Roman" w:eastAsia="宋体"/>
                <w:color w:val="auto"/>
                <w:sz w:val="18"/>
                <w:szCs w:val="18"/>
              </w:rPr>
              <w:t>总氮</w:t>
            </w:r>
            <w:r>
              <w:rPr>
                <w:rFonts w:hint="eastAsia" w:ascii="Times New Roman" w:hAnsi="Times New Roman" w:eastAsia="宋体"/>
                <w:color w:val="auto"/>
                <w:sz w:val="18"/>
                <w:szCs w:val="18"/>
                <w:lang w:eastAsia="zh-CN"/>
              </w:rPr>
              <w:t>、</w:t>
            </w:r>
            <w:r>
              <w:rPr>
                <w:rFonts w:hint="eastAsia" w:ascii="Times New Roman" w:hAnsi="Times New Roman" w:eastAsia="宋体"/>
                <w:color w:val="auto"/>
                <w:sz w:val="18"/>
                <w:szCs w:val="18"/>
              </w:rPr>
              <w:t>总磷</w:t>
            </w:r>
            <w:r>
              <w:rPr>
                <w:rFonts w:hint="eastAsia" w:ascii="Times New Roman" w:hAnsi="Times New Roman" w:eastAsia="宋体"/>
                <w:color w:val="auto"/>
                <w:sz w:val="18"/>
                <w:szCs w:val="18"/>
                <w:lang w:eastAsia="zh-CN"/>
              </w:rPr>
              <w:t>、</w:t>
            </w:r>
            <w:r>
              <w:rPr>
                <w:rFonts w:ascii="Times New Roman" w:hAnsi="Times New Roman" w:eastAsia="宋体"/>
                <w:color w:val="auto"/>
                <w:sz w:val="18"/>
                <w:szCs w:val="18"/>
              </w:rPr>
              <w:t>动植物油</w:t>
            </w:r>
            <w:r>
              <w:rPr>
                <w:rFonts w:hint="eastAsia" w:ascii="Times New Roman" w:hAnsi="Times New Roman" w:eastAsia="宋体"/>
                <w:color w:val="auto"/>
                <w:sz w:val="18"/>
                <w:szCs w:val="18"/>
                <w:lang w:eastAsia="zh-CN"/>
              </w:rPr>
              <w:t>、</w:t>
            </w:r>
            <w:r>
              <w:rPr>
                <w:rFonts w:hint="eastAsia" w:ascii="Times New Roman" w:hAnsi="Times New Roman" w:eastAsia="宋体"/>
                <w:color w:val="auto"/>
                <w:sz w:val="18"/>
                <w:szCs w:val="18"/>
              </w:rPr>
              <w:t>L</w:t>
            </w:r>
            <w:r>
              <w:rPr>
                <w:rFonts w:ascii="Times New Roman" w:hAnsi="Times New Roman" w:eastAsia="宋体"/>
                <w:color w:val="auto"/>
                <w:sz w:val="18"/>
                <w:szCs w:val="18"/>
              </w:rPr>
              <w:t>AS</w:t>
            </w:r>
            <w:r>
              <w:rPr>
                <w:rFonts w:hint="eastAsia" w:eastAsia="宋体"/>
                <w:color w:val="auto"/>
                <w:sz w:val="18"/>
                <w:szCs w:val="18"/>
                <w:lang w:eastAsia="zh-CN"/>
              </w:rPr>
              <w:t>、全盐量</w:t>
            </w:r>
          </w:p>
        </w:tc>
        <w:tc>
          <w:tcPr>
            <w:tcW w:w="1631" w:type="dxa"/>
            <w:vAlign w:val="center"/>
          </w:tcPr>
          <w:p w14:paraId="5B5F0514">
            <w:pPr>
              <w:adjustRightInd w:val="0"/>
              <w:snapToGrid w:val="0"/>
              <w:jc w:val="center"/>
              <w:rPr>
                <w:rFonts w:eastAsiaTheme="minorEastAsia"/>
                <w:color w:val="auto"/>
                <w:sz w:val="18"/>
                <w:szCs w:val="18"/>
              </w:rPr>
            </w:pPr>
            <w:r>
              <w:rPr>
                <w:rFonts w:hint="eastAsia" w:hAnsiTheme="minorEastAsia" w:eastAsiaTheme="minorEastAsia"/>
                <w:color w:val="auto"/>
                <w:sz w:val="18"/>
                <w:szCs w:val="18"/>
                <w:lang w:eastAsia="zh-CN"/>
              </w:rPr>
              <w:t>污水站</w:t>
            </w:r>
          </w:p>
        </w:tc>
        <w:tc>
          <w:tcPr>
            <w:tcW w:w="3407" w:type="dxa"/>
            <w:vAlign w:val="center"/>
          </w:tcPr>
          <w:p w14:paraId="1EC806FA">
            <w:pPr>
              <w:adjustRightInd w:val="0"/>
              <w:snapToGrid w:val="0"/>
              <w:jc w:val="center"/>
              <w:rPr>
                <w:rFonts w:hint="eastAsia" w:eastAsia="宋体" w:hAnsiTheme="minorEastAsia"/>
                <w:color w:val="auto"/>
                <w:sz w:val="18"/>
                <w:szCs w:val="18"/>
                <w:lang w:eastAsia="zh-CN"/>
              </w:rPr>
            </w:pPr>
            <w:r>
              <w:rPr>
                <w:rFonts w:hAnsiTheme="minorEastAsia" w:eastAsiaTheme="minorEastAsia"/>
                <w:color w:val="auto"/>
                <w:sz w:val="18"/>
                <w:szCs w:val="18"/>
              </w:rPr>
              <w:t>涟水经济开发区西区污水处理厂</w:t>
            </w:r>
            <w:r>
              <w:rPr>
                <w:rFonts w:hint="eastAsia" w:hAnsiTheme="minorEastAsia" w:eastAsiaTheme="minorEastAsia"/>
                <w:color w:val="auto"/>
                <w:sz w:val="18"/>
                <w:szCs w:val="18"/>
                <w:lang w:eastAsia="zh-CN"/>
              </w:rPr>
              <w:t>接管标准</w:t>
            </w:r>
          </w:p>
        </w:tc>
      </w:tr>
      <w:tr w14:paraId="125254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041" w:type="dxa"/>
            <w:vAlign w:val="center"/>
          </w:tcPr>
          <w:p w14:paraId="20FFE002">
            <w:pPr>
              <w:adjustRightInd w:val="0"/>
              <w:snapToGrid w:val="0"/>
              <w:jc w:val="center"/>
              <w:rPr>
                <w:rFonts w:eastAsiaTheme="minorEastAsia"/>
                <w:b/>
                <w:color w:val="auto"/>
                <w:sz w:val="21"/>
                <w:szCs w:val="21"/>
              </w:rPr>
            </w:pPr>
            <w:r>
              <w:rPr>
                <w:rFonts w:hAnsiTheme="minorEastAsia" w:eastAsiaTheme="minorEastAsia"/>
                <w:b/>
                <w:color w:val="auto"/>
                <w:sz w:val="21"/>
                <w:szCs w:val="21"/>
              </w:rPr>
              <w:t>声环境</w:t>
            </w:r>
          </w:p>
        </w:tc>
        <w:tc>
          <w:tcPr>
            <w:tcW w:w="1146" w:type="dxa"/>
            <w:gridSpan w:val="2"/>
            <w:vAlign w:val="center"/>
          </w:tcPr>
          <w:p w14:paraId="2DFB13ED">
            <w:pPr>
              <w:adjustRightInd w:val="0"/>
              <w:snapToGrid w:val="0"/>
              <w:jc w:val="center"/>
              <w:rPr>
                <w:rFonts w:hAnsiTheme="minorEastAsia" w:eastAsiaTheme="minorEastAsia"/>
                <w:color w:val="auto"/>
                <w:sz w:val="18"/>
                <w:szCs w:val="18"/>
              </w:rPr>
            </w:pPr>
            <w:r>
              <w:rPr>
                <w:rFonts w:hAnsiTheme="minorEastAsia" w:eastAsiaTheme="minorEastAsia"/>
                <w:color w:val="auto"/>
                <w:sz w:val="18"/>
                <w:szCs w:val="18"/>
              </w:rPr>
              <w:t>生产设备</w:t>
            </w:r>
            <w:r>
              <w:rPr>
                <w:rFonts w:hint="eastAsia" w:hAnsiTheme="minorEastAsia" w:eastAsiaTheme="minorEastAsia"/>
                <w:color w:val="auto"/>
                <w:sz w:val="18"/>
                <w:szCs w:val="18"/>
              </w:rPr>
              <w:t>、</w:t>
            </w:r>
            <w:r>
              <w:rPr>
                <w:rFonts w:hint="eastAsia" w:hAnsiTheme="minorEastAsia" w:eastAsiaTheme="minorEastAsia"/>
                <w:color w:val="auto"/>
                <w:sz w:val="18"/>
                <w:szCs w:val="18"/>
                <w:lang w:eastAsia="zh-CN"/>
              </w:rPr>
              <w:t>水泵</w:t>
            </w:r>
            <w:r>
              <w:rPr>
                <w:rFonts w:hAnsiTheme="minorEastAsia" w:eastAsiaTheme="minorEastAsia"/>
                <w:color w:val="auto"/>
                <w:sz w:val="18"/>
                <w:szCs w:val="18"/>
              </w:rPr>
              <w:t>等</w:t>
            </w:r>
          </w:p>
        </w:tc>
        <w:tc>
          <w:tcPr>
            <w:tcW w:w="1621" w:type="dxa"/>
            <w:vAlign w:val="center"/>
          </w:tcPr>
          <w:p w14:paraId="33CDF5F7">
            <w:pPr>
              <w:adjustRightInd w:val="0"/>
              <w:snapToGrid w:val="0"/>
              <w:jc w:val="center"/>
              <w:rPr>
                <w:rFonts w:eastAsiaTheme="minorEastAsia"/>
                <w:color w:val="auto"/>
                <w:sz w:val="18"/>
                <w:szCs w:val="18"/>
              </w:rPr>
            </w:pPr>
            <w:r>
              <w:rPr>
                <w:rFonts w:hAnsiTheme="minorEastAsia" w:eastAsiaTheme="minorEastAsia"/>
                <w:color w:val="auto"/>
                <w:sz w:val="18"/>
                <w:szCs w:val="18"/>
              </w:rPr>
              <w:t>噪声</w:t>
            </w:r>
          </w:p>
        </w:tc>
        <w:tc>
          <w:tcPr>
            <w:tcW w:w="1631" w:type="dxa"/>
            <w:vAlign w:val="center"/>
          </w:tcPr>
          <w:p w14:paraId="2E53DFFC">
            <w:pPr>
              <w:adjustRightInd w:val="0"/>
              <w:snapToGrid w:val="0"/>
              <w:jc w:val="center"/>
              <w:rPr>
                <w:rFonts w:eastAsiaTheme="minorEastAsia"/>
                <w:color w:val="auto"/>
                <w:sz w:val="18"/>
                <w:szCs w:val="18"/>
              </w:rPr>
            </w:pPr>
            <w:r>
              <w:rPr>
                <w:rFonts w:hAnsiTheme="minorEastAsia" w:eastAsiaTheme="minorEastAsia"/>
                <w:color w:val="auto"/>
                <w:sz w:val="18"/>
                <w:szCs w:val="18"/>
              </w:rPr>
              <w:t>合理布局，隔声减振</w:t>
            </w:r>
          </w:p>
        </w:tc>
        <w:tc>
          <w:tcPr>
            <w:tcW w:w="3407" w:type="dxa"/>
            <w:vAlign w:val="center"/>
          </w:tcPr>
          <w:p w14:paraId="662471F2">
            <w:pPr>
              <w:adjustRightInd w:val="0"/>
              <w:snapToGrid w:val="0"/>
              <w:jc w:val="center"/>
              <w:rPr>
                <w:rFonts w:eastAsiaTheme="minorEastAsia"/>
                <w:color w:val="auto"/>
                <w:sz w:val="18"/>
                <w:szCs w:val="18"/>
              </w:rPr>
            </w:pPr>
            <w:r>
              <w:rPr>
                <w:color w:val="auto"/>
                <w:sz w:val="18"/>
                <w:szCs w:val="18"/>
              </w:rPr>
              <w:t>厂区边界噪声达到《工业企业厂界环境噪声排放标准》（GB12348</w:t>
            </w:r>
            <w:r>
              <w:rPr>
                <w:snapToGrid w:val="0"/>
                <w:color w:val="auto"/>
                <w:sz w:val="18"/>
                <w:szCs w:val="18"/>
              </w:rPr>
              <w:t>-</w:t>
            </w:r>
            <w:r>
              <w:rPr>
                <w:color w:val="auto"/>
                <w:sz w:val="18"/>
                <w:szCs w:val="18"/>
              </w:rPr>
              <w:t>2008）中的3类</w:t>
            </w:r>
          </w:p>
        </w:tc>
      </w:tr>
      <w:tr w14:paraId="6ED710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041" w:type="dxa"/>
            <w:vAlign w:val="center"/>
          </w:tcPr>
          <w:p w14:paraId="1317C94E">
            <w:pPr>
              <w:adjustRightInd w:val="0"/>
              <w:snapToGrid w:val="0"/>
              <w:jc w:val="center"/>
              <w:rPr>
                <w:rFonts w:eastAsiaTheme="minorEastAsia"/>
                <w:b/>
                <w:color w:val="auto"/>
                <w:sz w:val="21"/>
                <w:szCs w:val="21"/>
              </w:rPr>
            </w:pPr>
            <w:r>
              <w:rPr>
                <w:rFonts w:hAnsiTheme="minorEastAsia" w:eastAsiaTheme="minorEastAsia"/>
                <w:b/>
                <w:color w:val="auto"/>
                <w:sz w:val="21"/>
                <w:szCs w:val="21"/>
              </w:rPr>
              <w:t>电磁辐射</w:t>
            </w:r>
          </w:p>
        </w:tc>
        <w:tc>
          <w:tcPr>
            <w:tcW w:w="1146" w:type="dxa"/>
            <w:gridSpan w:val="2"/>
            <w:vAlign w:val="center"/>
          </w:tcPr>
          <w:p w14:paraId="63A93B8F">
            <w:pPr>
              <w:adjustRightInd w:val="0"/>
              <w:snapToGrid w:val="0"/>
              <w:jc w:val="center"/>
              <w:rPr>
                <w:rFonts w:eastAsiaTheme="minorEastAsia"/>
                <w:color w:val="auto"/>
                <w:sz w:val="18"/>
                <w:szCs w:val="18"/>
              </w:rPr>
            </w:pPr>
            <w:r>
              <w:rPr>
                <w:rFonts w:eastAsiaTheme="minorEastAsia"/>
                <w:color w:val="auto"/>
                <w:sz w:val="18"/>
                <w:szCs w:val="18"/>
              </w:rPr>
              <w:t>/</w:t>
            </w:r>
          </w:p>
        </w:tc>
        <w:tc>
          <w:tcPr>
            <w:tcW w:w="1621" w:type="dxa"/>
            <w:vAlign w:val="center"/>
          </w:tcPr>
          <w:p w14:paraId="35260DE2">
            <w:pPr>
              <w:adjustRightInd w:val="0"/>
              <w:snapToGrid w:val="0"/>
              <w:jc w:val="center"/>
              <w:rPr>
                <w:rFonts w:eastAsiaTheme="minorEastAsia"/>
                <w:color w:val="auto"/>
                <w:sz w:val="18"/>
                <w:szCs w:val="18"/>
              </w:rPr>
            </w:pPr>
            <w:r>
              <w:rPr>
                <w:rFonts w:eastAsiaTheme="minorEastAsia"/>
                <w:color w:val="auto"/>
                <w:sz w:val="18"/>
                <w:szCs w:val="18"/>
              </w:rPr>
              <w:t>/</w:t>
            </w:r>
          </w:p>
        </w:tc>
        <w:tc>
          <w:tcPr>
            <w:tcW w:w="1631" w:type="dxa"/>
            <w:vAlign w:val="center"/>
          </w:tcPr>
          <w:p w14:paraId="1EFC179B">
            <w:pPr>
              <w:adjustRightInd w:val="0"/>
              <w:snapToGrid w:val="0"/>
              <w:jc w:val="center"/>
              <w:rPr>
                <w:rFonts w:eastAsiaTheme="minorEastAsia"/>
                <w:color w:val="auto"/>
                <w:sz w:val="18"/>
                <w:szCs w:val="18"/>
              </w:rPr>
            </w:pPr>
            <w:r>
              <w:rPr>
                <w:rFonts w:eastAsiaTheme="minorEastAsia"/>
                <w:color w:val="auto"/>
                <w:sz w:val="18"/>
                <w:szCs w:val="18"/>
              </w:rPr>
              <w:t>/</w:t>
            </w:r>
          </w:p>
        </w:tc>
        <w:tc>
          <w:tcPr>
            <w:tcW w:w="3407" w:type="dxa"/>
            <w:vAlign w:val="center"/>
          </w:tcPr>
          <w:p w14:paraId="33A231AB">
            <w:pPr>
              <w:adjustRightInd w:val="0"/>
              <w:snapToGrid w:val="0"/>
              <w:jc w:val="center"/>
              <w:rPr>
                <w:rFonts w:eastAsiaTheme="minorEastAsia"/>
                <w:color w:val="auto"/>
                <w:sz w:val="18"/>
                <w:szCs w:val="18"/>
              </w:rPr>
            </w:pPr>
            <w:r>
              <w:rPr>
                <w:rFonts w:eastAsiaTheme="minorEastAsia"/>
                <w:color w:val="auto"/>
                <w:sz w:val="18"/>
                <w:szCs w:val="18"/>
              </w:rPr>
              <w:t>/</w:t>
            </w:r>
          </w:p>
        </w:tc>
      </w:tr>
      <w:tr w14:paraId="0A578C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041" w:type="dxa"/>
            <w:vMerge w:val="restart"/>
            <w:vAlign w:val="center"/>
          </w:tcPr>
          <w:p w14:paraId="79245625">
            <w:pPr>
              <w:adjustRightInd w:val="0"/>
              <w:snapToGrid w:val="0"/>
              <w:jc w:val="center"/>
              <w:rPr>
                <w:rFonts w:eastAsiaTheme="minorEastAsia"/>
                <w:b/>
                <w:color w:val="auto"/>
                <w:sz w:val="21"/>
                <w:szCs w:val="21"/>
              </w:rPr>
            </w:pPr>
            <w:r>
              <w:rPr>
                <w:rFonts w:hAnsiTheme="minorEastAsia" w:eastAsiaTheme="minorEastAsia"/>
                <w:b/>
                <w:color w:val="auto"/>
                <w:sz w:val="21"/>
                <w:szCs w:val="21"/>
              </w:rPr>
              <w:t>固体废物</w:t>
            </w:r>
          </w:p>
        </w:tc>
        <w:tc>
          <w:tcPr>
            <w:tcW w:w="1146" w:type="dxa"/>
            <w:gridSpan w:val="2"/>
            <w:vMerge w:val="restart"/>
            <w:vAlign w:val="center"/>
          </w:tcPr>
          <w:p w14:paraId="03BBC374">
            <w:pPr>
              <w:adjustRightInd w:val="0"/>
              <w:snapToGrid w:val="0"/>
              <w:jc w:val="center"/>
              <w:rPr>
                <w:rFonts w:hint="eastAsia" w:eastAsiaTheme="minorEastAsia"/>
                <w:color w:val="auto"/>
                <w:sz w:val="18"/>
                <w:szCs w:val="18"/>
                <w:lang w:eastAsia="zh-CN"/>
              </w:rPr>
            </w:pPr>
            <w:r>
              <w:rPr>
                <w:rFonts w:hint="eastAsia" w:hAnsiTheme="minorEastAsia" w:eastAsiaTheme="minorEastAsia"/>
                <w:color w:val="auto"/>
                <w:sz w:val="18"/>
                <w:szCs w:val="18"/>
                <w:lang w:eastAsia="zh-CN"/>
              </w:rPr>
              <w:t>一般固废</w:t>
            </w:r>
          </w:p>
        </w:tc>
        <w:tc>
          <w:tcPr>
            <w:tcW w:w="1621" w:type="dxa"/>
            <w:vAlign w:val="center"/>
          </w:tcPr>
          <w:p w14:paraId="4E9FB827">
            <w:pPr>
              <w:widowControl/>
              <w:adjustRightInd w:val="0"/>
              <w:snapToGrid w:val="0"/>
              <w:jc w:val="center"/>
              <w:rPr>
                <w:rFonts w:hint="eastAsia" w:hAnsiTheme="minorEastAsia" w:eastAsiaTheme="minorEastAsia"/>
                <w:color w:val="auto"/>
                <w:sz w:val="18"/>
                <w:szCs w:val="18"/>
                <w:lang w:eastAsia="zh-CN"/>
              </w:rPr>
            </w:pPr>
            <w:r>
              <w:rPr>
                <w:rFonts w:hint="eastAsia" w:hAnsiTheme="minorEastAsia" w:eastAsiaTheme="minorEastAsia"/>
                <w:color w:val="auto"/>
                <w:sz w:val="18"/>
                <w:szCs w:val="18"/>
                <w:lang w:eastAsia="zh-CN"/>
              </w:rPr>
              <w:t>废原料（鱿鱼）</w:t>
            </w:r>
          </w:p>
        </w:tc>
        <w:tc>
          <w:tcPr>
            <w:tcW w:w="1631" w:type="dxa"/>
            <w:vMerge w:val="restart"/>
            <w:vAlign w:val="center"/>
          </w:tcPr>
          <w:p w14:paraId="2742B985">
            <w:pPr>
              <w:adjustRightInd w:val="0"/>
              <w:snapToGrid w:val="0"/>
              <w:jc w:val="center"/>
              <w:rPr>
                <w:rFonts w:hint="eastAsia" w:eastAsiaTheme="minorEastAsia"/>
                <w:color w:val="auto"/>
                <w:sz w:val="18"/>
                <w:szCs w:val="18"/>
                <w:lang w:eastAsia="zh-CN"/>
              </w:rPr>
            </w:pPr>
            <w:r>
              <w:rPr>
                <w:rFonts w:eastAsiaTheme="minorEastAsia"/>
                <w:color w:val="auto"/>
                <w:sz w:val="18"/>
                <w:szCs w:val="18"/>
              </w:rPr>
              <w:t>1</w:t>
            </w:r>
            <w:r>
              <w:rPr>
                <w:rFonts w:hAnsiTheme="minorEastAsia" w:eastAsiaTheme="minorEastAsia"/>
                <w:color w:val="auto"/>
                <w:sz w:val="18"/>
                <w:szCs w:val="18"/>
              </w:rPr>
              <w:t>座</w:t>
            </w:r>
            <w:r>
              <w:rPr>
                <w:rFonts w:hint="eastAsia" w:eastAsiaTheme="minorEastAsia"/>
                <w:color w:val="auto"/>
                <w:sz w:val="18"/>
                <w:szCs w:val="18"/>
                <w:lang w:val="en-US" w:eastAsia="zh-CN"/>
              </w:rPr>
              <w:t>144</w:t>
            </w:r>
            <w:r>
              <w:rPr>
                <w:rFonts w:eastAsiaTheme="minorEastAsia"/>
                <w:color w:val="auto"/>
                <w:sz w:val="18"/>
                <w:szCs w:val="18"/>
              </w:rPr>
              <w:t>m</w:t>
            </w:r>
            <w:r>
              <w:rPr>
                <w:rFonts w:eastAsiaTheme="minorEastAsia"/>
                <w:color w:val="auto"/>
                <w:sz w:val="18"/>
                <w:szCs w:val="18"/>
                <w:vertAlign w:val="superscript"/>
              </w:rPr>
              <w:t>2</w:t>
            </w:r>
            <w:r>
              <w:rPr>
                <w:rFonts w:hint="eastAsia" w:hAnsiTheme="minorEastAsia" w:eastAsiaTheme="minorEastAsia"/>
                <w:color w:val="auto"/>
                <w:sz w:val="18"/>
                <w:szCs w:val="18"/>
                <w:lang w:eastAsia="zh-CN"/>
              </w:rPr>
              <w:t>一般固废场所</w:t>
            </w:r>
          </w:p>
        </w:tc>
        <w:tc>
          <w:tcPr>
            <w:tcW w:w="3407" w:type="dxa"/>
            <w:vMerge w:val="restart"/>
            <w:vAlign w:val="center"/>
          </w:tcPr>
          <w:p w14:paraId="6DBE634D">
            <w:pPr>
              <w:adjustRightInd w:val="0"/>
              <w:snapToGrid w:val="0"/>
              <w:jc w:val="center"/>
              <w:rPr>
                <w:rFonts w:eastAsiaTheme="minorEastAsia"/>
                <w:color w:val="auto"/>
                <w:sz w:val="18"/>
                <w:szCs w:val="18"/>
              </w:rPr>
            </w:pPr>
            <w:r>
              <w:rPr>
                <w:rFonts w:hAnsiTheme="minorEastAsia" w:eastAsiaTheme="minorEastAsia"/>
                <w:color w:val="auto"/>
                <w:sz w:val="18"/>
                <w:szCs w:val="18"/>
              </w:rPr>
              <w:t>《一般工业固体废物贮存和填埋污染控制标准》（</w:t>
            </w:r>
            <w:r>
              <w:rPr>
                <w:rFonts w:eastAsiaTheme="minorEastAsia"/>
                <w:color w:val="auto"/>
                <w:sz w:val="18"/>
                <w:szCs w:val="18"/>
              </w:rPr>
              <w:t>GB18599-2020</w:t>
            </w:r>
            <w:r>
              <w:rPr>
                <w:rFonts w:hAnsiTheme="minorEastAsia" w:eastAsiaTheme="minorEastAsia"/>
                <w:color w:val="auto"/>
                <w:sz w:val="18"/>
                <w:szCs w:val="18"/>
              </w:rPr>
              <w:t>）</w:t>
            </w:r>
          </w:p>
        </w:tc>
      </w:tr>
      <w:tr w14:paraId="1FE2B2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041" w:type="dxa"/>
            <w:vMerge w:val="continue"/>
            <w:vAlign w:val="center"/>
          </w:tcPr>
          <w:p w14:paraId="530AFC0E">
            <w:pPr>
              <w:adjustRightInd w:val="0"/>
              <w:snapToGrid w:val="0"/>
              <w:jc w:val="center"/>
              <w:rPr>
                <w:rFonts w:eastAsiaTheme="minorEastAsia"/>
                <w:b/>
                <w:color w:val="auto"/>
                <w:sz w:val="21"/>
                <w:szCs w:val="21"/>
              </w:rPr>
            </w:pPr>
          </w:p>
        </w:tc>
        <w:tc>
          <w:tcPr>
            <w:tcW w:w="1146" w:type="dxa"/>
            <w:gridSpan w:val="2"/>
            <w:vMerge w:val="continue"/>
            <w:vAlign w:val="center"/>
          </w:tcPr>
          <w:p w14:paraId="22B7C6B4">
            <w:pPr>
              <w:adjustRightInd w:val="0"/>
              <w:snapToGrid w:val="0"/>
              <w:jc w:val="center"/>
              <w:rPr>
                <w:rFonts w:eastAsiaTheme="minorEastAsia"/>
                <w:color w:val="auto"/>
                <w:sz w:val="18"/>
                <w:szCs w:val="18"/>
              </w:rPr>
            </w:pPr>
          </w:p>
        </w:tc>
        <w:tc>
          <w:tcPr>
            <w:tcW w:w="1621" w:type="dxa"/>
            <w:vAlign w:val="center"/>
          </w:tcPr>
          <w:p w14:paraId="7628090D">
            <w:pPr>
              <w:widowControl/>
              <w:adjustRightInd w:val="0"/>
              <w:snapToGrid w:val="0"/>
              <w:jc w:val="center"/>
              <w:rPr>
                <w:rFonts w:hint="eastAsia" w:hAnsiTheme="minorEastAsia" w:eastAsiaTheme="minorEastAsia"/>
                <w:color w:val="auto"/>
                <w:sz w:val="18"/>
                <w:szCs w:val="18"/>
                <w:lang w:eastAsia="zh-CN"/>
              </w:rPr>
            </w:pPr>
            <w:r>
              <w:rPr>
                <w:rFonts w:hint="eastAsia" w:hAnsiTheme="minorEastAsia" w:eastAsiaTheme="minorEastAsia"/>
                <w:color w:val="auto"/>
                <w:sz w:val="18"/>
                <w:szCs w:val="18"/>
                <w:lang w:eastAsia="zh-CN"/>
              </w:rPr>
              <w:t>废包装袋</w:t>
            </w:r>
          </w:p>
        </w:tc>
        <w:tc>
          <w:tcPr>
            <w:tcW w:w="1631" w:type="dxa"/>
            <w:vMerge w:val="continue"/>
            <w:vAlign w:val="center"/>
          </w:tcPr>
          <w:p w14:paraId="625D9DA4">
            <w:pPr>
              <w:adjustRightInd w:val="0"/>
              <w:snapToGrid w:val="0"/>
              <w:jc w:val="center"/>
              <w:rPr>
                <w:rFonts w:eastAsiaTheme="minorEastAsia"/>
                <w:color w:val="auto"/>
                <w:sz w:val="18"/>
                <w:szCs w:val="18"/>
              </w:rPr>
            </w:pPr>
          </w:p>
        </w:tc>
        <w:tc>
          <w:tcPr>
            <w:tcW w:w="3407" w:type="dxa"/>
            <w:vMerge w:val="continue"/>
            <w:vAlign w:val="center"/>
          </w:tcPr>
          <w:p w14:paraId="086C62D8">
            <w:pPr>
              <w:adjustRightInd w:val="0"/>
              <w:snapToGrid w:val="0"/>
              <w:jc w:val="center"/>
              <w:rPr>
                <w:rFonts w:eastAsiaTheme="minorEastAsia"/>
                <w:color w:val="auto"/>
                <w:sz w:val="18"/>
                <w:szCs w:val="18"/>
              </w:rPr>
            </w:pPr>
          </w:p>
        </w:tc>
      </w:tr>
      <w:tr w14:paraId="3BF9DF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041" w:type="dxa"/>
            <w:vMerge w:val="continue"/>
            <w:vAlign w:val="center"/>
          </w:tcPr>
          <w:p w14:paraId="43C9895D">
            <w:pPr>
              <w:adjustRightInd w:val="0"/>
              <w:snapToGrid w:val="0"/>
              <w:jc w:val="center"/>
              <w:rPr>
                <w:rFonts w:eastAsiaTheme="minorEastAsia"/>
                <w:b/>
                <w:color w:val="auto"/>
                <w:sz w:val="21"/>
                <w:szCs w:val="21"/>
              </w:rPr>
            </w:pPr>
          </w:p>
        </w:tc>
        <w:tc>
          <w:tcPr>
            <w:tcW w:w="1146" w:type="dxa"/>
            <w:gridSpan w:val="2"/>
            <w:vMerge w:val="continue"/>
            <w:vAlign w:val="center"/>
          </w:tcPr>
          <w:p w14:paraId="4C9C97CF">
            <w:pPr>
              <w:adjustRightInd w:val="0"/>
              <w:snapToGrid w:val="0"/>
              <w:jc w:val="center"/>
              <w:rPr>
                <w:rFonts w:eastAsiaTheme="minorEastAsia"/>
                <w:color w:val="auto"/>
                <w:sz w:val="18"/>
                <w:szCs w:val="18"/>
              </w:rPr>
            </w:pPr>
          </w:p>
        </w:tc>
        <w:tc>
          <w:tcPr>
            <w:tcW w:w="1621" w:type="dxa"/>
            <w:vAlign w:val="center"/>
          </w:tcPr>
          <w:p w14:paraId="0DA6D8C9">
            <w:pPr>
              <w:widowControl/>
              <w:adjustRightInd w:val="0"/>
              <w:snapToGrid w:val="0"/>
              <w:jc w:val="center"/>
              <w:rPr>
                <w:rFonts w:hint="eastAsia" w:cs="Times New Roman"/>
                <w:bCs/>
                <w:color w:val="auto"/>
                <w:sz w:val="18"/>
                <w:szCs w:val="18"/>
                <w:lang w:val="en-US" w:eastAsia="zh-CN"/>
              </w:rPr>
            </w:pPr>
            <w:r>
              <w:rPr>
                <w:rFonts w:hint="eastAsia" w:cs="Times New Roman"/>
                <w:bCs/>
                <w:color w:val="auto"/>
                <w:sz w:val="18"/>
                <w:szCs w:val="18"/>
                <w:lang w:val="en-US" w:eastAsia="zh-CN"/>
              </w:rPr>
              <w:t>生活垃圾</w:t>
            </w:r>
          </w:p>
        </w:tc>
        <w:tc>
          <w:tcPr>
            <w:tcW w:w="1631" w:type="dxa"/>
            <w:vMerge w:val="continue"/>
            <w:vAlign w:val="center"/>
          </w:tcPr>
          <w:p w14:paraId="0C32AFA5">
            <w:pPr>
              <w:adjustRightInd w:val="0"/>
              <w:snapToGrid w:val="0"/>
              <w:jc w:val="center"/>
              <w:rPr>
                <w:rFonts w:eastAsiaTheme="minorEastAsia"/>
                <w:color w:val="auto"/>
                <w:sz w:val="18"/>
                <w:szCs w:val="18"/>
              </w:rPr>
            </w:pPr>
          </w:p>
        </w:tc>
        <w:tc>
          <w:tcPr>
            <w:tcW w:w="3407" w:type="dxa"/>
            <w:vMerge w:val="continue"/>
            <w:vAlign w:val="center"/>
          </w:tcPr>
          <w:p w14:paraId="126CC003">
            <w:pPr>
              <w:adjustRightInd w:val="0"/>
              <w:snapToGrid w:val="0"/>
              <w:jc w:val="center"/>
              <w:rPr>
                <w:rFonts w:eastAsiaTheme="minorEastAsia"/>
                <w:color w:val="auto"/>
                <w:sz w:val="18"/>
                <w:szCs w:val="18"/>
              </w:rPr>
            </w:pPr>
          </w:p>
        </w:tc>
      </w:tr>
      <w:tr w14:paraId="2AEC59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441" w:hRule="atLeast"/>
          <w:jc w:val="center"/>
        </w:trPr>
        <w:tc>
          <w:tcPr>
            <w:tcW w:w="1041" w:type="dxa"/>
            <w:vAlign w:val="center"/>
          </w:tcPr>
          <w:p w14:paraId="253FE9EE">
            <w:pPr>
              <w:adjustRightInd w:val="0"/>
              <w:snapToGrid w:val="0"/>
              <w:jc w:val="center"/>
              <w:rPr>
                <w:rFonts w:eastAsiaTheme="minorEastAsia"/>
                <w:b/>
                <w:color w:val="auto"/>
                <w:sz w:val="21"/>
                <w:szCs w:val="21"/>
              </w:rPr>
            </w:pPr>
            <w:r>
              <w:rPr>
                <w:rFonts w:hAnsiTheme="minorEastAsia" w:eastAsiaTheme="minorEastAsia"/>
                <w:b/>
                <w:color w:val="auto"/>
                <w:sz w:val="21"/>
                <w:szCs w:val="21"/>
              </w:rPr>
              <w:t>土壤及地下水污染防治措施</w:t>
            </w:r>
          </w:p>
        </w:tc>
        <w:tc>
          <w:tcPr>
            <w:tcW w:w="7805" w:type="dxa"/>
            <w:gridSpan w:val="5"/>
            <w:vAlign w:val="center"/>
          </w:tcPr>
          <w:p w14:paraId="0DEAB42A">
            <w:pPr>
              <w:adjustRightInd w:val="0"/>
              <w:snapToGrid w:val="0"/>
              <w:jc w:val="center"/>
              <w:rPr>
                <w:rFonts w:eastAsiaTheme="minorEastAsia"/>
                <w:color w:val="auto"/>
                <w:sz w:val="18"/>
                <w:szCs w:val="18"/>
              </w:rPr>
            </w:pPr>
            <w:r>
              <w:rPr>
                <w:rFonts w:hint="eastAsia"/>
                <w:color w:val="auto"/>
                <w:sz w:val="21"/>
                <w:szCs w:val="21"/>
                <w:lang w:eastAsia="zh-CN"/>
              </w:rPr>
              <w:t>扩建</w:t>
            </w:r>
            <w:r>
              <w:rPr>
                <w:color w:val="auto"/>
                <w:sz w:val="21"/>
                <w:szCs w:val="21"/>
              </w:rPr>
              <w:t>项目</w:t>
            </w:r>
            <w:r>
              <w:rPr>
                <w:rFonts w:hint="eastAsia"/>
                <w:color w:val="auto"/>
                <w:sz w:val="21"/>
                <w:szCs w:val="21"/>
              </w:rPr>
              <w:t>生产车间</w:t>
            </w:r>
            <w:r>
              <w:rPr>
                <w:color w:val="auto"/>
                <w:sz w:val="21"/>
                <w:szCs w:val="21"/>
              </w:rPr>
              <w:t>地面经硬化处理且不使用重金属等有害物质，对周围土壤环境影响较小。因此建设项目不需要进行地下水、土壤跟踪监测。</w:t>
            </w:r>
          </w:p>
        </w:tc>
      </w:tr>
      <w:tr w14:paraId="262174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041" w:type="dxa"/>
            <w:vAlign w:val="center"/>
          </w:tcPr>
          <w:p w14:paraId="5D79B19F">
            <w:pPr>
              <w:adjustRightInd w:val="0"/>
              <w:snapToGrid w:val="0"/>
              <w:jc w:val="center"/>
              <w:rPr>
                <w:rFonts w:eastAsiaTheme="minorEastAsia"/>
                <w:b/>
                <w:color w:val="auto"/>
                <w:sz w:val="21"/>
                <w:szCs w:val="21"/>
              </w:rPr>
            </w:pPr>
            <w:r>
              <w:rPr>
                <w:rFonts w:hAnsiTheme="minorEastAsia" w:eastAsiaTheme="minorEastAsia"/>
                <w:b/>
                <w:color w:val="auto"/>
                <w:sz w:val="21"/>
                <w:szCs w:val="21"/>
              </w:rPr>
              <w:t>生态保护措施</w:t>
            </w:r>
          </w:p>
        </w:tc>
        <w:tc>
          <w:tcPr>
            <w:tcW w:w="7805" w:type="dxa"/>
            <w:gridSpan w:val="5"/>
            <w:vAlign w:val="center"/>
          </w:tcPr>
          <w:p w14:paraId="663E1022">
            <w:pPr>
              <w:adjustRightInd w:val="0"/>
              <w:snapToGrid w:val="0"/>
              <w:ind w:firstLine="420" w:firstLineChars="200"/>
              <w:rPr>
                <w:rFonts w:eastAsiaTheme="minorEastAsia"/>
                <w:color w:val="auto"/>
                <w:sz w:val="21"/>
                <w:szCs w:val="21"/>
              </w:rPr>
            </w:pPr>
            <w:r>
              <w:rPr>
                <w:rFonts w:hint="eastAsia" w:hAnsiTheme="minorEastAsia" w:eastAsiaTheme="minorEastAsia"/>
                <w:color w:val="auto"/>
                <w:sz w:val="21"/>
                <w:szCs w:val="21"/>
                <w:lang w:eastAsia="zh-CN"/>
              </w:rPr>
              <w:t>扩建</w:t>
            </w:r>
            <w:r>
              <w:rPr>
                <w:rFonts w:hint="eastAsia" w:hAnsiTheme="minorEastAsia" w:eastAsiaTheme="minorEastAsia"/>
                <w:color w:val="auto"/>
                <w:sz w:val="21"/>
                <w:szCs w:val="21"/>
              </w:rPr>
              <w:t>建设项目</w:t>
            </w:r>
            <w:r>
              <w:rPr>
                <w:rFonts w:hAnsiTheme="minorEastAsia" w:eastAsiaTheme="minorEastAsia"/>
                <w:color w:val="auto"/>
                <w:sz w:val="21"/>
                <w:szCs w:val="21"/>
              </w:rPr>
              <w:t>建成后，产生的污染经采用适当的污染防治措施实现达标排放后，对区域的生态环境影响可以接受。</w:t>
            </w:r>
          </w:p>
        </w:tc>
      </w:tr>
      <w:tr w14:paraId="451765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041" w:type="dxa"/>
            <w:vAlign w:val="center"/>
          </w:tcPr>
          <w:p w14:paraId="1BA8B365">
            <w:pPr>
              <w:adjustRightInd w:val="0"/>
              <w:snapToGrid w:val="0"/>
              <w:jc w:val="center"/>
              <w:rPr>
                <w:rFonts w:eastAsiaTheme="minorEastAsia"/>
                <w:b/>
                <w:color w:val="auto"/>
                <w:spacing w:val="-8"/>
                <w:sz w:val="21"/>
                <w:szCs w:val="21"/>
              </w:rPr>
            </w:pPr>
            <w:r>
              <w:rPr>
                <w:rFonts w:hAnsiTheme="minorEastAsia" w:eastAsiaTheme="minorEastAsia"/>
                <w:b/>
                <w:color w:val="auto"/>
                <w:spacing w:val="-8"/>
                <w:sz w:val="21"/>
                <w:szCs w:val="21"/>
              </w:rPr>
              <w:t>环境风险</w:t>
            </w:r>
          </w:p>
          <w:p w14:paraId="5D4A0D9E">
            <w:pPr>
              <w:adjustRightInd w:val="0"/>
              <w:snapToGrid w:val="0"/>
              <w:jc w:val="center"/>
              <w:rPr>
                <w:rFonts w:eastAsiaTheme="minorEastAsia"/>
                <w:b/>
                <w:color w:val="auto"/>
                <w:spacing w:val="-8"/>
                <w:sz w:val="21"/>
                <w:szCs w:val="21"/>
              </w:rPr>
            </w:pPr>
            <w:r>
              <w:rPr>
                <w:rFonts w:hAnsiTheme="minorEastAsia" w:eastAsiaTheme="minorEastAsia"/>
                <w:b/>
                <w:color w:val="auto"/>
                <w:spacing w:val="-8"/>
                <w:sz w:val="21"/>
                <w:szCs w:val="21"/>
              </w:rPr>
              <w:t>防范措施</w:t>
            </w:r>
          </w:p>
        </w:tc>
        <w:tc>
          <w:tcPr>
            <w:tcW w:w="7805" w:type="dxa"/>
            <w:gridSpan w:val="5"/>
            <w:vAlign w:val="center"/>
          </w:tcPr>
          <w:p w14:paraId="4497AA48">
            <w:pPr>
              <w:widowControl/>
              <w:autoSpaceDE w:val="0"/>
              <w:autoSpaceDN w:val="0"/>
              <w:adjustRightInd w:val="0"/>
              <w:snapToGrid w:val="0"/>
              <w:ind w:firstLine="420" w:firstLineChars="200"/>
              <w:jc w:val="left"/>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火灾：各区域按规范设置灭火器、消防设施并定期检查维护。发生火灾事故险情时，第一发现人应立即报告主管，根据事故险情和扑救具体情况采取适当措施，如需外援应立即拨打火警119告知火灾危险严重程度。</w:t>
            </w:r>
          </w:p>
          <w:p w14:paraId="44162307">
            <w:pPr>
              <w:widowControl/>
              <w:autoSpaceDE w:val="0"/>
              <w:autoSpaceDN w:val="0"/>
              <w:adjustRightInd w:val="0"/>
              <w:snapToGrid w:val="0"/>
              <w:ind w:firstLine="420" w:firstLineChars="200"/>
              <w:jc w:val="left"/>
              <w:rPr>
                <w:rFonts w:eastAsiaTheme="minorEastAsia"/>
                <w:color w:val="auto"/>
                <w:sz w:val="21"/>
                <w:szCs w:val="21"/>
              </w:rPr>
            </w:pPr>
            <w:r>
              <w:rPr>
                <w:color w:val="auto"/>
                <w:kern w:val="0"/>
                <w:sz w:val="21"/>
                <w:szCs w:val="21"/>
              </w:rPr>
              <w:t>泄漏</w:t>
            </w:r>
            <w:r>
              <w:rPr>
                <w:rFonts w:hint="eastAsia"/>
                <w:color w:val="auto"/>
                <w:kern w:val="0"/>
                <w:sz w:val="21"/>
                <w:szCs w:val="21"/>
              </w:rPr>
              <w:t>：</w:t>
            </w:r>
            <w:r>
              <w:rPr>
                <w:rFonts w:hint="eastAsia"/>
                <w:color w:val="auto"/>
                <w:sz w:val="21"/>
                <w:szCs w:val="21"/>
                <w:lang w:eastAsia="zh-CN"/>
              </w:rPr>
              <w:t>化学品库</w:t>
            </w:r>
            <w:r>
              <w:rPr>
                <w:rFonts w:hint="eastAsia"/>
                <w:color w:val="auto"/>
                <w:sz w:val="21"/>
                <w:szCs w:val="21"/>
              </w:rPr>
              <w:t>贮存桶设置防渗漏托盘</w:t>
            </w:r>
            <w:r>
              <w:rPr>
                <w:rFonts w:hAnsi="宋体"/>
                <w:color w:val="auto"/>
                <w:sz w:val="21"/>
                <w:szCs w:val="21"/>
              </w:rPr>
              <w:t>收集泄漏物料，配备消防沙覆盖泄漏物减少蒸发，配备无火花收容工具收纳泄漏物料。</w:t>
            </w:r>
            <w:r>
              <w:rPr>
                <w:rFonts w:hint="eastAsia"/>
                <w:color w:val="auto"/>
                <w:sz w:val="21"/>
                <w:szCs w:val="21"/>
                <w:lang w:eastAsia="zh-CN"/>
              </w:rPr>
              <w:t>化学品</w:t>
            </w:r>
            <w:r>
              <w:rPr>
                <w:color w:val="auto"/>
                <w:sz w:val="21"/>
                <w:szCs w:val="21"/>
              </w:rPr>
              <w:t>运输过程中注意不同的</w:t>
            </w:r>
            <w:r>
              <w:rPr>
                <w:rFonts w:hint="eastAsia"/>
                <w:color w:val="auto"/>
                <w:sz w:val="21"/>
                <w:szCs w:val="21"/>
                <w:lang w:eastAsia="zh-CN"/>
              </w:rPr>
              <w:t>化学品</w:t>
            </w:r>
            <w:r>
              <w:rPr>
                <w:color w:val="auto"/>
                <w:sz w:val="21"/>
                <w:szCs w:val="21"/>
              </w:rPr>
              <w:t>单独运输，固废的包装容器注意密闭，以免在运输途中发生</w:t>
            </w:r>
            <w:r>
              <w:rPr>
                <w:rFonts w:hint="eastAsia"/>
                <w:color w:val="auto"/>
                <w:sz w:val="21"/>
                <w:szCs w:val="21"/>
                <w:lang w:eastAsia="zh-CN"/>
              </w:rPr>
              <w:t>化学品</w:t>
            </w:r>
            <w:r>
              <w:rPr>
                <w:color w:val="auto"/>
                <w:sz w:val="21"/>
                <w:szCs w:val="21"/>
              </w:rPr>
              <w:t>的泄漏，从而产生二次污染。</w:t>
            </w:r>
          </w:p>
        </w:tc>
      </w:tr>
      <w:tr w14:paraId="71EBB2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306" w:hRule="atLeast"/>
          <w:jc w:val="center"/>
        </w:trPr>
        <w:tc>
          <w:tcPr>
            <w:tcW w:w="1041" w:type="dxa"/>
            <w:vAlign w:val="center"/>
          </w:tcPr>
          <w:p w14:paraId="1B5A4D57">
            <w:pPr>
              <w:adjustRightInd w:val="0"/>
              <w:snapToGrid w:val="0"/>
              <w:jc w:val="center"/>
              <w:rPr>
                <w:rFonts w:eastAsiaTheme="minorEastAsia"/>
                <w:b/>
                <w:color w:val="auto"/>
                <w:spacing w:val="-8"/>
                <w:sz w:val="21"/>
                <w:szCs w:val="21"/>
              </w:rPr>
            </w:pPr>
            <w:r>
              <w:rPr>
                <w:rFonts w:hAnsiTheme="minorEastAsia" w:eastAsiaTheme="minorEastAsia"/>
                <w:b/>
                <w:color w:val="auto"/>
                <w:spacing w:val="-8"/>
                <w:sz w:val="21"/>
                <w:szCs w:val="21"/>
              </w:rPr>
              <w:t>其他环境</w:t>
            </w:r>
          </w:p>
          <w:p w14:paraId="49589A7A">
            <w:pPr>
              <w:adjustRightInd w:val="0"/>
              <w:snapToGrid w:val="0"/>
              <w:jc w:val="center"/>
              <w:rPr>
                <w:rFonts w:eastAsiaTheme="minorEastAsia"/>
                <w:b/>
                <w:color w:val="auto"/>
                <w:spacing w:val="-8"/>
                <w:sz w:val="21"/>
                <w:szCs w:val="21"/>
              </w:rPr>
            </w:pPr>
            <w:r>
              <w:rPr>
                <w:rFonts w:hAnsiTheme="minorEastAsia" w:eastAsiaTheme="minorEastAsia"/>
                <w:b/>
                <w:color w:val="auto"/>
                <w:spacing w:val="-8"/>
                <w:sz w:val="21"/>
                <w:szCs w:val="21"/>
              </w:rPr>
              <w:t>管理要求</w:t>
            </w:r>
          </w:p>
        </w:tc>
        <w:tc>
          <w:tcPr>
            <w:tcW w:w="7805" w:type="dxa"/>
            <w:gridSpan w:val="5"/>
            <w:vAlign w:val="center"/>
          </w:tcPr>
          <w:p w14:paraId="777541F8">
            <w:pPr>
              <w:adjustRightInd w:val="0"/>
              <w:snapToGrid w:val="0"/>
              <w:spacing w:line="300" w:lineRule="auto"/>
              <w:ind w:firstLine="420" w:firstLineChars="200"/>
              <w:jc w:val="left"/>
              <w:rPr>
                <w:rFonts w:eastAsiaTheme="minorEastAsia"/>
                <w:color w:val="auto"/>
                <w:sz w:val="21"/>
                <w:szCs w:val="21"/>
              </w:rPr>
            </w:pPr>
            <w:r>
              <w:rPr>
                <w:rFonts w:hAnsiTheme="minorEastAsia" w:eastAsiaTheme="minorEastAsia"/>
                <w:color w:val="auto"/>
                <w:sz w:val="21"/>
                <w:szCs w:val="21"/>
              </w:rPr>
              <w:t>无。</w:t>
            </w:r>
          </w:p>
        </w:tc>
      </w:tr>
    </w:tbl>
    <w:p w14:paraId="70D43DAF">
      <w:pPr>
        <w:widowControl/>
        <w:jc w:val="center"/>
        <w:outlineLvl w:val="0"/>
        <w:rPr>
          <w:snapToGrid w:val="0"/>
          <w:color w:val="auto"/>
          <w:sz w:val="30"/>
          <w:szCs w:val="30"/>
        </w:rPr>
      </w:pPr>
      <w:r>
        <w:rPr>
          <w:b/>
          <w:snapToGrid w:val="0"/>
          <w:color w:val="auto"/>
          <w:sz w:val="30"/>
          <w:szCs w:val="30"/>
        </w:rPr>
        <w:br w:type="page"/>
      </w:r>
      <w:bookmarkStart w:id="52" w:name="_Toc5737"/>
      <w:r>
        <w:rPr>
          <w:rFonts w:hAnsi="宋体"/>
          <w:b/>
          <w:snapToGrid w:val="0"/>
          <w:color w:val="auto"/>
          <w:sz w:val="30"/>
          <w:szCs w:val="30"/>
        </w:rPr>
        <w:t>六、结论</w:t>
      </w:r>
      <w:bookmarkEnd w:id="52"/>
    </w:p>
    <w:tbl>
      <w:tblPr>
        <w:tblStyle w:val="32"/>
        <w:tblW w:w="0" w:type="auto"/>
        <w:jc w:val="center"/>
        <w:tblBorders>
          <w:top w:val="single" w:color="auto" w:sz="4" w:space="0"/>
          <w:left w:val="single" w:color="auto" w:sz="8" w:space="0"/>
          <w:bottom w:val="single" w:color="auto" w:sz="8" w:space="0"/>
          <w:right w:val="single" w:color="auto" w:sz="8" w:space="0"/>
          <w:insideH w:val="none" w:color="auto" w:sz="0" w:space="0"/>
          <w:insideV w:val="none" w:color="auto" w:sz="0" w:space="0"/>
        </w:tblBorders>
        <w:tblLayout w:type="fixed"/>
        <w:tblCellMar>
          <w:top w:w="0" w:type="dxa"/>
          <w:left w:w="108" w:type="dxa"/>
          <w:bottom w:w="0" w:type="dxa"/>
          <w:right w:w="108" w:type="dxa"/>
        </w:tblCellMar>
      </w:tblPr>
      <w:tblGrid>
        <w:gridCol w:w="8865"/>
      </w:tblGrid>
      <w:tr w14:paraId="2C500FD3">
        <w:tblPrEx>
          <w:tblBorders>
            <w:top w:val="single" w:color="auto" w:sz="4"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11991" w:hRule="atLeast"/>
          <w:jc w:val="center"/>
        </w:trPr>
        <w:tc>
          <w:tcPr>
            <w:tcW w:w="8865" w:type="dxa"/>
          </w:tcPr>
          <w:p w14:paraId="2409C7C2">
            <w:pPr>
              <w:adjustRightInd w:val="0"/>
              <w:snapToGrid w:val="0"/>
              <w:spacing w:before="120" w:beforeLines="50" w:line="360" w:lineRule="auto"/>
              <w:ind w:firstLine="480" w:firstLineChars="200"/>
              <w:rPr>
                <w:color w:val="auto"/>
                <w:sz w:val="24"/>
              </w:rPr>
            </w:pPr>
            <w:r>
              <w:rPr>
                <w:rFonts w:hAnsi="宋体"/>
                <w:color w:val="auto"/>
                <w:sz w:val="24"/>
              </w:rPr>
              <w:t>通过对</w:t>
            </w:r>
            <w:r>
              <w:rPr>
                <w:rFonts w:hint="eastAsia" w:hAnsi="宋体"/>
                <w:color w:val="auto"/>
                <w:sz w:val="24"/>
                <w:lang w:eastAsia="zh-CN"/>
              </w:rPr>
              <w:t>扩建</w:t>
            </w:r>
            <w:r>
              <w:rPr>
                <w:rFonts w:hAnsi="宋体"/>
                <w:color w:val="auto"/>
                <w:sz w:val="24"/>
              </w:rPr>
              <w:t>建设项目的环境影响评价后认为：本项目建设符合国家产业政策，项目选址</w:t>
            </w:r>
            <w:r>
              <w:rPr>
                <w:rFonts w:ascii="Times New Roman" w:hAnsi="宋体" w:eastAsia="宋体" w:cs="Times New Roman"/>
                <w:color w:val="auto"/>
                <w:sz w:val="24"/>
              </w:rPr>
              <w:t>于</w:t>
            </w:r>
            <w:r>
              <w:rPr>
                <w:rFonts w:hint="eastAsia" w:hAnsi="宋体" w:cs="Times New Roman"/>
                <w:color w:val="auto"/>
                <w:sz w:val="24"/>
                <w:lang w:val="en-US" w:eastAsia="zh-CN"/>
              </w:rPr>
              <w:t>江苏涟水经济开发区涟水路3号</w:t>
            </w:r>
            <w:r>
              <w:rPr>
                <w:rFonts w:ascii="Times New Roman" w:hAnsi="宋体" w:eastAsia="宋体" w:cs="Times New Roman"/>
                <w:color w:val="auto"/>
                <w:sz w:val="24"/>
              </w:rPr>
              <w:t>，符</w:t>
            </w:r>
            <w:r>
              <w:rPr>
                <w:rFonts w:hAnsi="宋体"/>
                <w:color w:val="auto"/>
                <w:sz w:val="24"/>
              </w:rPr>
              <w:t>合江苏涟水经济开发区用地规划要求；建设单位在认真落实本报告提出的各项环保措施与建议，对预期产生的主要污染物采取切实可行的污染治理措施，确保实现达标排放，最大限度减小对项目所在地环境质量影响的前提下，从环境保护角度论证，在</w:t>
            </w:r>
            <w:r>
              <w:rPr>
                <w:rFonts w:hint="eastAsia" w:hAnsi="宋体"/>
                <w:color w:val="auto"/>
                <w:sz w:val="24"/>
                <w:lang w:eastAsia="zh-CN"/>
              </w:rPr>
              <w:t>现有</w:t>
            </w:r>
            <w:r>
              <w:rPr>
                <w:rFonts w:hAnsi="宋体"/>
                <w:color w:val="auto"/>
                <w:sz w:val="24"/>
              </w:rPr>
              <w:t>地址</w:t>
            </w:r>
            <w:r>
              <w:rPr>
                <w:rFonts w:hint="eastAsia" w:hAnsi="宋体"/>
                <w:color w:val="auto"/>
                <w:sz w:val="24"/>
                <w:lang w:eastAsia="zh-CN"/>
              </w:rPr>
              <w:t>进行扩建</w:t>
            </w:r>
            <w:r>
              <w:rPr>
                <w:rFonts w:hAnsi="宋体"/>
                <w:color w:val="auto"/>
                <w:sz w:val="24"/>
              </w:rPr>
              <w:t>是可行的。</w:t>
            </w:r>
          </w:p>
          <w:p w14:paraId="72A6428F">
            <w:pPr>
              <w:adjustRightInd w:val="0"/>
              <w:snapToGrid w:val="0"/>
              <w:spacing w:line="360" w:lineRule="auto"/>
              <w:ind w:firstLine="482" w:firstLineChars="200"/>
              <w:rPr>
                <w:b/>
                <w:color w:val="auto"/>
                <w:sz w:val="24"/>
              </w:rPr>
            </w:pPr>
          </w:p>
          <w:p w14:paraId="2C2D79AD">
            <w:pPr>
              <w:adjustRightInd w:val="0"/>
              <w:snapToGrid w:val="0"/>
              <w:spacing w:line="360" w:lineRule="auto"/>
              <w:ind w:firstLine="482" w:firstLineChars="200"/>
              <w:rPr>
                <w:b/>
                <w:color w:val="auto"/>
                <w:sz w:val="24"/>
              </w:rPr>
            </w:pPr>
          </w:p>
          <w:p w14:paraId="02D8BB2A">
            <w:pPr>
              <w:adjustRightInd w:val="0"/>
              <w:snapToGrid w:val="0"/>
              <w:spacing w:line="360" w:lineRule="auto"/>
              <w:ind w:firstLine="482" w:firstLineChars="200"/>
              <w:rPr>
                <w:b/>
                <w:color w:val="auto"/>
                <w:sz w:val="24"/>
              </w:rPr>
            </w:pPr>
          </w:p>
          <w:p w14:paraId="61EC7C59">
            <w:pPr>
              <w:adjustRightInd w:val="0"/>
              <w:snapToGrid w:val="0"/>
              <w:spacing w:line="360" w:lineRule="auto"/>
              <w:ind w:firstLine="482" w:firstLineChars="200"/>
              <w:rPr>
                <w:b/>
                <w:color w:val="auto"/>
                <w:sz w:val="24"/>
              </w:rPr>
            </w:pPr>
          </w:p>
          <w:p w14:paraId="678A7A58">
            <w:pPr>
              <w:adjustRightInd w:val="0"/>
              <w:snapToGrid w:val="0"/>
              <w:spacing w:line="360" w:lineRule="auto"/>
              <w:ind w:firstLine="482" w:firstLineChars="200"/>
              <w:rPr>
                <w:b/>
                <w:color w:val="auto"/>
                <w:sz w:val="24"/>
              </w:rPr>
            </w:pPr>
          </w:p>
          <w:p w14:paraId="36120198">
            <w:pPr>
              <w:adjustRightInd w:val="0"/>
              <w:snapToGrid w:val="0"/>
              <w:spacing w:line="360" w:lineRule="auto"/>
              <w:ind w:firstLine="482" w:firstLineChars="200"/>
              <w:rPr>
                <w:b/>
                <w:color w:val="auto"/>
                <w:sz w:val="24"/>
              </w:rPr>
            </w:pPr>
          </w:p>
          <w:p w14:paraId="73137FA8">
            <w:pPr>
              <w:adjustRightInd w:val="0"/>
              <w:snapToGrid w:val="0"/>
              <w:spacing w:line="360" w:lineRule="auto"/>
              <w:ind w:firstLine="482" w:firstLineChars="200"/>
              <w:rPr>
                <w:b/>
                <w:color w:val="auto"/>
                <w:sz w:val="24"/>
              </w:rPr>
            </w:pPr>
          </w:p>
          <w:p w14:paraId="43DE4AA8">
            <w:pPr>
              <w:adjustRightInd w:val="0"/>
              <w:snapToGrid w:val="0"/>
              <w:spacing w:line="360" w:lineRule="auto"/>
              <w:ind w:firstLine="482" w:firstLineChars="200"/>
              <w:rPr>
                <w:b/>
                <w:color w:val="auto"/>
                <w:sz w:val="24"/>
              </w:rPr>
            </w:pPr>
          </w:p>
          <w:p w14:paraId="05A16AA5">
            <w:pPr>
              <w:adjustRightInd w:val="0"/>
              <w:snapToGrid w:val="0"/>
              <w:spacing w:line="360" w:lineRule="auto"/>
              <w:ind w:firstLine="482" w:firstLineChars="200"/>
              <w:rPr>
                <w:b/>
                <w:color w:val="auto"/>
                <w:sz w:val="24"/>
              </w:rPr>
            </w:pPr>
          </w:p>
          <w:p w14:paraId="705C3154">
            <w:pPr>
              <w:adjustRightInd w:val="0"/>
              <w:snapToGrid w:val="0"/>
              <w:spacing w:line="360" w:lineRule="auto"/>
              <w:ind w:firstLine="482" w:firstLineChars="200"/>
              <w:rPr>
                <w:b/>
                <w:color w:val="auto"/>
                <w:sz w:val="24"/>
              </w:rPr>
            </w:pPr>
          </w:p>
          <w:p w14:paraId="354377D7">
            <w:pPr>
              <w:adjustRightInd w:val="0"/>
              <w:snapToGrid w:val="0"/>
              <w:spacing w:line="360" w:lineRule="auto"/>
              <w:ind w:firstLine="482" w:firstLineChars="200"/>
              <w:rPr>
                <w:b/>
                <w:color w:val="auto"/>
                <w:sz w:val="24"/>
              </w:rPr>
            </w:pPr>
          </w:p>
          <w:p w14:paraId="5C5F10C2">
            <w:pPr>
              <w:adjustRightInd w:val="0"/>
              <w:snapToGrid w:val="0"/>
              <w:spacing w:line="360" w:lineRule="auto"/>
              <w:ind w:firstLine="482" w:firstLineChars="200"/>
              <w:rPr>
                <w:b/>
                <w:color w:val="auto"/>
                <w:sz w:val="24"/>
              </w:rPr>
            </w:pPr>
          </w:p>
          <w:p w14:paraId="20D5110C">
            <w:pPr>
              <w:adjustRightInd w:val="0"/>
              <w:snapToGrid w:val="0"/>
              <w:spacing w:line="360" w:lineRule="auto"/>
              <w:ind w:firstLine="482" w:firstLineChars="200"/>
              <w:rPr>
                <w:rFonts w:hint="eastAsia" w:eastAsia="宋体"/>
                <w:b/>
                <w:color w:val="auto"/>
                <w:sz w:val="24"/>
                <w:lang w:val="en-US" w:eastAsia="zh-CN"/>
              </w:rPr>
            </w:pPr>
          </w:p>
          <w:p w14:paraId="291A22CA">
            <w:pPr>
              <w:adjustRightInd w:val="0"/>
              <w:snapToGrid w:val="0"/>
              <w:spacing w:line="360" w:lineRule="auto"/>
              <w:ind w:firstLine="482" w:firstLineChars="200"/>
              <w:rPr>
                <w:b/>
                <w:color w:val="auto"/>
                <w:sz w:val="24"/>
              </w:rPr>
            </w:pPr>
          </w:p>
          <w:p w14:paraId="4092FCB7">
            <w:pPr>
              <w:adjustRightInd w:val="0"/>
              <w:snapToGrid w:val="0"/>
              <w:spacing w:line="360" w:lineRule="auto"/>
              <w:ind w:firstLine="482" w:firstLineChars="200"/>
              <w:rPr>
                <w:b/>
                <w:color w:val="auto"/>
                <w:sz w:val="24"/>
              </w:rPr>
            </w:pPr>
          </w:p>
          <w:p w14:paraId="628E03B4">
            <w:pPr>
              <w:adjustRightInd w:val="0"/>
              <w:snapToGrid w:val="0"/>
              <w:spacing w:line="360" w:lineRule="auto"/>
              <w:ind w:firstLine="480" w:firstLineChars="200"/>
              <w:rPr>
                <w:color w:val="auto"/>
                <w:sz w:val="24"/>
              </w:rPr>
            </w:pPr>
          </w:p>
          <w:p w14:paraId="08BE694A">
            <w:pPr>
              <w:adjustRightInd w:val="0"/>
              <w:snapToGrid w:val="0"/>
              <w:spacing w:line="360" w:lineRule="auto"/>
              <w:ind w:firstLine="480" w:firstLineChars="200"/>
              <w:rPr>
                <w:color w:val="auto"/>
                <w:sz w:val="24"/>
              </w:rPr>
            </w:pPr>
          </w:p>
          <w:p w14:paraId="630CE2C9">
            <w:pPr>
              <w:adjustRightInd w:val="0"/>
              <w:snapToGrid w:val="0"/>
              <w:spacing w:line="360" w:lineRule="auto"/>
              <w:ind w:firstLine="480" w:firstLineChars="200"/>
              <w:rPr>
                <w:color w:val="auto"/>
                <w:sz w:val="24"/>
              </w:rPr>
            </w:pPr>
          </w:p>
          <w:p w14:paraId="11A8996E">
            <w:pPr>
              <w:adjustRightInd w:val="0"/>
              <w:snapToGrid w:val="0"/>
              <w:spacing w:line="360" w:lineRule="auto"/>
              <w:ind w:firstLine="480" w:firstLineChars="200"/>
              <w:rPr>
                <w:color w:val="auto"/>
                <w:sz w:val="24"/>
              </w:rPr>
            </w:pPr>
          </w:p>
          <w:p w14:paraId="62F2C506">
            <w:pPr>
              <w:adjustRightInd w:val="0"/>
              <w:snapToGrid w:val="0"/>
              <w:spacing w:line="360" w:lineRule="auto"/>
              <w:ind w:firstLine="480" w:firstLineChars="200"/>
              <w:rPr>
                <w:color w:val="auto"/>
                <w:sz w:val="24"/>
              </w:rPr>
            </w:pPr>
          </w:p>
          <w:p w14:paraId="728DACC2">
            <w:pPr>
              <w:adjustRightInd w:val="0"/>
              <w:snapToGrid w:val="0"/>
              <w:spacing w:line="360" w:lineRule="auto"/>
              <w:ind w:firstLine="480" w:firstLineChars="200"/>
              <w:rPr>
                <w:color w:val="auto"/>
                <w:sz w:val="24"/>
              </w:rPr>
            </w:pPr>
          </w:p>
          <w:p w14:paraId="4247DE71">
            <w:pPr>
              <w:adjustRightInd w:val="0"/>
              <w:snapToGrid w:val="0"/>
              <w:spacing w:line="360" w:lineRule="auto"/>
              <w:ind w:firstLine="480" w:firstLineChars="200"/>
              <w:rPr>
                <w:color w:val="auto"/>
                <w:sz w:val="24"/>
              </w:rPr>
            </w:pPr>
          </w:p>
          <w:p w14:paraId="4D700925">
            <w:pPr>
              <w:adjustRightInd w:val="0"/>
              <w:snapToGrid w:val="0"/>
              <w:spacing w:line="360" w:lineRule="auto"/>
              <w:ind w:firstLine="480" w:firstLineChars="200"/>
              <w:rPr>
                <w:color w:val="auto"/>
                <w:sz w:val="24"/>
              </w:rPr>
            </w:pPr>
          </w:p>
          <w:p w14:paraId="0FB4079C">
            <w:pPr>
              <w:adjustRightInd w:val="0"/>
              <w:snapToGrid w:val="0"/>
              <w:spacing w:line="360" w:lineRule="auto"/>
              <w:ind w:firstLine="480" w:firstLineChars="200"/>
              <w:rPr>
                <w:color w:val="auto"/>
                <w:sz w:val="24"/>
              </w:rPr>
            </w:pPr>
          </w:p>
        </w:tc>
      </w:tr>
    </w:tbl>
    <w:p w14:paraId="1DDBA9DC">
      <w:pPr>
        <w:rPr>
          <w:color w:val="auto"/>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09A89B24">
      <w:pPr>
        <w:pStyle w:val="29"/>
        <w:keepNext w:val="0"/>
        <w:keepLines w:val="0"/>
        <w:pageBreakBefore w:val="0"/>
        <w:widowControl/>
        <w:kinsoku/>
        <w:wordWrap/>
        <w:overflowPunct/>
        <w:topLinePunct w:val="0"/>
        <w:autoSpaceDE/>
        <w:autoSpaceDN/>
        <w:bidi w:val="0"/>
        <w:adjustRightInd w:val="0"/>
        <w:snapToGrid w:val="0"/>
        <w:spacing w:before="0" w:beforeAutospacing="0" w:after="0" w:afterAutospacing="0" w:line="260" w:lineRule="exact"/>
        <w:textAlignment w:val="auto"/>
        <w:outlineLvl w:val="0"/>
        <w:rPr>
          <w:rFonts w:ascii="Times New Roman" w:hAnsi="Times New Roman"/>
          <w:snapToGrid w:val="0"/>
          <w:color w:val="auto"/>
          <w:sz w:val="22"/>
          <w:szCs w:val="22"/>
        </w:rPr>
      </w:pPr>
      <w:bookmarkStart w:id="53" w:name="_Toc299"/>
      <w:r>
        <w:rPr>
          <w:rFonts w:ascii="Times New Roman"/>
          <w:snapToGrid w:val="0"/>
          <w:color w:val="auto"/>
          <w:sz w:val="22"/>
          <w:szCs w:val="22"/>
        </w:rPr>
        <w:t>附表</w:t>
      </w:r>
      <w:bookmarkEnd w:id="53"/>
    </w:p>
    <w:p w14:paraId="0EAC5376">
      <w:pPr>
        <w:pStyle w:val="29"/>
        <w:keepNext w:val="0"/>
        <w:keepLines w:val="0"/>
        <w:pageBreakBefore w:val="0"/>
        <w:widowControl/>
        <w:kinsoku/>
        <w:wordWrap/>
        <w:overflowPunct/>
        <w:topLinePunct w:val="0"/>
        <w:autoSpaceDE/>
        <w:autoSpaceDN/>
        <w:bidi w:val="0"/>
        <w:spacing w:before="0" w:beforeAutospacing="0" w:after="0" w:afterAutospacing="0" w:line="300" w:lineRule="exact"/>
        <w:jc w:val="center"/>
        <w:textAlignment w:val="auto"/>
        <w:rPr>
          <w:rFonts w:ascii="Times New Roman" w:hAnsi="Times New Roman"/>
          <w:b/>
          <w:snapToGrid w:val="0"/>
          <w:color w:val="auto"/>
          <w:sz w:val="28"/>
          <w:szCs w:val="28"/>
        </w:rPr>
      </w:pPr>
      <w:r>
        <w:rPr>
          <w:rFonts w:ascii="Times New Roman"/>
          <w:b/>
          <w:snapToGrid w:val="0"/>
          <w:color w:val="auto"/>
          <w:sz w:val="28"/>
          <w:szCs w:val="28"/>
        </w:rPr>
        <w:t>建设项目污染物排放量汇总表</w:t>
      </w:r>
      <w:r>
        <w:rPr>
          <w:rFonts w:ascii="Times New Roman"/>
          <w:snapToGrid w:val="0"/>
          <w:color w:val="auto"/>
          <w:sz w:val="18"/>
          <w:szCs w:val="18"/>
        </w:rPr>
        <w:t>单位</w:t>
      </w:r>
      <w:r>
        <w:rPr>
          <w:rFonts w:ascii="Times New Roman" w:hAnsi="Times New Roman"/>
          <w:snapToGrid w:val="0"/>
          <w:color w:val="auto"/>
          <w:sz w:val="18"/>
          <w:szCs w:val="18"/>
        </w:rPr>
        <w:t>/t/a</w:t>
      </w:r>
    </w:p>
    <w:tbl>
      <w:tblPr>
        <w:tblStyle w:val="32"/>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1020"/>
        <w:gridCol w:w="1417"/>
        <w:gridCol w:w="1557"/>
        <w:gridCol w:w="1557"/>
        <w:gridCol w:w="1266"/>
        <w:gridCol w:w="1563"/>
        <w:gridCol w:w="1360"/>
        <w:gridCol w:w="2030"/>
        <w:gridCol w:w="1722"/>
      </w:tblGrid>
      <w:tr w14:paraId="10347F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78" w:type="pct"/>
            <w:tcBorders>
              <w:tl2br w:val="single" w:color="auto" w:sz="4" w:space="0"/>
            </w:tcBorders>
            <w:tcMar>
              <w:left w:w="28" w:type="dxa"/>
              <w:right w:w="28" w:type="dxa"/>
            </w:tcMar>
            <w:vAlign w:val="center"/>
          </w:tcPr>
          <w:p w14:paraId="1922C04A">
            <w:pPr>
              <w:pStyle w:val="45"/>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cs="Times New Roman"/>
                <w:snapToGrid w:val="0"/>
                <w:color w:val="auto"/>
                <w:spacing w:val="-6"/>
                <w:kern w:val="21"/>
                <w:sz w:val="21"/>
                <w:szCs w:val="21"/>
              </w:rPr>
            </w:pPr>
            <w:r>
              <w:rPr>
                <w:rFonts w:hint="default" w:ascii="Times New Roman" w:hAnsi="Times New Roman" w:cs="Times New Roman"/>
                <w:snapToGrid w:val="0"/>
                <w:color w:val="auto"/>
                <w:spacing w:val="-6"/>
                <w:kern w:val="21"/>
                <w:sz w:val="21"/>
                <w:szCs w:val="21"/>
              </w:rPr>
              <w:t>项目</w:t>
            </w:r>
          </w:p>
          <w:p w14:paraId="4C5F9EDC">
            <w:pPr>
              <w:pStyle w:val="45"/>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cs="Times New Roman"/>
                <w:snapToGrid w:val="0"/>
                <w:color w:val="auto"/>
                <w:spacing w:val="-6"/>
                <w:kern w:val="21"/>
                <w:sz w:val="21"/>
                <w:szCs w:val="21"/>
              </w:rPr>
            </w:pPr>
            <w:r>
              <w:rPr>
                <w:rFonts w:hint="default" w:ascii="Times New Roman" w:hAnsi="Times New Roman" w:cs="Times New Roman"/>
                <w:snapToGrid w:val="0"/>
                <w:color w:val="auto"/>
                <w:spacing w:val="-6"/>
                <w:kern w:val="21"/>
                <w:sz w:val="21"/>
                <w:szCs w:val="21"/>
              </w:rPr>
              <w:t>分类</w:t>
            </w:r>
          </w:p>
        </w:tc>
        <w:tc>
          <w:tcPr>
            <w:tcW w:w="525" w:type="pct"/>
            <w:tcMar>
              <w:left w:w="28" w:type="dxa"/>
              <w:right w:w="28" w:type="dxa"/>
            </w:tcMar>
            <w:vAlign w:val="center"/>
          </w:tcPr>
          <w:p w14:paraId="575E1176">
            <w:pPr>
              <w:pStyle w:val="45"/>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cs="Times New Roman"/>
                <w:snapToGrid w:val="0"/>
                <w:color w:val="auto"/>
                <w:spacing w:val="-6"/>
                <w:kern w:val="21"/>
                <w:sz w:val="21"/>
                <w:szCs w:val="21"/>
              </w:rPr>
            </w:pPr>
            <w:r>
              <w:rPr>
                <w:rFonts w:hint="default" w:ascii="Times New Roman" w:hAnsi="Times New Roman" w:cs="Times New Roman"/>
                <w:snapToGrid w:val="0"/>
                <w:color w:val="auto"/>
                <w:spacing w:val="-6"/>
                <w:kern w:val="21"/>
                <w:sz w:val="21"/>
                <w:szCs w:val="21"/>
              </w:rPr>
              <w:t>污染物名称</w:t>
            </w:r>
          </w:p>
        </w:tc>
        <w:tc>
          <w:tcPr>
            <w:tcW w:w="577" w:type="pct"/>
            <w:tcMar>
              <w:left w:w="28" w:type="dxa"/>
              <w:right w:w="28" w:type="dxa"/>
            </w:tcMar>
            <w:vAlign w:val="center"/>
          </w:tcPr>
          <w:p w14:paraId="092F15D9">
            <w:pPr>
              <w:pStyle w:val="45"/>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cs="Times New Roman"/>
                <w:snapToGrid w:val="0"/>
                <w:color w:val="auto"/>
                <w:spacing w:val="-6"/>
                <w:kern w:val="21"/>
                <w:sz w:val="21"/>
                <w:szCs w:val="21"/>
              </w:rPr>
            </w:pPr>
            <w:r>
              <w:rPr>
                <w:rFonts w:hint="default" w:ascii="Times New Roman" w:hAnsi="Times New Roman" w:cs="Times New Roman"/>
                <w:snapToGrid w:val="0"/>
                <w:color w:val="auto"/>
                <w:spacing w:val="-6"/>
                <w:kern w:val="21"/>
                <w:sz w:val="21"/>
                <w:szCs w:val="21"/>
              </w:rPr>
              <w:t>现有工程</w:t>
            </w:r>
          </w:p>
          <w:p w14:paraId="118DCE9B">
            <w:pPr>
              <w:pStyle w:val="45"/>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cs="Times New Roman"/>
                <w:snapToGrid w:val="0"/>
                <w:color w:val="auto"/>
                <w:spacing w:val="-6"/>
                <w:kern w:val="21"/>
                <w:sz w:val="21"/>
                <w:szCs w:val="21"/>
              </w:rPr>
            </w:pPr>
            <w:r>
              <w:rPr>
                <w:rFonts w:hint="default" w:ascii="Times New Roman" w:hAnsi="Times New Roman" w:cs="Times New Roman"/>
                <w:snapToGrid w:val="0"/>
                <w:color w:val="auto"/>
                <w:spacing w:val="-6"/>
                <w:kern w:val="21"/>
                <w:sz w:val="21"/>
                <w:szCs w:val="21"/>
              </w:rPr>
              <w:t>排放量（固体废物产生量）</w:t>
            </w:r>
            <w:r>
              <w:rPr>
                <w:rFonts w:hint="default" w:ascii="Times New Roman" w:hAnsi="Times New Roman" w:cs="Times New Roman"/>
                <w:snapToGrid w:val="0"/>
                <w:color w:val="auto"/>
                <w:spacing w:val="-6"/>
                <w:kern w:val="21"/>
                <w:sz w:val="21"/>
                <w:szCs w:val="21"/>
              </w:rPr>
              <w:fldChar w:fldCharType="begin"/>
            </w:r>
            <w:r>
              <w:rPr>
                <w:rFonts w:hint="default" w:ascii="Times New Roman" w:hAnsi="Times New Roman" w:cs="Times New Roman"/>
                <w:snapToGrid w:val="0"/>
                <w:color w:val="auto"/>
                <w:spacing w:val="-6"/>
                <w:kern w:val="21"/>
                <w:sz w:val="21"/>
                <w:szCs w:val="21"/>
              </w:rPr>
              <w:instrText xml:space="preserve"> = 1 \* GB3 \* MERGEFORMAT </w:instrText>
            </w:r>
            <w:r>
              <w:rPr>
                <w:rFonts w:hint="default" w:ascii="Times New Roman" w:hAnsi="Times New Roman" w:cs="Times New Roman"/>
                <w:snapToGrid w:val="0"/>
                <w:color w:val="auto"/>
                <w:spacing w:val="-6"/>
                <w:kern w:val="21"/>
                <w:sz w:val="21"/>
                <w:szCs w:val="21"/>
              </w:rPr>
              <w:fldChar w:fldCharType="separate"/>
            </w:r>
            <w:r>
              <w:rPr>
                <w:rFonts w:hint="default" w:ascii="Times New Roman" w:hAnsi="Times New Roman" w:cs="Times New Roman"/>
                <w:color w:val="auto"/>
                <w:kern w:val="2"/>
                <w:sz w:val="21"/>
                <w:szCs w:val="21"/>
              </w:rPr>
              <w:t>①</w:t>
            </w:r>
            <w:r>
              <w:rPr>
                <w:rFonts w:hint="default" w:ascii="Times New Roman" w:hAnsi="Times New Roman" w:cs="Times New Roman"/>
                <w:snapToGrid w:val="0"/>
                <w:color w:val="auto"/>
                <w:spacing w:val="-6"/>
                <w:kern w:val="21"/>
                <w:sz w:val="21"/>
                <w:szCs w:val="21"/>
              </w:rPr>
              <w:fldChar w:fldCharType="end"/>
            </w:r>
          </w:p>
        </w:tc>
        <w:tc>
          <w:tcPr>
            <w:tcW w:w="577" w:type="pct"/>
            <w:tcMar>
              <w:left w:w="28" w:type="dxa"/>
              <w:right w:w="28" w:type="dxa"/>
            </w:tcMar>
            <w:vAlign w:val="center"/>
          </w:tcPr>
          <w:p w14:paraId="51C87670">
            <w:pPr>
              <w:pStyle w:val="45"/>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cs="Times New Roman"/>
                <w:snapToGrid w:val="0"/>
                <w:color w:val="auto"/>
                <w:spacing w:val="-6"/>
                <w:kern w:val="21"/>
                <w:sz w:val="21"/>
                <w:szCs w:val="21"/>
              </w:rPr>
            </w:pPr>
            <w:r>
              <w:rPr>
                <w:rFonts w:hint="default" w:ascii="Times New Roman" w:hAnsi="Times New Roman" w:cs="Times New Roman"/>
                <w:snapToGrid w:val="0"/>
                <w:color w:val="auto"/>
                <w:spacing w:val="-6"/>
                <w:kern w:val="21"/>
                <w:sz w:val="21"/>
                <w:szCs w:val="21"/>
              </w:rPr>
              <w:t>现有工程</w:t>
            </w:r>
          </w:p>
          <w:p w14:paraId="12D9769C">
            <w:pPr>
              <w:pStyle w:val="45"/>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cs="Times New Roman"/>
                <w:snapToGrid w:val="0"/>
                <w:color w:val="auto"/>
                <w:spacing w:val="-6"/>
                <w:kern w:val="21"/>
                <w:sz w:val="21"/>
                <w:szCs w:val="21"/>
              </w:rPr>
            </w:pPr>
            <w:r>
              <w:rPr>
                <w:rFonts w:hint="default" w:ascii="Times New Roman" w:hAnsi="Times New Roman" w:cs="Times New Roman"/>
                <w:snapToGrid w:val="0"/>
                <w:color w:val="auto"/>
                <w:spacing w:val="-6"/>
                <w:kern w:val="21"/>
                <w:sz w:val="21"/>
                <w:szCs w:val="21"/>
              </w:rPr>
              <w:t>许可排放量</w:t>
            </w:r>
          </w:p>
          <w:p w14:paraId="3E9A27DA">
            <w:pPr>
              <w:pStyle w:val="45"/>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cs="Times New Roman"/>
                <w:snapToGrid w:val="0"/>
                <w:color w:val="auto"/>
                <w:spacing w:val="-6"/>
                <w:kern w:val="21"/>
                <w:sz w:val="21"/>
                <w:szCs w:val="21"/>
              </w:rPr>
            </w:pPr>
            <w:r>
              <w:rPr>
                <w:rFonts w:hint="default" w:ascii="Times New Roman" w:hAnsi="Times New Roman" w:cs="Times New Roman"/>
                <w:snapToGrid w:val="0"/>
                <w:color w:val="auto"/>
                <w:spacing w:val="-6"/>
                <w:kern w:val="21"/>
                <w:sz w:val="21"/>
                <w:szCs w:val="21"/>
              </w:rPr>
              <w:fldChar w:fldCharType="begin"/>
            </w:r>
            <w:r>
              <w:rPr>
                <w:rFonts w:hint="default" w:ascii="Times New Roman" w:hAnsi="Times New Roman" w:cs="Times New Roman"/>
                <w:snapToGrid w:val="0"/>
                <w:color w:val="auto"/>
                <w:spacing w:val="-6"/>
                <w:kern w:val="21"/>
                <w:sz w:val="21"/>
                <w:szCs w:val="21"/>
              </w:rPr>
              <w:instrText xml:space="preserve"> = 2 \* GB3 \* MERGEFORMAT </w:instrText>
            </w:r>
            <w:r>
              <w:rPr>
                <w:rFonts w:hint="default" w:ascii="Times New Roman" w:hAnsi="Times New Roman" w:cs="Times New Roman"/>
                <w:snapToGrid w:val="0"/>
                <w:color w:val="auto"/>
                <w:spacing w:val="-6"/>
                <w:kern w:val="21"/>
                <w:sz w:val="21"/>
                <w:szCs w:val="21"/>
              </w:rPr>
              <w:fldChar w:fldCharType="separate"/>
            </w:r>
            <w:r>
              <w:rPr>
                <w:rFonts w:hint="default" w:ascii="Times New Roman" w:hAnsi="Times New Roman" w:cs="Times New Roman"/>
                <w:snapToGrid w:val="0"/>
                <w:color w:val="auto"/>
                <w:spacing w:val="-6"/>
                <w:kern w:val="21"/>
                <w:sz w:val="21"/>
                <w:szCs w:val="21"/>
              </w:rPr>
              <w:t>②</w:t>
            </w:r>
            <w:r>
              <w:rPr>
                <w:rFonts w:hint="default" w:ascii="Times New Roman" w:hAnsi="Times New Roman" w:cs="Times New Roman"/>
                <w:snapToGrid w:val="0"/>
                <w:color w:val="auto"/>
                <w:spacing w:val="-6"/>
                <w:kern w:val="21"/>
                <w:sz w:val="21"/>
                <w:szCs w:val="21"/>
              </w:rPr>
              <w:fldChar w:fldCharType="end"/>
            </w:r>
          </w:p>
        </w:tc>
        <w:tc>
          <w:tcPr>
            <w:tcW w:w="469" w:type="pct"/>
            <w:tcMar>
              <w:left w:w="28" w:type="dxa"/>
              <w:right w:w="28" w:type="dxa"/>
            </w:tcMar>
            <w:vAlign w:val="center"/>
          </w:tcPr>
          <w:p w14:paraId="2923AE9A">
            <w:pPr>
              <w:pStyle w:val="45"/>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cs="Times New Roman"/>
                <w:snapToGrid w:val="0"/>
                <w:color w:val="auto"/>
                <w:spacing w:val="-6"/>
                <w:kern w:val="21"/>
                <w:sz w:val="21"/>
                <w:szCs w:val="21"/>
              </w:rPr>
            </w:pPr>
            <w:r>
              <w:rPr>
                <w:rFonts w:hint="default" w:ascii="Times New Roman" w:hAnsi="Times New Roman" w:cs="Times New Roman"/>
                <w:snapToGrid w:val="0"/>
                <w:color w:val="auto"/>
                <w:spacing w:val="-6"/>
                <w:kern w:val="21"/>
                <w:sz w:val="21"/>
                <w:szCs w:val="21"/>
              </w:rPr>
              <w:t>在建工程</w:t>
            </w:r>
          </w:p>
          <w:p w14:paraId="117FD5D3">
            <w:pPr>
              <w:pStyle w:val="45"/>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cs="Times New Roman"/>
                <w:snapToGrid w:val="0"/>
                <w:color w:val="auto"/>
                <w:spacing w:val="-6"/>
                <w:kern w:val="21"/>
                <w:sz w:val="21"/>
                <w:szCs w:val="21"/>
              </w:rPr>
            </w:pPr>
            <w:r>
              <w:rPr>
                <w:rFonts w:hint="default" w:ascii="Times New Roman" w:hAnsi="Times New Roman" w:cs="Times New Roman"/>
                <w:snapToGrid w:val="0"/>
                <w:color w:val="auto"/>
                <w:spacing w:val="-6"/>
                <w:kern w:val="21"/>
                <w:sz w:val="21"/>
                <w:szCs w:val="21"/>
              </w:rPr>
              <w:t>排放量（固体废物产生量）</w:t>
            </w:r>
            <w:r>
              <w:rPr>
                <w:rFonts w:hint="default" w:ascii="Times New Roman" w:hAnsi="Times New Roman" w:cs="Times New Roman"/>
                <w:snapToGrid w:val="0"/>
                <w:color w:val="auto"/>
                <w:spacing w:val="-6"/>
                <w:kern w:val="21"/>
                <w:sz w:val="21"/>
                <w:szCs w:val="21"/>
              </w:rPr>
              <w:fldChar w:fldCharType="begin"/>
            </w:r>
            <w:r>
              <w:rPr>
                <w:rFonts w:hint="default" w:ascii="Times New Roman" w:hAnsi="Times New Roman" w:cs="Times New Roman"/>
                <w:snapToGrid w:val="0"/>
                <w:color w:val="auto"/>
                <w:spacing w:val="-6"/>
                <w:kern w:val="21"/>
                <w:sz w:val="21"/>
                <w:szCs w:val="21"/>
              </w:rPr>
              <w:instrText xml:space="preserve"> = 3 \* GB3 \* MERGEFORMAT </w:instrText>
            </w:r>
            <w:r>
              <w:rPr>
                <w:rFonts w:hint="default" w:ascii="Times New Roman" w:hAnsi="Times New Roman" w:cs="Times New Roman"/>
                <w:snapToGrid w:val="0"/>
                <w:color w:val="auto"/>
                <w:spacing w:val="-6"/>
                <w:kern w:val="21"/>
                <w:sz w:val="21"/>
                <w:szCs w:val="21"/>
              </w:rPr>
              <w:fldChar w:fldCharType="separate"/>
            </w:r>
            <w:r>
              <w:rPr>
                <w:rFonts w:hint="default" w:ascii="Times New Roman" w:hAnsi="Times New Roman" w:cs="Times New Roman"/>
                <w:color w:val="auto"/>
                <w:kern w:val="2"/>
                <w:sz w:val="21"/>
                <w:szCs w:val="21"/>
              </w:rPr>
              <w:t>③</w:t>
            </w:r>
            <w:r>
              <w:rPr>
                <w:rFonts w:hint="default" w:ascii="Times New Roman" w:hAnsi="Times New Roman" w:cs="Times New Roman"/>
                <w:snapToGrid w:val="0"/>
                <w:color w:val="auto"/>
                <w:spacing w:val="-6"/>
                <w:kern w:val="21"/>
                <w:sz w:val="21"/>
                <w:szCs w:val="21"/>
              </w:rPr>
              <w:fldChar w:fldCharType="end"/>
            </w:r>
          </w:p>
        </w:tc>
        <w:tc>
          <w:tcPr>
            <w:tcW w:w="579" w:type="pct"/>
            <w:tcMar>
              <w:left w:w="28" w:type="dxa"/>
              <w:right w:w="28" w:type="dxa"/>
            </w:tcMar>
            <w:vAlign w:val="center"/>
          </w:tcPr>
          <w:p w14:paraId="0C92DE75">
            <w:pPr>
              <w:pStyle w:val="45"/>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cs="Times New Roman"/>
                <w:snapToGrid w:val="0"/>
                <w:color w:val="auto"/>
                <w:spacing w:val="-6"/>
                <w:kern w:val="21"/>
                <w:sz w:val="21"/>
                <w:szCs w:val="21"/>
              </w:rPr>
            </w:pPr>
            <w:r>
              <w:rPr>
                <w:rFonts w:hint="default" w:ascii="Times New Roman" w:hAnsi="Times New Roman" w:cs="Times New Roman"/>
                <w:snapToGrid w:val="0"/>
                <w:color w:val="auto"/>
                <w:spacing w:val="-6"/>
                <w:kern w:val="21"/>
                <w:sz w:val="21"/>
                <w:szCs w:val="21"/>
              </w:rPr>
              <w:t>本项目</w:t>
            </w:r>
          </w:p>
          <w:p w14:paraId="330A5E1A">
            <w:pPr>
              <w:pStyle w:val="45"/>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cs="Times New Roman"/>
                <w:snapToGrid w:val="0"/>
                <w:color w:val="auto"/>
                <w:spacing w:val="-6"/>
                <w:kern w:val="21"/>
                <w:sz w:val="21"/>
                <w:szCs w:val="21"/>
              </w:rPr>
            </w:pPr>
            <w:r>
              <w:rPr>
                <w:rFonts w:hint="default" w:ascii="Times New Roman" w:hAnsi="Times New Roman" w:cs="Times New Roman"/>
                <w:snapToGrid w:val="0"/>
                <w:color w:val="auto"/>
                <w:spacing w:val="-6"/>
                <w:kern w:val="21"/>
                <w:sz w:val="21"/>
                <w:szCs w:val="21"/>
              </w:rPr>
              <w:t>排放量（固体废物产生量）</w:t>
            </w:r>
            <w:r>
              <w:rPr>
                <w:rFonts w:hint="default" w:ascii="Times New Roman" w:hAnsi="Times New Roman" w:cs="Times New Roman"/>
                <w:snapToGrid w:val="0"/>
                <w:color w:val="auto"/>
                <w:spacing w:val="-6"/>
                <w:kern w:val="21"/>
                <w:sz w:val="21"/>
                <w:szCs w:val="21"/>
              </w:rPr>
              <w:fldChar w:fldCharType="begin"/>
            </w:r>
            <w:r>
              <w:rPr>
                <w:rFonts w:hint="default" w:ascii="Times New Roman" w:hAnsi="Times New Roman" w:cs="Times New Roman"/>
                <w:snapToGrid w:val="0"/>
                <w:color w:val="auto"/>
                <w:spacing w:val="-6"/>
                <w:kern w:val="21"/>
                <w:sz w:val="21"/>
                <w:szCs w:val="21"/>
              </w:rPr>
              <w:instrText xml:space="preserve"> = 4 \* GB3 \* MERGEFORMAT </w:instrText>
            </w:r>
            <w:r>
              <w:rPr>
                <w:rFonts w:hint="default" w:ascii="Times New Roman" w:hAnsi="Times New Roman" w:cs="Times New Roman"/>
                <w:snapToGrid w:val="0"/>
                <w:color w:val="auto"/>
                <w:spacing w:val="-6"/>
                <w:kern w:val="21"/>
                <w:sz w:val="21"/>
                <w:szCs w:val="21"/>
              </w:rPr>
              <w:fldChar w:fldCharType="separate"/>
            </w:r>
            <w:r>
              <w:rPr>
                <w:rFonts w:hint="default" w:ascii="Times New Roman" w:hAnsi="Times New Roman" w:cs="Times New Roman"/>
                <w:color w:val="auto"/>
                <w:kern w:val="2"/>
                <w:sz w:val="21"/>
                <w:szCs w:val="21"/>
              </w:rPr>
              <w:t>④</w:t>
            </w:r>
            <w:r>
              <w:rPr>
                <w:rFonts w:hint="default" w:ascii="Times New Roman" w:hAnsi="Times New Roman" w:cs="Times New Roman"/>
                <w:snapToGrid w:val="0"/>
                <w:color w:val="auto"/>
                <w:spacing w:val="-6"/>
                <w:kern w:val="21"/>
                <w:sz w:val="21"/>
                <w:szCs w:val="21"/>
              </w:rPr>
              <w:fldChar w:fldCharType="end"/>
            </w:r>
          </w:p>
        </w:tc>
        <w:tc>
          <w:tcPr>
            <w:tcW w:w="504" w:type="pct"/>
            <w:tcMar>
              <w:left w:w="28" w:type="dxa"/>
              <w:right w:w="28" w:type="dxa"/>
            </w:tcMar>
            <w:vAlign w:val="center"/>
          </w:tcPr>
          <w:p w14:paraId="02ABACCF">
            <w:pPr>
              <w:pStyle w:val="45"/>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cs="Times New Roman"/>
                <w:snapToGrid w:val="0"/>
                <w:color w:val="auto"/>
                <w:spacing w:val="-16"/>
                <w:kern w:val="21"/>
                <w:sz w:val="21"/>
                <w:szCs w:val="21"/>
              </w:rPr>
            </w:pPr>
            <w:r>
              <w:rPr>
                <w:rFonts w:hint="default" w:ascii="Times New Roman" w:hAnsi="Times New Roman" w:cs="Times New Roman"/>
                <w:snapToGrid w:val="0"/>
                <w:color w:val="auto"/>
                <w:spacing w:val="-16"/>
                <w:kern w:val="21"/>
                <w:sz w:val="21"/>
                <w:szCs w:val="21"/>
              </w:rPr>
              <w:t>以新带老削减量</w:t>
            </w:r>
          </w:p>
          <w:p w14:paraId="197626FB">
            <w:pPr>
              <w:pStyle w:val="45"/>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cs="Times New Roman"/>
                <w:snapToGrid w:val="0"/>
                <w:color w:val="auto"/>
                <w:spacing w:val="-16"/>
                <w:kern w:val="21"/>
                <w:sz w:val="21"/>
                <w:szCs w:val="21"/>
              </w:rPr>
            </w:pPr>
            <w:r>
              <w:rPr>
                <w:rFonts w:hint="default" w:ascii="Times New Roman" w:hAnsi="Times New Roman" w:cs="Times New Roman"/>
                <w:snapToGrid w:val="0"/>
                <w:color w:val="auto"/>
                <w:spacing w:val="-16"/>
                <w:kern w:val="21"/>
                <w:sz w:val="21"/>
                <w:szCs w:val="21"/>
              </w:rPr>
              <w:t>（新建项目不填）</w:t>
            </w:r>
            <w:r>
              <w:rPr>
                <w:rFonts w:hint="default" w:ascii="Times New Roman" w:hAnsi="Times New Roman" w:cs="Times New Roman"/>
                <w:snapToGrid w:val="0"/>
                <w:color w:val="auto"/>
                <w:spacing w:val="-16"/>
                <w:kern w:val="21"/>
                <w:sz w:val="21"/>
                <w:szCs w:val="21"/>
              </w:rPr>
              <w:fldChar w:fldCharType="begin"/>
            </w:r>
            <w:r>
              <w:rPr>
                <w:rFonts w:hint="default" w:ascii="Times New Roman" w:hAnsi="Times New Roman" w:cs="Times New Roman"/>
                <w:snapToGrid w:val="0"/>
                <w:color w:val="auto"/>
                <w:spacing w:val="-16"/>
                <w:kern w:val="21"/>
                <w:sz w:val="21"/>
                <w:szCs w:val="21"/>
              </w:rPr>
              <w:instrText xml:space="preserve"> = 5 \* GB3 \* MERGEFORMAT </w:instrText>
            </w:r>
            <w:r>
              <w:rPr>
                <w:rFonts w:hint="default" w:ascii="Times New Roman" w:hAnsi="Times New Roman" w:cs="Times New Roman"/>
                <w:snapToGrid w:val="0"/>
                <w:color w:val="auto"/>
                <w:spacing w:val="-16"/>
                <w:kern w:val="21"/>
                <w:sz w:val="21"/>
                <w:szCs w:val="21"/>
              </w:rPr>
              <w:fldChar w:fldCharType="separate"/>
            </w:r>
            <w:r>
              <w:rPr>
                <w:rFonts w:hint="default" w:ascii="Times New Roman" w:hAnsi="Times New Roman" w:cs="Times New Roman"/>
                <w:color w:val="auto"/>
                <w:kern w:val="2"/>
                <w:sz w:val="21"/>
                <w:szCs w:val="21"/>
              </w:rPr>
              <w:t>⑤</w:t>
            </w:r>
            <w:r>
              <w:rPr>
                <w:rFonts w:hint="default" w:ascii="Times New Roman" w:hAnsi="Times New Roman" w:cs="Times New Roman"/>
                <w:snapToGrid w:val="0"/>
                <w:color w:val="auto"/>
                <w:spacing w:val="-16"/>
                <w:kern w:val="21"/>
                <w:sz w:val="21"/>
                <w:szCs w:val="21"/>
              </w:rPr>
              <w:fldChar w:fldCharType="end"/>
            </w:r>
          </w:p>
        </w:tc>
        <w:tc>
          <w:tcPr>
            <w:tcW w:w="752" w:type="pct"/>
            <w:tcMar>
              <w:left w:w="28" w:type="dxa"/>
              <w:right w:w="28" w:type="dxa"/>
            </w:tcMar>
            <w:vAlign w:val="center"/>
          </w:tcPr>
          <w:p w14:paraId="199E997C">
            <w:pPr>
              <w:pStyle w:val="45"/>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cs="Times New Roman"/>
                <w:snapToGrid w:val="0"/>
                <w:color w:val="auto"/>
                <w:spacing w:val="-16"/>
                <w:kern w:val="21"/>
                <w:sz w:val="21"/>
                <w:szCs w:val="21"/>
              </w:rPr>
            </w:pPr>
            <w:r>
              <w:rPr>
                <w:rFonts w:hint="default" w:ascii="Times New Roman" w:hAnsi="Times New Roman" w:cs="Times New Roman"/>
                <w:snapToGrid w:val="0"/>
                <w:color w:val="auto"/>
                <w:spacing w:val="-16"/>
                <w:kern w:val="21"/>
                <w:sz w:val="21"/>
                <w:szCs w:val="21"/>
              </w:rPr>
              <w:t>本项目建成后全厂排放量（固体废物产生量）⑥</w:t>
            </w:r>
          </w:p>
        </w:tc>
        <w:tc>
          <w:tcPr>
            <w:tcW w:w="638" w:type="pct"/>
            <w:tcMar>
              <w:left w:w="28" w:type="dxa"/>
              <w:right w:w="28" w:type="dxa"/>
            </w:tcMar>
            <w:vAlign w:val="center"/>
          </w:tcPr>
          <w:p w14:paraId="305DD039">
            <w:pPr>
              <w:pStyle w:val="45"/>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cs="Times New Roman"/>
                <w:snapToGrid w:val="0"/>
                <w:color w:val="auto"/>
                <w:spacing w:val="-6"/>
                <w:kern w:val="21"/>
                <w:sz w:val="21"/>
                <w:szCs w:val="21"/>
              </w:rPr>
            </w:pPr>
            <w:r>
              <w:rPr>
                <w:rFonts w:hint="default" w:ascii="Times New Roman" w:hAnsi="Times New Roman" w:cs="Times New Roman"/>
                <w:snapToGrid w:val="0"/>
                <w:color w:val="auto"/>
                <w:spacing w:val="-6"/>
                <w:kern w:val="21"/>
                <w:sz w:val="21"/>
                <w:szCs w:val="21"/>
              </w:rPr>
              <w:t>变化量</w:t>
            </w:r>
          </w:p>
          <w:p w14:paraId="1B4AEE94">
            <w:pPr>
              <w:pStyle w:val="45"/>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cs="Times New Roman"/>
                <w:snapToGrid w:val="0"/>
                <w:color w:val="auto"/>
                <w:spacing w:val="-6"/>
                <w:kern w:val="21"/>
                <w:sz w:val="21"/>
                <w:szCs w:val="21"/>
              </w:rPr>
            </w:pPr>
            <w:r>
              <w:rPr>
                <w:rFonts w:hint="default" w:ascii="Times New Roman" w:hAnsi="Times New Roman" w:cs="Times New Roman"/>
                <w:snapToGrid w:val="0"/>
                <w:color w:val="auto"/>
                <w:spacing w:val="-6"/>
                <w:kern w:val="21"/>
                <w:sz w:val="21"/>
                <w:szCs w:val="21"/>
              </w:rPr>
              <w:fldChar w:fldCharType="begin"/>
            </w:r>
            <w:r>
              <w:rPr>
                <w:rFonts w:hint="default" w:ascii="Times New Roman" w:hAnsi="Times New Roman" w:cs="Times New Roman"/>
                <w:snapToGrid w:val="0"/>
                <w:color w:val="auto"/>
                <w:spacing w:val="-6"/>
                <w:kern w:val="21"/>
                <w:sz w:val="21"/>
                <w:szCs w:val="21"/>
              </w:rPr>
              <w:instrText xml:space="preserve"> = 7 \* GB3 \* MERGEFORMAT </w:instrText>
            </w:r>
            <w:r>
              <w:rPr>
                <w:rFonts w:hint="default" w:ascii="Times New Roman" w:hAnsi="Times New Roman" w:cs="Times New Roman"/>
                <w:snapToGrid w:val="0"/>
                <w:color w:val="auto"/>
                <w:spacing w:val="-6"/>
                <w:kern w:val="21"/>
                <w:sz w:val="21"/>
                <w:szCs w:val="21"/>
              </w:rPr>
              <w:fldChar w:fldCharType="separate"/>
            </w:r>
            <w:r>
              <w:rPr>
                <w:rFonts w:hint="default" w:ascii="Times New Roman" w:hAnsi="Times New Roman" w:cs="Times New Roman"/>
                <w:color w:val="auto"/>
                <w:kern w:val="2"/>
                <w:sz w:val="21"/>
                <w:szCs w:val="21"/>
              </w:rPr>
              <w:t>⑦</w:t>
            </w:r>
            <w:r>
              <w:rPr>
                <w:rFonts w:hint="default" w:ascii="Times New Roman" w:hAnsi="Times New Roman" w:cs="Times New Roman"/>
                <w:snapToGrid w:val="0"/>
                <w:color w:val="auto"/>
                <w:spacing w:val="-6"/>
                <w:kern w:val="21"/>
                <w:sz w:val="21"/>
                <w:szCs w:val="21"/>
              </w:rPr>
              <w:fldChar w:fldCharType="end"/>
            </w:r>
          </w:p>
        </w:tc>
      </w:tr>
      <w:tr w14:paraId="3090D4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78" w:type="pct"/>
            <w:vMerge w:val="restart"/>
            <w:vAlign w:val="center"/>
          </w:tcPr>
          <w:p w14:paraId="0FF76EC8">
            <w:pPr>
              <w:pStyle w:val="45"/>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cs="Times New Roman"/>
                <w:snapToGrid w:val="0"/>
                <w:color w:val="auto"/>
                <w:kern w:val="21"/>
                <w:sz w:val="21"/>
                <w:szCs w:val="21"/>
              </w:rPr>
            </w:pPr>
            <w:r>
              <w:rPr>
                <w:rFonts w:hint="default" w:ascii="Times New Roman" w:hAnsi="Times New Roman" w:cs="Times New Roman"/>
                <w:snapToGrid w:val="0"/>
                <w:color w:val="auto"/>
                <w:kern w:val="21"/>
                <w:sz w:val="21"/>
                <w:szCs w:val="21"/>
              </w:rPr>
              <w:t>废气</w:t>
            </w:r>
          </w:p>
          <w:p w14:paraId="47C13ED5">
            <w:pPr>
              <w:pStyle w:val="45"/>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cs="Times New Roman"/>
                <w:snapToGrid w:val="0"/>
                <w:color w:val="auto"/>
                <w:kern w:val="21"/>
                <w:sz w:val="21"/>
                <w:szCs w:val="21"/>
              </w:rPr>
            </w:pPr>
            <w:r>
              <w:rPr>
                <w:rFonts w:hint="default" w:ascii="Times New Roman" w:hAnsi="Times New Roman" w:cs="Times New Roman"/>
                <w:snapToGrid w:val="0"/>
                <w:color w:val="auto"/>
                <w:kern w:val="21"/>
                <w:sz w:val="21"/>
                <w:szCs w:val="21"/>
              </w:rPr>
              <w:t>（无组织）</w:t>
            </w:r>
          </w:p>
        </w:tc>
        <w:tc>
          <w:tcPr>
            <w:tcW w:w="1417" w:type="dxa"/>
            <w:shd w:val="clear" w:color="auto" w:fill="auto"/>
            <w:vAlign w:val="center"/>
          </w:tcPr>
          <w:p w14:paraId="58EF26C4">
            <w:pPr>
              <w:jc w:val="center"/>
              <w:rPr>
                <w:rFonts w:hint="default" w:ascii="Times New Roman" w:hAnsi="Times New Roman" w:cs="Times New Roman" w:eastAsiaTheme="majorEastAsia"/>
                <w:color w:val="auto"/>
                <w:kern w:val="2"/>
                <w:sz w:val="21"/>
                <w:szCs w:val="21"/>
                <w:lang w:val="en-US" w:eastAsia="zh-CN" w:bidi="ar-SA"/>
              </w:rPr>
            </w:pPr>
            <w:r>
              <w:rPr>
                <w:rFonts w:hint="eastAsia"/>
                <w:color w:val="auto"/>
                <w:szCs w:val="21"/>
              </w:rPr>
              <w:t>油烟</w:t>
            </w:r>
          </w:p>
        </w:tc>
        <w:tc>
          <w:tcPr>
            <w:tcW w:w="1557" w:type="dxa"/>
            <w:shd w:val="clear" w:color="auto" w:fill="auto"/>
            <w:vAlign w:val="center"/>
          </w:tcPr>
          <w:p w14:paraId="5C42012C">
            <w:pPr>
              <w:widowControl/>
              <w:jc w:val="center"/>
              <w:rPr>
                <w:rFonts w:hint="default" w:ascii="Times New Roman" w:hAnsi="Times New Roman" w:cs="Times New Roman" w:eastAsiaTheme="majorEastAsia"/>
                <w:color w:val="auto"/>
                <w:kern w:val="2"/>
                <w:sz w:val="21"/>
                <w:szCs w:val="21"/>
                <w:lang w:val="en-US" w:eastAsia="zh-CN" w:bidi="ar-SA"/>
              </w:rPr>
            </w:pPr>
            <w:r>
              <w:rPr>
                <w:rFonts w:hint="eastAsia"/>
                <w:color w:val="auto"/>
                <w:kern w:val="0"/>
                <w:szCs w:val="22"/>
              </w:rPr>
              <w:t>0.09205</w:t>
            </w:r>
          </w:p>
        </w:tc>
        <w:tc>
          <w:tcPr>
            <w:tcW w:w="1557" w:type="dxa"/>
            <w:shd w:val="clear" w:color="auto" w:fill="auto"/>
            <w:vAlign w:val="center"/>
          </w:tcPr>
          <w:p w14:paraId="7281AD51">
            <w:pPr>
              <w:widowControl/>
              <w:jc w:val="center"/>
              <w:rPr>
                <w:rFonts w:hint="default" w:ascii="Times New Roman" w:hAnsi="Times New Roman" w:cs="Times New Roman" w:eastAsiaTheme="majorEastAsia"/>
                <w:color w:val="auto"/>
                <w:kern w:val="2"/>
                <w:sz w:val="21"/>
                <w:szCs w:val="21"/>
                <w:lang w:val="en-US" w:eastAsia="zh-CN" w:bidi="ar-SA"/>
              </w:rPr>
            </w:pPr>
            <w:r>
              <w:rPr>
                <w:rFonts w:hint="eastAsia"/>
                <w:color w:val="auto"/>
                <w:kern w:val="0"/>
                <w:szCs w:val="22"/>
              </w:rPr>
              <w:t>0.09205</w:t>
            </w:r>
          </w:p>
        </w:tc>
        <w:tc>
          <w:tcPr>
            <w:tcW w:w="469" w:type="pct"/>
            <w:vAlign w:val="center"/>
          </w:tcPr>
          <w:p w14:paraId="32157AE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ajorEastAsia"/>
                <w:color w:val="auto"/>
                <w:kern w:val="2"/>
                <w:sz w:val="21"/>
                <w:szCs w:val="21"/>
                <w:lang w:val="en-US" w:eastAsia="zh-CN" w:bidi="ar-SA"/>
              </w:rPr>
            </w:pPr>
            <w:r>
              <w:rPr>
                <w:rFonts w:hint="default" w:ascii="Times New Roman" w:hAnsi="Times New Roman" w:cs="Times New Roman" w:eastAsiaTheme="majorEastAsia"/>
                <w:color w:val="auto"/>
                <w:kern w:val="2"/>
                <w:sz w:val="21"/>
                <w:szCs w:val="21"/>
                <w:lang w:val="en-US" w:eastAsia="zh-CN" w:bidi="ar-SA"/>
              </w:rPr>
              <w:t>/</w:t>
            </w:r>
          </w:p>
        </w:tc>
        <w:tc>
          <w:tcPr>
            <w:tcW w:w="579" w:type="pct"/>
            <w:shd w:val="clear" w:color="auto" w:fill="auto"/>
            <w:vAlign w:val="center"/>
          </w:tcPr>
          <w:p w14:paraId="53661B67">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sz w:val="21"/>
                <w:szCs w:val="21"/>
                <w:lang w:val="en-US" w:eastAsia="zh-CN"/>
              </w:rPr>
              <w:t>0</w:t>
            </w:r>
          </w:p>
        </w:tc>
        <w:tc>
          <w:tcPr>
            <w:tcW w:w="504" w:type="pct"/>
            <w:shd w:val="clear" w:color="auto" w:fill="auto"/>
            <w:vAlign w:val="center"/>
          </w:tcPr>
          <w:p w14:paraId="6C1D380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ajorEastAsia"/>
                <w:color w:val="auto"/>
                <w:kern w:val="2"/>
                <w:sz w:val="21"/>
                <w:szCs w:val="21"/>
                <w:lang w:val="en-US" w:eastAsia="zh-CN" w:bidi="ar-SA"/>
              </w:rPr>
            </w:pPr>
            <w:r>
              <w:rPr>
                <w:rFonts w:hint="default" w:ascii="Times New Roman" w:hAnsi="Times New Roman" w:cs="Times New Roman" w:eastAsiaTheme="majorEastAsia"/>
                <w:color w:val="auto"/>
                <w:kern w:val="2"/>
                <w:sz w:val="21"/>
                <w:szCs w:val="21"/>
                <w:lang w:val="en-US" w:eastAsia="zh-CN" w:bidi="ar-SA"/>
              </w:rPr>
              <w:t>/</w:t>
            </w:r>
          </w:p>
        </w:tc>
        <w:tc>
          <w:tcPr>
            <w:tcW w:w="2030" w:type="dxa"/>
            <w:shd w:val="clear" w:color="auto" w:fill="auto"/>
            <w:vAlign w:val="center"/>
          </w:tcPr>
          <w:p w14:paraId="4CF2A691">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sz w:val="21"/>
                <w:szCs w:val="21"/>
                <w:lang w:val="en-US" w:eastAsia="zh-CN"/>
              </w:rPr>
              <w:t>0</w:t>
            </w:r>
          </w:p>
        </w:tc>
        <w:tc>
          <w:tcPr>
            <w:tcW w:w="638" w:type="pct"/>
            <w:shd w:val="clear" w:color="auto" w:fill="auto"/>
            <w:vAlign w:val="center"/>
          </w:tcPr>
          <w:p w14:paraId="416BD830">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sz w:val="21"/>
                <w:szCs w:val="21"/>
                <w:lang w:val="en-US" w:eastAsia="zh-CN"/>
              </w:rPr>
              <w:t>0</w:t>
            </w:r>
          </w:p>
        </w:tc>
      </w:tr>
      <w:tr w14:paraId="6AF926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78" w:type="pct"/>
            <w:vMerge w:val="continue"/>
            <w:vAlign w:val="center"/>
          </w:tcPr>
          <w:p w14:paraId="3ED7DE59">
            <w:pPr>
              <w:pStyle w:val="45"/>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cs="Times New Roman"/>
                <w:snapToGrid w:val="0"/>
                <w:color w:val="auto"/>
                <w:kern w:val="21"/>
                <w:sz w:val="21"/>
                <w:szCs w:val="21"/>
              </w:rPr>
            </w:pPr>
          </w:p>
        </w:tc>
        <w:tc>
          <w:tcPr>
            <w:tcW w:w="1417" w:type="dxa"/>
            <w:shd w:val="clear" w:color="auto" w:fill="auto"/>
            <w:vAlign w:val="center"/>
          </w:tcPr>
          <w:p w14:paraId="7229E8EE">
            <w:pPr>
              <w:jc w:val="center"/>
              <w:rPr>
                <w:rFonts w:hint="default" w:ascii="Times New Roman" w:hAnsi="Times New Roman" w:cs="Times New Roman" w:eastAsiaTheme="majorEastAsia"/>
                <w:color w:val="auto"/>
                <w:kern w:val="2"/>
                <w:sz w:val="21"/>
                <w:szCs w:val="21"/>
                <w:lang w:val="en-US" w:eastAsia="zh-CN" w:bidi="ar-SA"/>
              </w:rPr>
            </w:pPr>
            <w:r>
              <w:rPr>
                <w:rFonts w:hint="eastAsia"/>
                <w:color w:val="auto"/>
                <w:szCs w:val="21"/>
              </w:rPr>
              <w:t>氨</w:t>
            </w:r>
          </w:p>
        </w:tc>
        <w:tc>
          <w:tcPr>
            <w:tcW w:w="1557" w:type="dxa"/>
            <w:shd w:val="clear" w:color="auto" w:fill="auto"/>
            <w:vAlign w:val="center"/>
          </w:tcPr>
          <w:p w14:paraId="4786184A">
            <w:pPr>
              <w:widowControl/>
              <w:jc w:val="center"/>
              <w:rPr>
                <w:rFonts w:hint="default" w:ascii="Times New Roman" w:hAnsi="Times New Roman" w:cs="Times New Roman" w:eastAsiaTheme="majorEastAsia"/>
                <w:color w:val="auto"/>
                <w:kern w:val="2"/>
                <w:sz w:val="21"/>
                <w:szCs w:val="21"/>
                <w:lang w:val="en-US" w:eastAsia="zh-CN" w:bidi="ar-SA"/>
              </w:rPr>
            </w:pPr>
            <w:r>
              <w:rPr>
                <w:rFonts w:hint="eastAsia"/>
                <w:color w:val="auto"/>
                <w:kern w:val="0"/>
                <w:szCs w:val="22"/>
              </w:rPr>
              <w:t>0.26</w:t>
            </w:r>
          </w:p>
        </w:tc>
        <w:tc>
          <w:tcPr>
            <w:tcW w:w="1557" w:type="dxa"/>
            <w:shd w:val="clear" w:color="auto" w:fill="auto"/>
            <w:vAlign w:val="center"/>
          </w:tcPr>
          <w:p w14:paraId="2BFE4897">
            <w:pPr>
              <w:widowControl/>
              <w:jc w:val="center"/>
              <w:rPr>
                <w:rFonts w:hint="default" w:ascii="Times New Roman" w:hAnsi="Times New Roman" w:cs="Times New Roman" w:eastAsiaTheme="majorEastAsia"/>
                <w:color w:val="auto"/>
                <w:kern w:val="2"/>
                <w:sz w:val="21"/>
                <w:szCs w:val="21"/>
                <w:lang w:val="en-US" w:eastAsia="zh-CN" w:bidi="ar-SA"/>
              </w:rPr>
            </w:pPr>
            <w:r>
              <w:rPr>
                <w:rFonts w:hint="eastAsia"/>
                <w:color w:val="auto"/>
                <w:kern w:val="0"/>
                <w:szCs w:val="22"/>
              </w:rPr>
              <w:t>0.26</w:t>
            </w:r>
          </w:p>
        </w:tc>
        <w:tc>
          <w:tcPr>
            <w:tcW w:w="469" w:type="pct"/>
            <w:vAlign w:val="center"/>
          </w:tcPr>
          <w:p w14:paraId="591BC45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ajorEastAsia"/>
                <w:color w:val="auto"/>
                <w:kern w:val="2"/>
                <w:sz w:val="21"/>
                <w:szCs w:val="21"/>
                <w:lang w:val="en-US" w:eastAsia="zh-CN" w:bidi="ar-SA"/>
              </w:rPr>
            </w:pPr>
            <w:r>
              <w:rPr>
                <w:rFonts w:hint="default" w:ascii="Times New Roman" w:hAnsi="Times New Roman" w:cs="Times New Roman" w:eastAsiaTheme="majorEastAsia"/>
                <w:color w:val="auto"/>
                <w:kern w:val="2"/>
                <w:sz w:val="21"/>
                <w:szCs w:val="21"/>
                <w:lang w:val="en-US" w:eastAsia="zh-CN" w:bidi="ar-SA"/>
              </w:rPr>
              <w:t>/</w:t>
            </w:r>
          </w:p>
        </w:tc>
        <w:tc>
          <w:tcPr>
            <w:tcW w:w="579" w:type="pct"/>
            <w:shd w:val="clear" w:color="auto" w:fill="auto"/>
            <w:vAlign w:val="center"/>
          </w:tcPr>
          <w:p w14:paraId="702AA39C">
            <w:pPr>
              <w:keepNext w:val="0"/>
              <w:keepLines w:val="0"/>
              <w:pageBreakBefore w:val="0"/>
              <w:kinsoku/>
              <w:wordWrap/>
              <w:topLinePunct w:val="0"/>
              <w:autoSpaceDE/>
              <w:autoSpaceDN/>
              <w:bidi w:val="0"/>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cs="Times New Roman" w:eastAsiaTheme="minorEastAsia"/>
                <w:color w:val="auto"/>
                <w:kern w:val="2"/>
                <w:sz w:val="21"/>
                <w:szCs w:val="21"/>
                <w:lang w:val="en-US" w:eastAsia="zh-CN" w:bidi="ar-SA"/>
              </w:rPr>
              <w:t>0</w:t>
            </w:r>
          </w:p>
        </w:tc>
        <w:tc>
          <w:tcPr>
            <w:tcW w:w="504" w:type="pct"/>
            <w:shd w:val="clear" w:color="auto" w:fill="auto"/>
            <w:vAlign w:val="center"/>
          </w:tcPr>
          <w:p w14:paraId="26E810B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ajorEastAsia"/>
                <w:color w:val="auto"/>
                <w:kern w:val="2"/>
                <w:sz w:val="21"/>
                <w:szCs w:val="21"/>
                <w:lang w:val="en-US" w:eastAsia="zh-CN" w:bidi="ar-SA"/>
              </w:rPr>
            </w:pPr>
            <w:r>
              <w:rPr>
                <w:rFonts w:hint="default" w:ascii="Times New Roman" w:hAnsi="Times New Roman" w:cs="Times New Roman" w:eastAsiaTheme="majorEastAsia"/>
                <w:color w:val="auto"/>
                <w:kern w:val="2"/>
                <w:sz w:val="21"/>
                <w:szCs w:val="21"/>
                <w:lang w:val="en-US" w:eastAsia="zh-CN" w:bidi="ar-SA"/>
              </w:rPr>
              <w:t>/</w:t>
            </w:r>
          </w:p>
        </w:tc>
        <w:tc>
          <w:tcPr>
            <w:tcW w:w="2030" w:type="dxa"/>
            <w:shd w:val="clear" w:color="auto" w:fill="auto"/>
            <w:vAlign w:val="center"/>
          </w:tcPr>
          <w:p w14:paraId="164AE386">
            <w:pPr>
              <w:keepNext w:val="0"/>
              <w:keepLines w:val="0"/>
              <w:pageBreakBefore w:val="0"/>
              <w:kinsoku/>
              <w:wordWrap/>
              <w:topLinePunct w:val="0"/>
              <w:autoSpaceDE/>
              <w:autoSpaceDN/>
              <w:bidi w:val="0"/>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cs="Times New Roman" w:eastAsiaTheme="minorEastAsia"/>
                <w:color w:val="auto"/>
                <w:kern w:val="2"/>
                <w:sz w:val="21"/>
                <w:szCs w:val="21"/>
                <w:lang w:val="en-US" w:eastAsia="zh-CN" w:bidi="ar-SA"/>
              </w:rPr>
              <w:t>0</w:t>
            </w:r>
          </w:p>
        </w:tc>
        <w:tc>
          <w:tcPr>
            <w:tcW w:w="638" w:type="pct"/>
            <w:shd w:val="clear" w:color="auto" w:fill="auto"/>
            <w:vAlign w:val="center"/>
          </w:tcPr>
          <w:p w14:paraId="3F0D87F9">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sz w:val="21"/>
                <w:szCs w:val="21"/>
                <w:lang w:val="en-US" w:eastAsia="zh-CN"/>
              </w:rPr>
              <w:t>0</w:t>
            </w:r>
          </w:p>
        </w:tc>
      </w:tr>
      <w:tr w14:paraId="506C2E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78" w:type="pct"/>
            <w:vMerge w:val="continue"/>
            <w:vAlign w:val="center"/>
          </w:tcPr>
          <w:p w14:paraId="3146641B">
            <w:pPr>
              <w:pStyle w:val="45"/>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cs="Times New Roman"/>
                <w:snapToGrid w:val="0"/>
                <w:color w:val="auto"/>
                <w:kern w:val="21"/>
                <w:sz w:val="21"/>
                <w:szCs w:val="21"/>
              </w:rPr>
            </w:pPr>
          </w:p>
        </w:tc>
        <w:tc>
          <w:tcPr>
            <w:tcW w:w="1417" w:type="dxa"/>
            <w:shd w:val="clear" w:color="auto" w:fill="auto"/>
            <w:vAlign w:val="center"/>
          </w:tcPr>
          <w:p w14:paraId="0AA61BB8">
            <w:pPr>
              <w:jc w:val="center"/>
              <w:rPr>
                <w:rFonts w:hint="default" w:ascii="Times New Roman" w:hAnsi="Times New Roman" w:cs="Times New Roman" w:eastAsiaTheme="majorEastAsia"/>
                <w:color w:val="auto"/>
                <w:kern w:val="2"/>
                <w:sz w:val="21"/>
                <w:szCs w:val="21"/>
                <w:lang w:val="en-US" w:eastAsia="zh-CN" w:bidi="ar-SA"/>
              </w:rPr>
            </w:pPr>
            <w:r>
              <w:rPr>
                <w:rFonts w:hint="eastAsia"/>
                <w:color w:val="auto"/>
                <w:szCs w:val="21"/>
              </w:rPr>
              <w:t>硫化氢</w:t>
            </w:r>
          </w:p>
        </w:tc>
        <w:tc>
          <w:tcPr>
            <w:tcW w:w="1557" w:type="dxa"/>
            <w:shd w:val="clear" w:color="auto" w:fill="auto"/>
            <w:vAlign w:val="center"/>
          </w:tcPr>
          <w:p w14:paraId="6F2118BE">
            <w:pPr>
              <w:widowControl/>
              <w:jc w:val="center"/>
              <w:rPr>
                <w:rFonts w:hint="default" w:ascii="Times New Roman" w:hAnsi="Times New Roman" w:cs="Times New Roman" w:eastAsiaTheme="majorEastAsia"/>
                <w:color w:val="auto"/>
                <w:kern w:val="2"/>
                <w:sz w:val="21"/>
                <w:szCs w:val="21"/>
                <w:lang w:val="en-US" w:eastAsia="zh-CN" w:bidi="ar-SA"/>
              </w:rPr>
            </w:pPr>
            <w:r>
              <w:rPr>
                <w:rFonts w:hint="eastAsia"/>
                <w:color w:val="auto"/>
                <w:kern w:val="0"/>
                <w:szCs w:val="22"/>
              </w:rPr>
              <w:t>0.01</w:t>
            </w:r>
          </w:p>
        </w:tc>
        <w:tc>
          <w:tcPr>
            <w:tcW w:w="1557" w:type="dxa"/>
            <w:shd w:val="clear" w:color="auto" w:fill="auto"/>
            <w:vAlign w:val="center"/>
          </w:tcPr>
          <w:p w14:paraId="5AD04017">
            <w:pPr>
              <w:widowControl/>
              <w:jc w:val="center"/>
              <w:rPr>
                <w:rFonts w:hint="default" w:ascii="Times New Roman" w:hAnsi="Times New Roman" w:cs="Times New Roman" w:eastAsiaTheme="majorEastAsia"/>
                <w:color w:val="auto"/>
                <w:kern w:val="2"/>
                <w:sz w:val="21"/>
                <w:szCs w:val="21"/>
                <w:lang w:val="en-US" w:eastAsia="zh-CN" w:bidi="ar-SA"/>
              </w:rPr>
            </w:pPr>
            <w:r>
              <w:rPr>
                <w:rFonts w:hint="eastAsia"/>
                <w:color w:val="auto"/>
                <w:kern w:val="0"/>
                <w:szCs w:val="22"/>
              </w:rPr>
              <w:t>0.01</w:t>
            </w:r>
          </w:p>
        </w:tc>
        <w:tc>
          <w:tcPr>
            <w:tcW w:w="469" w:type="pct"/>
            <w:vAlign w:val="center"/>
          </w:tcPr>
          <w:p w14:paraId="5205681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ajorEastAsia"/>
                <w:color w:val="auto"/>
                <w:kern w:val="2"/>
                <w:sz w:val="21"/>
                <w:szCs w:val="21"/>
                <w:lang w:val="en-US" w:eastAsia="zh-CN" w:bidi="ar-SA"/>
              </w:rPr>
            </w:pPr>
            <w:r>
              <w:rPr>
                <w:rFonts w:hint="eastAsia" w:cs="Times New Roman" w:eastAsiaTheme="majorEastAsia"/>
                <w:color w:val="auto"/>
                <w:kern w:val="2"/>
                <w:sz w:val="21"/>
                <w:szCs w:val="21"/>
                <w:lang w:val="en-US" w:eastAsia="zh-CN" w:bidi="ar-SA"/>
              </w:rPr>
              <w:t>/</w:t>
            </w:r>
          </w:p>
        </w:tc>
        <w:tc>
          <w:tcPr>
            <w:tcW w:w="579" w:type="pct"/>
            <w:shd w:val="clear" w:color="auto" w:fill="auto"/>
            <w:vAlign w:val="center"/>
          </w:tcPr>
          <w:p w14:paraId="65B136AD">
            <w:pPr>
              <w:keepNext w:val="0"/>
              <w:keepLines w:val="0"/>
              <w:pageBreakBefore w:val="0"/>
              <w:widowControl/>
              <w:kinsoku/>
              <w:wordWrap/>
              <w:overflowPunct/>
              <w:topLinePunct w:val="0"/>
              <w:autoSpaceDE/>
              <w:autoSpaceDN/>
              <w:bidi w:val="0"/>
              <w:adjustRightInd w:val="0"/>
              <w:snapToGrid w:val="0"/>
              <w:jc w:val="center"/>
              <w:textAlignment w:val="auto"/>
              <w:rPr>
                <w:rFonts w:hint="eastAsia" w:cs="Times New Roman"/>
                <w:bCs/>
                <w:color w:val="auto"/>
                <w:sz w:val="21"/>
                <w:szCs w:val="21"/>
                <w:lang w:val="en-US" w:eastAsia="zh-CN"/>
              </w:rPr>
            </w:pPr>
            <w:r>
              <w:rPr>
                <w:rFonts w:hint="eastAsia" w:cs="Times New Roman"/>
                <w:bCs/>
                <w:color w:val="auto"/>
                <w:sz w:val="21"/>
                <w:szCs w:val="21"/>
                <w:lang w:val="en-US" w:eastAsia="zh-CN"/>
              </w:rPr>
              <w:t>0</w:t>
            </w:r>
          </w:p>
        </w:tc>
        <w:tc>
          <w:tcPr>
            <w:tcW w:w="504" w:type="pct"/>
            <w:shd w:val="clear" w:color="auto" w:fill="auto"/>
            <w:vAlign w:val="center"/>
          </w:tcPr>
          <w:p w14:paraId="29571B5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ajorEastAsia"/>
                <w:color w:val="auto"/>
                <w:kern w:val="2"/>
                <w:sz w:val="21"/>
                <w:szCs w:val="21"/>
                <w:lang w:val="en-US" w:eastAsia="zh-CN" w:bidi="ar-SA"/>
              </w:rPr>
            </w:pPr>
            <w:r>
              <w:rPr>
                <w:rFonts w:hint="default" w:ascii="Times New Roman" w:hAnsi="Times New Roman" w:cs="Times New Roman" w:eastAsiaTheme="majorEastAsia"/>
                <w:color w:val="auto"/>
                <w:kern w:val="2"/>
                <w:sz w:val="21"/>
                <w:szCs w:val="21"/>
                <w:lang w:val="en-US" w:eastAsia="zh-CN" w:bidi="ar-SA"/>
              </w:rPr>
              <w:t>/</w:t>
            </w:r>
          </w:p>
        </w:tc>
        <w:tc>
          <w:tcPr>
            <w:tcW w:w="2030" w:type="dxa"/>
            <w:shd w:val="clear" w:color="auto" w:fill="auto"/>
            <w:vAlign w:val="center"/>
          </w:tcPr>
          <w:p w14:paraId="5ACA9370">
            <w:pPr>
              <w:keepNext w:val="0"/>
              <w:keepLines w:val="0"/>
              <w:pageBreakBefore w:val="0"/>
              <w:widowControl/>
              <w:kinsoku/>
              <w:wordWrap/>
              <w:overflowPunct/>
              <w:topLinePunct w:val="0"/>
              <w:autoSpaceDE/>
              <w:autoSpaceDN/>
              <w:bidi w:val="0"/>
              <w:adjustRightInd w:val="0"/>
              <w:snapToGrid w:val="0"/>
              <w:jc w:val="center"/>
              <w:textAlignment w:val="auto"/>
              <w:rPr>
                <w:rFonts w:hint="eastAsia" w:cs="Times New Roman"/>
                <w:bCs/>
                <w:color w:val="auto"/>
                <w:sz w:val="21"/>
                <w:szCs w:val="21"/>
                <w:lang w:val="en-US" w:eastAsia="zh-CN"/>
              </w:rPr>
            </w:pPr>
            <w:r>
              <w:rPr>
                <w:rFonts w:hint="eastAsia" w:cs="Times New Roman"/>
                <w:bCs/>
                <w:color w:val="auto"/>
                <w:sz w:val="21"/>
                <w:szCs w:val="21"/>
                <w:lang w:val="en-US" w:eastAsia="zh-CN"/>
              </w:rPr>
              <w:t>0</w:t>
            </w:r>
          </w:p>
        </w:tc>
        <w:tc>
          <w:tcPr>
            <w:tcW w:w="638" w:type="pct"/>
            <w:shd w:val="clear" w:color="auto" w:fill="auto"/>
            <w:vAlign w:val="center"/>
          </w:tcPr>
          <w:p w14:paraId="69794C53">
            <w:pPr>
              <w:keepNext w:val="0"/>
              <w:keepLines w:val="0"/>
              <w:pageBreakBefore w:val="0"/>
              <w:kinsoku/>
              <w:wordWrap/>
              <w:topLinePunct w:val="0"/>
              <w:autoSpaceDE/>
              <w:autoSpaceDN/>
              <w:bidi w:val="0"/>
              <w:ind w:firstLine="0" w:firstLineChars="0"/>
              <w:jc w:val="center"/>
              <w:textAlignment w:val="auto"/>
              <w:rPr>
                <w:rFonts w:hint="eastAsia" w:cs="Times New Roman"/>
                <w:bCs/>
                <w:color w:val="auto"/>
                <w:sz w:val="21"/>
                <w:szCs w:val="21"/>
                <w:lang w:val="en-US" w:eastAsia="zh-CN"/>
              </w:rPr>
            </w:pPr>
            <w:r>
              <w:rPr>
                <w:rFonts w:hint="eastAsia" w:cs="Times New Roman" w:eastAsiaTheme="minorEastAsia"/>
                <w:color w:val="auto"/>
                <w:kern w:val="2"/>
                <w:sz w:val="21"/>
                <w:szCs w:val="21"/>
                <w:lang w:val="en-US" w:eastAsia="zh-CN" w:bidi="ar-SA"/>
              </w:rPr>
              <w:t>0</w:t>
            </w:r>
          </w:p>
        </w:tc>
      </w:tr>
      <w:tr w14:paraId="043D45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78" w:type="pct"/>
            <w:vMerge w:val="continue"/>
            <w:vAlign w:val="center"/>
          </w:tcPr>
          <w:p w14:paraId="5940AF93">
            <w:pPr>
              <w:pStyle w:val="45"/>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cs="Times New Roman"/>
                <w:snapToGrid w:val="0"/>
                <w:color w:val="auto"/>
                <w:kern w:val="21"/>
                <w:sz w:val="21"/>
                <w:szCs w:val="21"/>
              </w:rPr>
            </w:pPr>
          </w:p>
        </w:tc>
        <w:tc>
          <w:tcPr>
            <w:tcW w:w="1417" w:type="dxa"/>
            <w:shd w:val="clear" w:color="auto" w:fill="auto"/>
            <w:vAlign w:val="center"/>
          </w:tcPr>
          <w:p w14:paraId="177CC95D">
            <w:pPr>
              <w:jc w:val="center"/>
              <w:rPr>
                <w:rFonts w:hint="default" w:ascii="Times New Roman" w:hAnsi="Times New Roman" w:cs="Times New Roman" w:eastAsiaTheme="majorEastAsia"/>
                <w:color w:val="auto"/>
                <w:kern w:val="2"/>
                <w:sz w:val="21"/>
                <w:szCs w:val="21"/>
                <w:lang w:val="en-US" w:eastAsia="zh-CN" w:bidi="ar-SA"/>
              </w:rPr>
            </w:pPr>
            <w:r>
              <w:rPr>
                <w:rFonts w:hint="eastAsia"/>
                <w:color w:val="auto"/>
                <w:szCs w:val="21"/>
              </w:rPr>
              <w:t>非甲烷总烃</w:t>
            </w:r>
          </w:p>
        </w:tc>
        <w:tc>
          <w:tcPr>
            <w:tcW w:w="1557" w:type="dxa"/>
            <w:shd w:val="clear" w:color="auto" w:fill="auto"/>
            <w:vAlign w:val="center"/>
          </w:tcPr>
          <w:p w14:paraId="5004764C">
            <w:pPr>
              <w:widowControl/>
              <w:jc w:val="center"/>
              <w:rPr>
                <w:rFonts w:hint="default" w:ascii="Times New Roman" w:hAnsi="Times New Roman" w:cs="Times New Roman" w:eastAsiaTheme="majorEastAsia"/>
                <w:color w:val="auto"/>
                <w:kern w:val="2"/>
                <w:sz w:val="21"/>
                <w:szCs w:val="21"/>
                <w:lang w:val="en-US" w:eastAsia="zh-CN" w:bidi="ar-SA"/>
              </w:rPr>
            </w:pPr>
            <w:r>
              <w:rPr>
                <w:rFonts w:hint="eastAsia"/>
                <w:color w:val="auto"/>
                <w:kern w:val="0"/>
                <w:szCs w:val="22"/>
              </w:rPr>
              <w:t>1</w:t>
            </w:r>
            <w:r>
              <w:rPr>
                <w:color w:val="auto"/>
                <w:kern w:val="0"/>
                <w:szCs w:val="22"/>
              </w:rPr>
              <w:t>.8</w:t>
            </w:r>
          </w:p>
        </w:tc>
        <w:tc>
          <w:tcPr>
            <w:tcW w:w="1557" w:type="dxa"/>
            <w:shd w:val="clear" w:color="auto" w:fill="auto"/>
            <w:vAlign w:val="center"/>
          </w:tcPr>
          <w:p w14:paraId="1C9AF916">
            <w:pPr>
              <w:widowControl/>
              <w:jc w:val="center"/>
              <w:rPr>
                <w:rFonts w:hint="default" w:ascii="Times New Roman" w:hAnsi="Times New Roman" w:cs="Times New Roman" w:eastAsiaTheme="majorEastAsia"/>
                <w:color w:val="auto"/>
                <w:kern w:val="2"/>
                <w:sz w:val="21"/>
                <w:szCs w:val="21"/>
                <w:lang w:val="en-US" w:eastAsia="zh-CN" w:bidi="ar-SA"/>
              </w:rPr>
            </w:pPr>
            <w:r>
              <w:rPr>
                <w:rFonts w:hint="eastAsia"/>
                <w:color w:val="auto"/>
                <w:kern w:val="0"/>
                <w:szCs w:val="22"/>
              </w:rPr>
              <w:t>1</w:t>
            </w:r>
            <w:r>
              <w:rPr>
                <w:color w:val="auto"/>
                <w:kern w:val="0"/>
                <w:szCs w:val="22"/>
              </w:rPr>
              <w:t>.8</w:t>
            </w:r>
          </w:p>
        </w:tc>
        <w:tc>
          <w:tcPr>
            <w:tcW w:w="469" w:type="pct"/>
            <w:vAlign w:val="center"/>
          </w:tcPr>
          <w:p w14:paraId="107DD37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ajorEastAsia"/>
                <w:color w:val="auto"/>
                <w:kern w:val="2"/>
                <w:sz w:val="21"/>
                <w:szCs w:val="21"/>
                <w:lang w:val="en-US" w:eastAsia="zh-CN" w:bidi="ar-SA"/>
              </w:rPr>
            </w:pPr>
            <w:r>
              <w:rPr>
                <w:rFonts w:hint="eastAsia" w:cs="Times New Roman" w:eastAsiaTheme="majorEastAsia"/>
                <w:color w:val="auto"/>
                <w:kern w:val="2"/>
                <w:sz w:val="21"/>
                <w:szCs w:val="21"/>
                <w:lang w:val="en-US" w:eastAsia="zh-CN" w:bidi="ar-SA"/>
              </w:rPr>
              <w:t>/</w:t>
            </w:r>
          </w:p>
        </w:tc>
        <w:tc>
          <w:tcPr>
            <w:tcW w:w="579" w:type="pct"/>
            <w:shd w:val="clear" w:color="auto" w:fill="auto"/>
            <w:vAlign w:val="center"/>
          </w:tcPr>
          <w:p w14:paraId="6662147A">
            <w:pPr>
              <w:keepNext w:val="0"/>
              <w:keepLines w:val="0"/>
              <w:pageBreakBefore w:val="0"/>
              <w:widowControl/>
              <w:kinsoku/>
              <w:wordWrap/>
              <w:overflowPunct/>
              <w:topLinePunct w:val="0"/>
              <w:autoSpaceDE/>
              <w:autoSpaceDN/>
              <w:bidi w:val="0"/>
              <w:adjustRightInd w:val="0"/>
              <w:snapToGrid w:val="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1.2</w:t>
            </w:r>
          </w:p>
        </w:tc>
        <w:tc>
          <w:tcPr>
            <w:tcW w:w="504" w:type="pct"/>
            <w:shd w:val="clear" w:color="auto" w:fill="auto"/>
            <w:vAlign w:val="center"/>
          </w:tcPr>
          <w:p w14:paraId="6D31502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ajorEastAsia"/>
                <w:color w:val="auto"/>
                <w:kern w:val="2"/>
                <w:sz w:val="21"/>
                <w:szCs w:val="21"/>
                <w:lang w:val="en-US" w:eastAsia="zh-CN" w:bidi="ar-SA"/>
              </w:rPr>
            </w:pPr>
            <w:r>
              <w:rPr>
                <w:rFonts w:hint="default" w:ascii="Times New Roman" w:hAnsi="Times New Roman" w:cs="Times New Roman" w:eastAsiaTheme="majorEastAsia"/>
                <w:color w:val="auto"/>
                <w:kern w:val="2"/>
                <w:sz w:val="21"/>
                <w:szCs w:val="21"/>
                <w:lang w:val="en-US" w:eastAsia="zh-CN" w:bidi="ar-SA"/>
              </w:rPr>
              <w:t>/</w:t>
            </w:r>
          </w:p>
        </w:tc>
        <w:tc>
          <w:tcPr>
            <w:tcW w:w="752" w:type="pct"/>
            <w:shd w:val="clear" w:color="auto" w:fill="auto"/>
            <w:vAlign w:val="center"/>
          </w:tcPr>
          <w:p w14:paraId="14B6CE52">
            <w:pPr>
              <w:keepNext w:val="0"/>
              <w:keepLines w:val="0"/>
              <w:pageBreakBefore w:val="0"/>
              <w:widowControl/>
              <w:kinsoku/>
              <w:wordWrap/>
              <w:overflowPunct/>
              <w:topLinePunct w:val="0"/>
              <w:autoSpaceDE/>
              <w:autoSpaceDN/>
              <w:bidi w:val="0"/>
              <w:adjustRightInd w:val="0"/>
              <w:snapToGrid w:val="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3.0</w:t>
            </w:r>
          </w:p>
        </w:tc>
        <w:tc>
          <w:tcPr>
            <w:tcW w:w="638" w:type="pct"/>
            <w:shd w:val="clear" w:color="auto" w:fill="auto"/>
            <w:vAlign w:val="center"/>
          </w:tcPr>
          <w:p w14:paraId="4EF33F27">
            <w:pPr>
              <w:keepNext w:val="0"/>
              <w:keepLines w:val="0"/>
              <w:pageBreakBefore w:val="0"/>
              <w:widowControl/>
              <w:kinsoku/>
              <w:wordWrap/>
              <w:overflowPunct/>
              <w:topLinePunct w:val="0"/>
              <w:autoSpaceDE/>
              <w:autoSpaceDN/>
              <w:bidi w:val="0"/>
              <w:adjustRightInd w:val="0"/>
              <w:snapToGrid w:val="0"/>
              <w:jc w:val="center"/>
              <w:textAlignment w:val="auto"/>
              <w:rPr>
                <w:rFonts w:hint="default" w:cs="Times New Roman"/>
                <w:bCs/>
                <w:color w:val="auto"/>
                <w:sz w:val="21"/>
                <w:szCs w:val="21"/>
                <w:lang w:val="en-US" w:eastAsia="zh-CN"/>
              </w:rPr>
            </w:pPr>
            <w:r>
              <w:rPr>
                <w:rFonts w:hint="eastAsia" w:cs="Times New Roman" w:eastAsiaTheme="minorEastAsia"/>
                <w:color w:val="auto"/>
                <w:kern w:val="2"/>
                <w:sz w:val="21"/>
                <w:szCs w:val="21"/>
                <w:lang w:val="en-US" w:eastAsia="zh-CN" w:bidi="ar-SA"/>
              </w:rPr>
              <w:t>+</w:t>
            </w:r>
            <w:r>
              <w:rPr>
                <w:rFonts w:hint="eastAsia" w:cs="Times New Roman"/>
                <w:bCs/>
                <w:color w:val="auto"/>
                <w:sz w:val="21"/>
                <w:szCs w:val="21"/>
                <w:lang w:val="en-US" w:eastAsia="zh-CN"/>
              </w:rPr>
              <w:t>1.2</w:t>
            </w:r>
          </w:p>
        </w:tc>
      </w:tr>
      <w:tr w14:paraId="0B82A0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78" w:type="pct"/>
            <w:vMerge w:val="restart"/>
            <w:vAlign w:val="center"/>
          </w:tcPr>
          <w:p w14:paraId="6EA68491">
            <w:pPr>
              <w:pStyle w:val="45"/>
              <w:keepNext w:val="0"/>
              <w:keepLines w:val="0"/>
              <w:pageBreakBefore w:val="0"/>
              <w:kinsoku/>
              <w:wordWrap/>
              <w:overflowPunct/>
              <w:topLinePunct w:val="0"/>
              <w:autoSpaceDE/>
              <w:autoSpaceDN/>
              <w:bidi w:val="0"/>
              <w:spacing w:beforeLines="0" w:afterLines="0" w:line="240" w:lineRule="auto"/>
              <w:jc w:val="center"/>
              <w:rPr>
                <w:rFonts w:hint="eastAsia" w:ascii="Times New Roman" w:hAnsi="Times New Roman" w:eastAsia="宋体" w:cs="Times New Roman"/>
                <w:snapToGrid w:val="0"/>
                <w:color w:val="auto"/>
                <w:kern w:val="21"/>
                <w:sz w:val="21"/>
                <w:szCs w:val="21"/>
                <w:lang w:eastAsia="zh-CN"/>
              </w:rPr>
            </w:pPr>
            <w:r>
              <w:rPr>
                <w:rFonts w:hint="eastAsia" w:ascii="Times New Roman" w:cs="Times New Roman"/>
                <w:snapToGrid w:val="0"/>
                <w:color w:val="auto"/>
                <w:kern w:val="21"/>
                <w:sz w:val="21"/>
                <w:szCs w:val="21"/>
                <w:lang w:eastAsia="zh-CN"/>
              </w:rPr>
              <w:t>综合废</w:t>
            </w:r>
            <w:r>
              <w:rPr>
                <w:rFonts w:hint="default" w:ascii="Times New Roman" w:hAnsi="Times New Roman" w:cs="Times New Roman"/>
                <w:snapToGrid w:val="0"/>
                <w:color w:val="auto"/>
                <w:kern w:val="21"/>
                <w:sz w:val="21"/>
                <w:szCs w:val="21"/>
              </w:rPr>
              <w:t>水</w:t>
            </w:r>
          </w:p>
        </w:tc>
        <w:tc>
          <w:tcPr>
            <w:tcW w:w="525" w:type="pct"/>
            <w:vAlign w:val="center"/>
          </w:tcPr>
          <w:p w14:paraId="6444256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ajorEastAsia"/>
                <w:color w:val="auto"/>
                <w:kern w:val="2"/>
                <w:sz w:val="21"/>
                <w:szCs w:val="21"/>
                <w:lang w:val="en-US" w:eastAsia="zh-CN" w:bidi="ar-SA"/>
              </w:rPr>
            </w:pPr>
            <w:r>
              <w:rPr>
                <w:rFonts w:hint="default" w:ascii="Times New Roman" w:hAnsi="Times New Roman" w:cs="Times New Roman" w:eastAsiaTheme="majorEastAsia"/>
                <w:color w:val="auto"/>
                <w:kern w:val="2"/>
                <w:sz w:val="21"/>
                <w:szCs w:val="21"/>
                <w:lang w:val="en-US" w:eastAsia="zh-CN" w:bidi="ar-SA"/>
              </w:rPr>
              <w:t>废水量（吨/年）</w:t>
            </w:r>
          </w:p>
        </w:tc>
        <w:tc>
          <w:tcPr>
            <w:tcW w:w="577" w:type="pct"/>
            <w:shd w:val="clear" w:color="auto" w:fill="auto"/>
            <w:vAlign w:val="center"/>
          </w:tcPr>
          <w:p w14:paraId="0FE5E9E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ajorEastAsia"/>
                <w:color w:val="auto"/>
                <w:kern w:val="2"/>
                <w:sz w:val="21"/>
                <w:szCs w:val="21"/>
                <w:lang w:val="en-US" w:eastAsia="zh-CN" w:bidi="ar-SA"/>
              </w:rPr>
            </w:pPr>
            <w:r>
              <w:rPr>
                <w:color w:val="auto"/>
                <w:sz w:val="21"/>
                <w:szCs w:val="21"/>
              </w:rPr>
              <w:t>429074</w:t>
            </w:r>
          </w:p>
        </w:tc>
        <w:tc>
          <w:tcPr>
            <w:tcW w:w="1557" w:type="dxa"/>
            <w:shd w:val="clear" w:color="auto" w:fill="auto"/>
            <w:vAlign w:val="center"/>
          </w:tcPr>
          <w:p w14:paraId="0060CC2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ajorEastAsia"/>
                <w:color w:val="auto"/>
                <w:kern w:val="2"/>
                <w:sz w:val="21"/>
                <w:szCs w:val="21"/>
                <w:lang w:val="en-US" w:eastAsia="zh-CN" w:bidi="ar-SA"/>
              </w:rPr>
            </w:pPr>
            <w:r>
              <w:rPr>
                <w:color w:val="auto"/>
                <w:sz w:val="21"/>
                <w:szCs w:val="21"/>
              </w:rPr>
              <w:t>429074</w:t>
            </w:r>
          </w:p>
        </w:tc>
        <w:tc>
          <w:tcPr>
            <w:tcW w:w="469" w:type="pct"/>
            <w:vAlign w:val="center"/>
          </w:tcPr>
          <w:p w14:paraId="4CC9355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ajorEastAsia"/>
                <w:color w:val="auto"/>
                <w:kern w:val="2"/>
                <w:sz w:val="21"/>
                <w:szCs w:val="21"/>
                <w:lang w:val="en-US" w:eastAsia="zh-CN" w:bidi="ar-SA"/>
              </w:rPr>
            </w:pPr>
            <w:r>
              <w:rPr>
                <w:rFonts w:hint="default" w:ascii="Times New Roman" w:hAnsi="Times New Roman" w:cs="Times New Roman" w:eastAsiaTheme="majorEastAsia"/>
                <w:color w:val="auto"/>
                <w:kern w:val="2"/>
                <w:sz w:val="21"/>
                <w:szCs w:val="21"/>
                <w:lang w:val="en-US" w:eastAsia="zh-CN" w:bidi="ar-SA"/>
              </w:rPr>
              <w:t>/</w:t>
            </w:r>
          </w:p>
        </w:tc>
        <w:tc>
          <w:tcPr>
            <w:tcW w:w="579" w:type="pct"/>
            <w:shd w:val="clear" w:color="auto" w:fill="auto"/>
            <w:vAlign w:val="center"/>
          </w:tcPr>
          <w:p w14:paraId="13DBCCC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ajorEastAsia"/>
                <w:color w:val="auto"/>
                <w:kern w:val="2"/>
                <w:sz w:val="21"/>
                <w:szCs w:val="21"/>
                <w:lang w:val="en-US" w:eastAsia="zh-CN" w:bidi="ar-SA"/>
              </w:rPr>
            </w:pPr>
            <w:r>
              <w:rPr>
                <w:rFonts w:hint="eastAsia" w:cs="Times New Roman"/>
                <w:bCs/>
                <w:color w:val="auto"/>
                <w:sz w:val="21"/>
                <w:szCs w:val="21"/>
                <w:lang w:val="en-US" w:eastAsia="zh-CN"/>
              </w:rPr>
              <w:t>148530</w:t>
            </w:r>
          </w:p>
        </w:tc>
        <w:tc>
          <w:tcPr>
            <w:tcW w:w="504" w:type="pct"/>
            <w:shd w:val="clear" w:color="auto" w:fill="auto"/>
            <w:vAlign w:val="center"/>
          </w:tcPr>
          <w:p w14:paraId="0A87070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ajorEastAsia"/>
                <w:color w:val="auto"/>
                <w:kern w:val="2"/>
                <w:sz w:val="21"/>
                <w:szCs w:val="21"/>
                <w:lang w:val="en-US" w:eastAsia="zh-CN" w:bidi="ar-SA"/>
              </w:rPr>
            </w:pPr>
            <w:r>
              <w:rPr>
                <w:rFonts w:hint="eastAsia" w:cs="Times New Roman" w:eastAsiaTheme="majorEastAsia"/>
                <w:color w:val="auto"/>
                <w:kern w:val="2"/>
                <w:sz w:val="21"/>
                <w:szCs w:val="21"/>
                <w:lang w:val="en-US" w:eastAsia="zh-CN" w:bidi="ar-SA"/>
              </w:rPr>
              <w:t>283249</w:t>
            </w:r>
          </w:p>
        </w:tc>
        <w:tc>
          <w:tcPr>
            <w:tcW w:w="752" w:type="pct"/>
            <w:shd w:val="clear" w:color="auto" w:fill="auto"/>
            <w:vAlign w:val="center"/>
          </w:tcPr>
          <w:p w14:paraId="5D25D10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ajorEastAsia"/>
                <w:color w:val="auto"/>
                <w:kern w:val="2"/>
                <w:sz w:val="21"/>
                <w:szCs w:val="21"/>
                <w:lang w:val="en-US" w:eastAsia="zh-CN" w:bidi="ar-SA"/>
              </w:rPr>
            </w:pPr>
            <w:r>
              <w:rPr>
                <w:rFonts w:hint="eastAsia" w:cs="Times New Roman"/>
                <w:bCs/>
                <w:color w:val="auto"/>
                <w:sz w:val="21"/>
                <w:szCs w:val="21"/>
                <w:lang w:val="en-US" w:eastAsia="zh-CN"/>
              </w:rPr>
              <w:t>294355</w:t>
            </w:r>
          </w:p>
        </w:tc>
        <w:tc>
          <w:tcPr>
            <w:tcW w:w="1722" w:type="dxa"/>
            <w:shd w:val="clear" w:color="auto" w:fill="auto"/>
            <w:vAlign w:val="center"/>
          </w:tcPr>
          <w:p w14:paraId="46594DA9">
            <w:pPr>
              <w:keepNext w:val="0"/>
              <w:keepLines w:val="0"/>
              <w:widowControl/>
              <w:suppressLineNumbers w:val="0"/>
              <w:jc w:val="center"/>
              <w:textAlignment w:val="center"/>
              <w:rPr>
                <w:rFonts w:hint="default" w:ascii="Times New Roman" w:hAnsi="Times New Roman" w:cs="Times New Roman" w:eastAsiaTheme="majorEastAsia"/>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-134719</w:t>
            </w:r>
          </w:p>
        </w:tc>
      </w:tr>
      <w:tr w14:paraId="09BBD6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78" w:type="pct"/>
            <w:vMerge w:val="continue"/>
            <w:vAlign w:val="center"/>
          </w:tcPr>
          <w:p w14:paraId="5E1D2BFC">
            <w:pPr>
              <w:pStyle w:val="45"/>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cs="Times New Roman"/>
                <w:snapToGrid w:val="0"/>
                <w:color w:val="auto"/>
                <w:kern w:val="21"/>
                <w:sz w:val="21"/>
                <w:szCs w:val="21"/>
              </w:rPr>
            </w:pPr>
          </w:p>
        </w:tc>
        <w:tc>
          <w:tcPr>
            <w:tcW w:w="1417" w:type="dxa"/>
            <w:vAlign w:val="center"/>
          </w:tcPr>
          <w:p w14:paraId="42670784">
            <w:pPr>
              <w:jc w:val="center"/>
              <w:rPr>
                <w:rFonts w:hint="default" w:ascii="Times New Roman" w:hAnsi="Times New Roman" w:cs="Times New Roman" w:eastAsiaTheme="majorEastAsia"/>
                <w:color w:val="auto"/>
                <w:kern w:val="2"/>
                <w:sz w:val="21"/>
                <w:szCs w:val="21"/>
                <w:lang w:val="en-US" w:eastAsia="zh-CN" w:bidi="ar-SA"/>
              </w:rPr>
            </w:pPr>
            <w:r>
              <w:rPr>
                <w:color w:val="auto"/>
                <w:sz w:val="21"/>
                <w:szCs w:val="21"/>
              </w:rPr>
              <w:t>COD</w:t>
            </w:r>
          </w:p>
        </w:tc>
        <w:tc>
          <w:tcPr>
            <w:tcW w:w="1557" w:type="dxa"/>
            <w:shd w:val="clear" w:color="auto" w:fill="auto"/>
            <w:vAlign w:val="center"/>
          </w:tcPr>
          <w:p w14:paraId="39AD457D">
            <w:pPr>
              <w:widowControl/>
              <w:jc w:val="center"/>
              <w:rPr>
                <w:rFonts w:hint="default" w:ascii="Times New Roman" w:hAnsi="Times New Roman" w:cs="Times New Roman" w:eastAsiaTheme="majorEastAsia"/>
                <w:color w:val="auto"/>
                <w:kern w:val="2"/>
                <w:sz w:val="21"/>
                <w:szCs w:val="21"/>
                <w:lang w:val="en-US" w:eastAsia="zh-CN" w:bidi="ar-SA"/>
              </w:rPr>
            </w:pPr>
            <w:r>
              <w:rPr>
                <w:rFonts w:hint="eastAsia"/>
                <w:color w:val="auto"/>
                <w:sz w:val="21"/>
                <w:szCs w:val="21"/>
              </w:rPr>
              <w:t>57.40</w:t>
            </w:r>
          </w:p>
        </w:tc>
        <w:tc>
          <w:tcPr>
            <w:tcW w:w="1557" w:type="dxa"/>
            <w:shd w:val="clear" w:color="auto" w:fill="auto"/>
            <w:vAlign w:val="center"/>
          </w:tcPr>
          <w:p w14:paraId="77121BCB">
            <w:pPr>
              <w:widowControl/>
              <w:jc w:val="center"/>
              <w:rPr>
                <w:rFonts w:hint="default" w:ascii="Times New Roman" w:hAnsi="Times New Roman" w:cs="Times New Roman" w:eastAsiaTheme="majorEastAsia"/>
                <w:color w:val="auto"/>
                <w:kern w:val="2"/>
                <w:sz w:val="21"/>
                <w:szCs w:val="21"/>
                <w:lang w:val="en-US" w:eastAsia="zh-CN" w:bidi="ar-SA"/>
              </w:rPr>
            </w:pPr>
            <w:r>
              <w:rPr>
                <w:rFonts w:hint="eastAsia"/>
                <w:color w:val="auto"/>
                <w:sz w:val="21"/>
                <w:szCs w:val="21"/>
              </w:rPr>
              <w:t>57.40</w:t>
            </w:r>
          </w:p>
        </w:tc>
        <w:tc>
          <w:tcPr>
            <w:tcW w:w="469" w:type="pct"/>
            <w:vAlign w:val="center"/>
          </w:tcPr>
          <w:p w14:paraId="41F8316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ajorEastAsia"/>
                <w:color w:val="auto"/>
                <w:kern w:val="2"/>
                <w:sz w:val="21"/>
                <w:szCs w:val="21"/>
                <w:lang w:val="en-US" w:eastAsia="zh-CN" w:bidi="ar-SA"/>
              </w:rPr>
            </w:pPr>
            <w:r>
              <w:rPr>
                <w:rFonts w:hint="eastAsia" w:cs="Times New Roman" w:eastAsiaTheme="majorEastAsia"/>
                <w:color w:val="auto"/>
                <w:kern w:val="2"/>
                <w:sz w:val="21"/>
                <w:szCs w:val="21"/>
                <w:lang w:val="en-US" w:eastAsia="zh-CN" w:bidi="ar-SA"/>
              </w:rPr>
              <w:t>/</w:t>
            </w:r>
          </w:p>
        </w:tc>
        <w:tc>
          <w:tcPr>
            <w:tcW w:w="1563" w:type="dxa"/>
            <w:shd w:val="clear" w:color="auto" w:fill="auto"/>
            <w:vAlign w:val="center"/>
          </w:tcPr>
          <w:p w14:paraId="785808CF">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8.74</w:t>
            </w:r>
          </w:p>
        </w:tc>
        <w:tc>
          <w:tcPr>
            <w:tcW w:w="1360" w:type="dxa"/>
            <w:shd w:val="clear" w:color="auto" w:fill="auto"/>
            <w:vAlign w:val="center"/>
          </w:tcPr>
          <w:p w14:paraId="5CAECE09">
            <w:pPr>
              <w:keepNext w:val="0"/>
              <w:keepLines w:val="0"/>
              <w:widowControl/>
              <w:suppressLineNumbers w:val="0"/>
              <w:jc w:val="center"/>
              <w:textAlignment w:val="center"/>
              <w:rPr>
                <w:rFonts w:hint="default" w:ascii="Times New Roman" w:hAnsi="Times New Roman" w:cs="Times New Roman" w:eastAsiaTheme="majorEastAsia"/>
                <w:color w:val="auto"/>
                <w:kern w:val="2"/>
                <w:sz w:val="21"/>
                <w:szCs w:val="21"/>
                <w:lang w:val="en-US" w:eastAsia="zh-CN" w:bidi="ar-SA"/>
              </w:rPr>
            </w:pPr>
            <w:r>
              <w:rPr>
                <w:rFonts w:hint="eastAsia" w:cs="Times New Roman"/>
                <w:i w:val="0"/>
                <w:iCs w:val="0"/>
                <w:color w:val="auto"/>
                <w:kern w:val="0"/>
                <w:sz w:val="21"/>
                <w:szCs w:val="21"/>
                <w:u w:val="none"/>
                <w:lang w:val="en-US" w:eastAsia="zh-CN" w:bidi="ar"/>
              </w:rPr>
              <w:t>26.09</w:t>
            </w:r>
          </w:p>
        </w:tc>
        <w:tc>
          <w:tcPr>
            <w:tcW w:w="2030" w:type="dxa"/>
            <w:shd w:val="clear" w:color="auto" w:fill="auto"/>
            <w:vAlign w:val="center"/>
          </w:tcPr>
          <w:p w14:paraId="09D97DD4">
            <w:pPr>
              <w:keepNext w:val="0"/>
              <w:keepLines w:val="0"/>
              <w:widowControl/>
              <w:suppressLineNumbers w:val="0"/>
              <w:jc w:val="center"/>
              <w:textAlignment w:val="center"/>
              <w:rPr>
                <w:rFonts w:hint="default" w:ascii="Times New Roman" w:hAnsi="Times New Roman" w:cs="Times New Roman"/>
                <w:bCs/>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40.05</w:t>
            </w:r>
          </w:p>
        </w:tc>
        <w:tc>
          <w:tcPr>
            <w:tcW w:w="1722" w:type="dxa"/>
            <w:shd w:val="clear" w:color="auto" w:fill="auto"/>
            <w:vAlign w:val="center"/>
          </w:tcPr>
          <w:p w14:paraId="40212180">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-17.35</w:t>
            </w:r>
          </w:p>
        </w:tc>
      </w:tr>
      <w:tr w14:paraId="063DDC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78" w:type="pct"/>
            <w:vMerge w:val="continue"/>
            <w:vAlign w:val="center"/>
          </w:tcPr>
          <w:p w14:paraId="7E70B101">
            <w:pPr>
              <w:pStyle w:val="45"/>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cs="Times New Roman"/>
                <w:snapToGrid w:val="0"/>
                <w:color w:val="auto"/>
                <w:kern w:val="21"/>
                <w:sz w:val="21"/>
                <w:szCs w:val="21"/>
              </w:rPr>
            </w:pPr>
          </w:p>
        </w:tc>
        <w:tc>
          <w:tcPr>
            <w:tcW w:w="1417" w:type="dxa"/>
            <w:vAlign w:val="center"/>
          </w:tcPr>
          <w:p w14:paraId="44FF1A23">
            <w:pPr>
              <w:jc w:val="center"/>
              <w:rPr>
                <w:rFonts w:hint="default" w:ascii="Times New Roman" w:hAnsi="Times New Roman" w:cs="Times New Roman" w:eastAsiaTheme="majorEastAsia"/>
                <w:color w:val="auto"/>
                <w:kern w:val="2"/>
                <w:sz w:val="21"/>
                <w:szCs w:val="21"/>
                <w:lang w:val="en-US" w:eastAsia="zh-CN" w:bidi="ar-SA"/>
              </w:rPr>
            </w:pPr>
            <w:r>
              <w:rPr>
                <w:rFonts w:hint="eastAsia"/>
                <w:color w:val="auto"/>
                <w:sz w:val="21"/>
                <w:szCs w:val="21"/>
              </w:rPr>
              <w:t>B</w:t>
            </w:r>
            <w:r>
              <w:rPr>
                <w:color w:val="auto"/>
                <w:sz w:val="21"/>
                <w:szCs w:val="21"/>
              </w:rPr>
              <w:t>OD</w:t>
            </w:r>
            <w:r>
              <w:rPr>
                <w:color w:val="auto"/>
                <w:sz w:val="21"/>
                <w:szCs w:val="21"/>
                <w:vertAlign w:val="subscript"/>
              </w:rPr>
              <w:t>5</w:t>
            </w:r>
          </w:p>
        </w:tc>
        <w:tc>
          <w:tcPr>
            <w:tcW w:w="1557" w:type="dxa"/>
            <w:shd w:val="clear" w:color="auto" w:fill="auto"/>
            <w:vAlign w:val="center"/>
          </w:tcPr>
          <w:p w14:paraId="46A94C54">
            <w:pPr>
              <w:widowControl/>
              <w:jc w:val="center"/>
              <w:rPr>
                <w:rFonts w:hint="default" w:ascii="Times New Roman" w:hAnsi="Times New Roman" w:cs="Times New Roman" w:eastAsiaTheme="majorEastAsia"/>
                <w:color w:val="auto"/>
                <w:kern w:val="2"/>
                <w:sz w:val="21"/>
                <w:szCs w:val="21"/>
                <w:lang w:val="en-US" w:eastAsia="zh-CN" w:bidi="ar-SA"/>
              </w:rPr>
            </w:pPr>
            <w:r>
              <w:rPr>
                <w:rFonts w:hint="eastAsia"/>
                <w:color w:val="auto"/>
                <w:sz w:val="21"/>
                <w:szCs w:val="21"/>
              </w:rPr>
              <w:t>36.49</w:t>
            </w:r>
          </w:p>
        </w:tc>
        <w:tc>
          <w:tcPr>
            <w:tcW w:w="1557" w:type="dxa"/>
            <w:shd w:val="clear" w:color="auto" w:fill="auto"/>
            <w:vAlign w:val="center"/>
          </w:tcPr>
          <w:p w14:paraId="5B3311EF">
            <w:pPr>
              <w:widowControl/>
              <w:jc w:val="center"/>
              <w:rPr>
                <w:rFonts w:hint="default" w:ascii="Times New Roman" w:hAnsi="Times New Roman" w:cs="Times New Roman" w:eastAsiaTheme="majorEastAsia"/>
                <w:color w:val="auto"/>
                <w:kern w:val="2"/>
                <w:sz w:val="21"/>
                <w:szCs w:val="21"/>
                <w:lang w:val="en-US" w:eastAsia="zh-CN" w:bidi="ar-SA"/>
              </w:rPr>
            </w:pPr>
            <w:r>
              <w:rPr>
                <w:rFonts w:hint="eastAsia"/>
                <w:color w:val="auto"/>
                <w:sz w:val="21"/>
                <w:szCs w:val="21"/>
              </w:rPr>
              <w:t>36.49</w:t>
            </w:r>
          </w:p>
        </w:tc>
        <w:tc>
          <w:tcPr>
            <w:tcW w:w="469" w:type="pct"/>
            <w:vAlign w:val="center"/>
          </w:tcPr>
          <w:p w14:paraId="74BCBAC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ajorEastAsia"/>
                <w:color w:val="auto"/>
                <w:kern w:val="2"/>
                <w:sz w:val="21"/>
                <w:szCs w:val="21"/>
                <w:lang w:val="en-US" w:eastAsia="zh-CN" w:bidi="ar-SA"/>
              </w:rPr>
            </w:pPr>
            <w:r>
              <w:rPr>
                <w:rFonts w:hint="eastAsia" w:cs="Times New Roman" w:eastAsiaTheme="majorEastAsia"/>
                <w:color w:val="auto"/>
                <w:kern w:val="2"/>
                <w:sz w:val="21"/>
                <w:szCs w:val="21"/>
                <w:lang w:val="en-US" w:eastAsia="zh-CN" w:bidi="ar-SA"/>
              </w:rPr>
              <w:t>/</w:t>
            </w:r>
          </w:p>
        </w:tc>
        <w:tc>
          <w:tcPr>
            <w:tcW w:w="1563" w:type="dxa"/>
            <w:shd w:val="clear" w:color="auto" w:fill="auto"/>
            <w:vAlign w:val="center"/>
          </w:tcPr>
          <w:p w14:paraId="7D0495D2">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13.06</w:t>
            </w:r>
          </w:p>
        </w:tc>
        <w:tc>
          <w:tcPr>
            <w:tcW w:w="1360" w:type="dxa"/>
            <w:shd w:val="clear" w:color="auto" w:fill="auto"/>
            <w:vAlign w:val="center"/>
          </w:tcPr>
          <w:p w14:paraId="05E5575C">
            <w:pPr>
              <w:keepNext w:val="0"/>
              <w:keepLines w:val="0"/>
              <w:widowControl/>
              <w:suppressLineNumbers w:val="0"/>
              <w:jc w:val="center"/>
              <w:textAlignment w:val="center"/>
              <w:rPr>
                <w:rFonts w:hint="default" w:ascii="Times New Roman" w:hAnsi="Times New Roman" w:cs="Times New Roman" w:eastAsiaTheme="majorEastAsia"/>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24.09</w:t>
            </w:r>
          </w:p>
        </w:tc>
        <w:tc>
          <w:tcPr>
            <w:tcW w:w="2030" w:type="dxa"/>
            <w:shd w:val="clear" w:color="auto" w:fill="auto"/>
            <w:vAlign w:val="center"/>
          </w:tcPr>
          <w:p w14:paraId="366AD2FD">
            <w:pPr>
              <w:keepNext w:val="0"/>
              <w:keepLines w:val="0"/>
              <w:widowControl/>
              <w:suppressLineNumbers w:val="0"/>
              <w:jc w:val="center"/>
              <w:textAlignment w:val="center"/>
              <w:rPr>
                <w:rFonts w:hint="default" w:ascii="Times New Roman" w:hAnsi="Times New Roman" w:cs="Times New Roman"/>
                <w:bCs/>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25.46</w:t>
            </w:r>
          </w:p>
        </w:tc>
        <w:tc>
          <w:tcPr>
            <w:tcW w:w="1722" w:type="dxa"/>
            <w:shd w:val="clear" w:color="auto" w:fill="auto"/>
            <w:vAlign w:val="center"/>
          </w:tcPr>
          <w:p w14:paraId="5C4995D8">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-11.03</w:t>
            </w:r>
          </w:p>
        </w:tc>
      </w:tr>
      <w:tr w14:paraId="5E05D6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78" w:type="pct"/>
            <w:vMerge w:val="continue"/>
            <w:vAlign w:val="center"/>
          </w:tcPr>
          <w:p w14:paraId="0B12F6B4">
            <w:pPr>
              <w:pStyle w:val="45"/>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cs="Times New Roman"/>
                <w:snapToGrid w:val="0"/>
                <w:color w:val="auto"/>
                <w:kern w:val="21"/>
                <w:sz w:val="21"/>
                <w:szCs w:val="21"/>
              </w:rPr>
            </w:pPr>
          </w:p>
        </w:tc>
        <w:tc>
          <w:tcPr>
            <w:tcW w:w="1417" w:type="dxa"/>
            <w:vAlign w:val="center"/>
          </w:tcPr>
          <w:p w14:paraId="455370F5">
            <w:pPr>
              <w:jc w:val="center"/>
              <w:rPr>
                <w:rFonts w:hint="default" w:ascii="Times New Roman" w:hAnsi="Times New Roman" w:cs="Times New Roman" w:eastAsiaTheme="majorEastAsia"/>
                <w:color w:val="auto"/>
                <w:kern w:val="2"/>
                <w:sz w:val="21"/>
                <w:szCs w:val="21"/>
                <w:lang w:val="en-US" w:eastAsia="zh-CN" w:bidi="ar-SA"/>
              </w:rPr>
            </w:pPr>
            <w:r>
              <w:rPr>
                <w:color w:val="auto"/>
                <w:sz w:val="21"/>
                <w:szCs w:val="21"/>
              </w:rPr>
              <w:t>SS</w:t>
            </w:r>
          </w:p>
        </w:tc>
        <w:tc>
          <w:tcPr>
            <w:tcW w:w="1557" w:type="dxa"/>
            <w:shd w:val="clear" w:color="auto" w:fill="auto"/>
            <w:vAlign w:val="center"/>
          </w:tcPr>
          <w:p w14:paraId="423187A5">
            <w:pPr>
              <w:widowControl/>
              <w:jc w:val="center"/>
              <w:rPr>
                <w:rFonts w:hint="default" w:ascii="Times New Roman" w:hAnsi="Times New Roman" w:cs="Times New Roman" w:eastAsiaTheme="majorEastAsia"/>
                <w:color w:val="auto"/>
                <w:kern w:val="2"/>
                <w:sz w:val="21"/>
                <w:szCs w:val="21"/>
                <w:lang w:val="en-US" w:eastAsia="zh-CN" w:bidi="ar-SA"/>
              </w:rPr>
            </w:pPr>
            <w:r>
              <w:rPr>
                <w:rFonts w:hint="eastAsia"/>
                <w:color w:val="auto"/>
                <w:sz w:val="21"/>
                <w:szCs w:val="21"/>
              </w:rPr>
              <w:t>17.11</w:t>
            </w:r>
          </w:p>
        </w:tc>
        <w:tc>
          <w:tcPr>
            <w:tcW w:w="1557" w:type="dxa"/>
            <w:shd w:val="clear" w:color="auto" w:fill="auto"/>
            <w:vAlign w:val="center"/>
          </w:tcPr>
          <w:p w14:paraId="2FDB1A9C">
            <w:pPr>
              <w:widowControl/>
              <w:jc w:val="center"/>
              <w:rPr>
                <w:rFonts w:hint="default" w:ascii="Times New Roman" w:hAnsi="Times New Roman" w:cs="Times New Roman" w:eastAsiaTheme="majorEastAsia"/>
                <w:color w:val="auto"/>
                <w:kern w:val="2"/>
                <w:sz w:val="21"/>
                <w:szCs w:val="21"/>
                <w:lang w:val="en-US" w:eastAsia="zh-CN" w:bidi="ar-SA"/>
              </w:rPr>
            </w:pPr>
            <w:r>
              <w:rPr>
                <w:rFonts w:hint="eastAsia"/>
                <w:color w:val="auto"/>
                <w:sz w:val="21"/>
                <w:szCs w:val="21"/>
              </w:rPr>
              <w:t>17.11</w:t>
            </w:r>
          </w:p>
        </w:tc>
        <w:tc>
          <w:tcPr>
            <w:tcW w:w="469" w:type="pct"/>
            <w:vAlign w:val="center"/>
          </w:tcPr>
          <w:p w14:paraId="64068B0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ajorEastAsia"/>
                <w:color w:val="auto"/>
                <w:kern w:val="2"/>
                <w:sz w:val="21"/>
                <w:szCs w:val="21"/>
                <w:lang w:val="en-US" w:eastAsia="zh-CN" w:bidi="ar-SA"/>
              </w:rPr>
            </w:pPr>
            <w:r>
              <w:rPr>
                <w:rFonts w:hint="eastAsia" w:cs="Times New Roman" w:eastAsiaTheme="majorEastAsia"/>
                <w:color w:val="auto"/>
                <w:kern w:val="2"/>
                <w:sz w:val="21"/>
                <w:szCs w:val="21"/>
                <w:lang w:val="en-US" w:eastAsia="zh-CN" w:bidi="ar-SA"/>
              </w:rPr>
              <w:t>/</w:t>
            </w:r>
          </w:p>
        </w:tc>
        <w:tc>
          <w:tcPr>
            <w:tcW w:w="1563" w:type="dxa"/>
            <w:shd w:val="clear" w:color="auto" w:fill="auto"/>
            <w:vAlign w:val="center"/>
          </w:tcPr>
          <w:p w14:paraId="72AF16A5">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6.06</w:t>
            </w:r>
          </w:p>
        </w:tc>
        <w:tc>
          <w:tcPr>
            <w:tcW w:w="1360" w:type="dxa"/>
            <w:shd w:val="clear" w:color="auto" w:fill="auto"/>
            <w:vAlign w:val="center"/>
          </w:tcPr>
          <w:p w14:paraId="4E6C78E9">
            <w:pPr>
              <w:keepNext w:val="0"/>
              <w:keepLines w:val="0"/>
              <w:widowControl/>
              <w:suppressLineNumbers w:val="0"/>
              <w:jc w:val="center"/>
              <w:textAlignment w:val="center"/>
              <w:rPr>
                <w:rFonts w:hint="default" w:ascii="Times New Roman" w:hAnsi="Times New Roman" w:cs="Times New Roman" w:eastAsiaTheme="majorEastAsia"/>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11.29</w:t>
            </w:r>
          </w:p>
        </w:tc>
        <w:tc>
          <w:tcPr>
            <w:tcW w:w="2030" w:type="dxa"/>
            <w:shd w:val="clear" w:color="auto" w:fill="auto"/>
            <w:vAlign w:val="center"/>
          </w:tcPr>
          <w:p w14:paraId="10271B8E">
            <w:pPr>
              <w:keepNext w:val="0"/>
              <w:keepLines w:val="0"/>
              <w:widowControl/>
              <w:suppressLineNumbers w:val="0"/>
              <w:jc w:val="center"/>
              <w:textAlignment w:val="center"/>
              <w:rPr>
                <w:rFonts w:hint="default" w:ascii="Times New Roman" w:hAnsi="Times New Roman" w:cs="Times New Roman"/>
                <w:bCs/>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11.88</w:t>
            </w:r>
          </w:p>
        </w:tc>
        <w:tc>
          <w:tcPr>
            <w:tcW w:w="1722" w:type="dxa"/>
            <w:shd w:val="clear" w:color="auto" w:fill="auto"/>
            <w:vAlign w:val="center"/>
          </w:tcPr>
          <w:p w14:paraId="50497483">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-5.23</w:t>
            </w:r>
          </w:p>
        </w:tc>
      </w:tr>
      <w:tr w14:paraId="2CAA7B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78" w:type="pct"/>
            <w:vMerge w:val="continue"/>
            <w:vAlign w:val="center"/>
          </w:tcPr>
          <w:p w14:paraId="24193FA7">
            <w:pPr>
              <w:pStyle w:val="45"/>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cs="Times New Roman"/>
                <w:snapToGrid w:val="0"/>
                <w:color w:val="auto"/>
                <w:kern w:val="21"/>
                <w:sz w:val="21"/>
                <w:szCs w:val="21"/>
              </w:rPr>
            </w:pPr>
          </w:p>
        </w:tc>
        <w:tc>
          <w:tcPr>
            <w:tcW w:w="1417" w:type="dxa"/>
            <w:vAlign w:val="center"/>
          </w:tcPr>
          <w:p w14:paraId="10878587">
            <w:pPr>
              <w:jc w:val="center"/>
              <w:rPr>
                <w:rFonts w:hint="default" w:ascii="Times New Roman" w:hAnsi="Times New Roman" w:cs="Times New Roman" w:eastAsiaTheme="majorEastAsia"/>
                <w:color w:val="auto"/>
                <w:kern w:val="2"/>
                <w:sz w:val="21"/>
                <w:szCs w:val="21"/>
                <w:lang w:val="en-US" w:eastAsia="zh-CN" w:bidi="ar-SA"/>
              </w:rPr>
            </w:pPr>
            <w:r>
              <w:rPr>
                <w:color w:val="auto"/>
                <w:sz w:val="21"/>
                <w:szCs w:val="21"/>
              </w:rPr>
              <w:t>氨氮</w:t>
            </w:r>
          </w:p>
        </w:tc>
        <w:tc>
          <w:tcPr>
            <w:tcW w:w="1557" w:type="dxa"/>
            <w:shd w:val="clear" w:color="auto" w:fill="auto"/>
            <w:vAlign w:val="center"/>
          </w:tcPr>
          <w:p w14:paraId="1856AFDE">
            <w:pPr>
              <w:widowControl/>
              <w:jc w:val="center"/>
              <w:rPr>
                <w:rFonts w:hint="default" w:ascii="Times New Roman" w:hAnsi="Times New Roman" w:cs="Times New Roman" w:eastAsiaTheme="majorEastAsia"/>
                <w:color w:val="auto"/>
                <w:kern w:val="2"/>
                <w:sz w:val="21"/>
                <w:szCs w:val="21"/>
                <w:lang w:val="en-US" w:eastAsia="zh-CN" w:bidi="ar-SA"/>
              </w:rPr>
            </w:pPr>
            <w:r>
              <w:rPr>
                <w:rFonts w:hint="eastAsia"/>
                <w:color w:val="auto"/>
                <w:sz w:val="21"/>
                <w:szCs w:val="21"/>
              </w:rPr>
              <w:t>1.20</w:t>
            </w:r>
          </w:p>
        </w:tc>
        <w:tc>
          <w:tcPr>
            <w:tcW w:w="1557" w:type="dxa"/>
            <w:shd w:val="clear" w:color="auto" w:fill="auto"/>
            <w:vAlign w:val="center"/>
          </w:tcPr>
          <w:p w14:paraId="0341C30D">
            <w:pPr>
              <w:widowControl/>
              <w:jc w:val="center"/>
              <w:rPr>
                <w:rFonts w:hint="default" w:ascii="Times New Roman" w:hAnsi="Times New Roman" w:cs="Times New Roman" w:eastAsiaTheme="majorEastAsia"/>
                <w:color w:val="auto"/>
                <w:kern w:val="2"/>
                <w:sz w:val="21"/>
                <w:szCs w:val="21"/>
                <w:lang w:val="en-US" w:eastAsia="zh-CN" w:bidi="ar-SA"/>
              </w:rPr>
            </w:pPr>
            <w:r>
              <w:rPr>
                <w:rFonts w:hint="eastAsia"/>
                <w:color w:val="auto"/>
                <w:sz w:val="21"/>
                <w:szCs w:val="21"/>
              </w:rPr>
              <w:t>1.20</w:t>
            </w:r>
          </w:p>
        </w:tc>
        <w:tc>
          <w:tcPr>
            <w:tcW w:w="469" w:type="pct"/>
            <w:vAlign w:val="center"/>
          </w:tcPr>
          <w:p w14:paraId="46BF49B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ajorEastAsia"/>
                <w:color w:val="auto"/>
                <w:kern w:val="2"/>
                <w:sz w:val="21"/>
                <w:szCs w:val="21"/>
                <w:lang w:val="en-US" w:eastAsia="zh-CN" w:bidi="ar-SA"/>
              </w:rPr>
            </w:pPr>
            <w:r>
              <w:rPr>
                <w:rFonts w:hint="eastAsia" w:cs="Times New Roman" w:eastAsiaTheme="majorEastAsia"/>
                <w:color w:val="auto"/>
                <w:kern w:val="2"/>
                <w:sz w:val="21"/>
                <w:szCs w:val="21"/>
                <w:lang w:val="en-US" w:eastAsia="zh-CN" w:bidi="ar-SA"/>
              </w:rPr>
              <w:t>/</w:t>
            </w:r>
          </w:p>
        </w:tc>
        <w:tc>
          <w:tcPr>
            <w:tcW w:w="1563" w:type="dxa"/>
            <w:shd w:val="clear" w:color="auto" w:fill="auto"/>
            <w:vAlign w:val="center"/>
          </w:tcPr>
          <w:p w14:paraId="51D2A484">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0.42</w:t>
            </w:r>
          </w:p>
        </w:tc>
        <w:tc>
          <w:tcPr>
            <w:tcW w:w="1360" w:type="dxa"/>
            <w:shd w:val="clear" w:color="auto" w:fill="auto"/>
            <w:vAlign w:val="center"/>
          </w:tcPr>
          <w:p w14:paraId="1D039C55">
            <w:pPr>
              <w:keepNext w:val="0"/>
              <w:keepLines w:val="0"/>
              <w:widowControl/>
              <w:suppressLineNumbers w:val="0"/>
              <w:jc w:val="center"/>
              <w:textAlignment w:val="center"/>
              <w:rPr>
                <w:rFonts w:hint="default" w:ascii="Times New Roman" w:hAnsi="Times New Roman" w:cs="Times New Roman" w:eastAsiaTheme="majorEastAsia"/>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0.79</w:t>
            </w:r>
          </w:p>
        </w:tc>
        <w:tc>
          <w:tcPr>
            <w:tcW w:w="2030" w:type="dxa"/>
            <w:shd w:val="clear" w:color="auto" w:fill="auto"/>
            <w:vAlign w:val="center"/>
          </w:tcPr>
          <w:p w14:paraId="496E65B7">
            <w:pPr>
              <w:keepNext w:val="0"/>
              <w:keepLines w:val="0"/>
              <w:widowControl/>
              <w:suppressLineNumbers w:val="0"/>
              <w:jc w:val="center"/>
              <w:textAlignment w:val="center"/>
              <w:rPr>
                <w:rFonts w:hint="default" w:ascii="Times New Roman" w:hAnsi="Times New Roman" w:cs="Times New Roman"/>
                <w:bCs/>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0.83</w:t>
            </w:r>
          </w:p>
        </w:tc>
        <w:tc>
          <w:tcPr>
            <w:tcW w:w="1722" w:type="dxa"/>
            <w:shd w:val="clear" w:color="auto" w:fill="auto"/>
            <w:vAlign w:val="center"/>
          </w:tcPr>
          <w:p w14:paraId="3520A85C">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-0.37</w:t>
            </w:r>
          </w:p>
        </w:tc>
      </w:tr>
      <w:tr w14:paraId="24DFD8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78" w:type="pct"/>
            <w:vMerge w:val="continue"/>
            <w:vAlign w:val="center"/>
          </w:tcPr>
          <w:p w14:paraId="14B27546">
            <w:pPr>
              <w:pStyle w:val="45"/>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cs="Times New Roman"/>
                <w:snapToGrid w:val="0"/>
                <w:color w:val="auto"/>
                <w:kern w:val="21"/>
                <w:sz w:val="21"/>
                <w:szCs w:val="21"/>
              </w:rPr>
            </w:pPr>
          </w:p>
        </w:tc>
        <w:tc>
          <w:tcPr>
            <w:tcW w:w="1417" w:type="dxa"/>
            <w:vAlign w:val="center"/>
          </w:tcPr>
          <w:p w14:paraId="06113770">
            <w:pPr>
              <w:jc w:val="center"/>
              <w:rPr>
                <w:rFonts w:hint="default" w:ascii="Times New Roman" w:hAnsi="Times New Roman" w:cs="Times New Roman" w:eastAsiaTheme="majorEastAsia"/>
                <w:color w:val="auto"/>
                <w:kern w:val="2"/>
                <w:sz w:val="21"/>
                <w:szCs w:val="21"/>
                <w:lang w:val="en-US" w:eastAsia="zh-CN" w:bidi="ar-SA"/>
              </w:rPr>
            </w:pPr>
            <w:r>
              <w:rPr>
                <w:color w:val="auto"/>
                <w:sz w:val="21"/>
                <w:szCs w:val="21"/>
              </w:rPr>
              <w:t>总氮</w:t>
            </w:r>
          </w:p>
        </w:tc>
        <w:tc>
          <w:tcPr>
            <w:tcW w:w="1557" w:type="dxa"/>
            <w:shd w:val="clear" w:color="auto" w:fill="auto"/>
            <w:vAlign w:val="center"/>
          </w:tcPr>
          <w:p w14:paraId="705CA569">
            <w:pPr>
              <w:widowControl/>
              <w:jc w:val="center"/>
              <w:rPr>
                <w:rFonts w:hint="default" w:ascii="Times New Roman" w:hAnsi="Times New Roman" w:cs="Times New Roman" w:eastAsiaTheme="majorEastAsia"/>
                <w:color w:val="auto"/>
                <w:kern w:val="2"/>
                <w:sz w:val="21"/>
                <w:szCs w:val="21"/>
                <w:lang w:val="en-US" w:eastAsia="zh-CN" w:bidi="ar-SA"/>
              </w:rPr>
            </w:pPr>
            <w:r>
              <w:rPr>
                <w:rFonts w:hint="eastAsia"/>
                <w:color w:val="auto"/>
                <w:sz w:val="21"/>
                <w:szCs w:val="21"/>
              </w:rPr>
              <w:t>2.27</w:t>
            </w:r>
          </w:p>
        </w:tc>
        <w:tc>
          <w:tcPr>
            <w:tcW w:w="1557" w:type="dxa"/>
            <w:shd w:val="clear" w:color="auto" w:fill="auto"/>
            <w:vAlign w:val="center"/>
          </w:tcPr>
          <w:p w14:paraId="76AA41BB">
            <w:pPr>
              <w:widowControl/>
              <w:jc w:val="center"/>
              <w:rPr>
                <w:rFonts w:hint="default" w:ascii="Times New Roman" w:hAnsi="Times New Roman" w:cs="Times New Roman" w:eastAsiaTheme="majorEastAsia"/>
                <w:color w:val="auto"/>
                <w:kern w:val="2"/>
                <w:sz w:val="21"/>
                <w:szCs w:val="21"/>
                <w:lang w:val="en-US" w:eastAsia="zh-CN" w:bidi="ar-SA"/>
              </w:rPr>
            </w:pPr>
            <w:r>
              <w:rPr>
                <w:rFonts w:hint="eastAsia"/>
                <w:color w:val="auto"/>
                <w:sz w:val="21"/>
                <w:szCs w:val="21"/>
              </w:rPr>
              <w:t>2.27</w:t>
            </w:r>
          </w:p>
        </w:tc>
        <w:tc>
          <w:tcPr>
            <w:tcW w:w="469" w:type="pct"/>
            <w:vAlign w:val="center"/>
          </w:tcPr>
          <w:p w14:paraId="221088D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ajorEastAsia"/>
                <w:color w:val="auto"/>
                <w:kern w:val="2"/>
                <w:sz w:val="21"/>
                <w:szCs w:val="21"/>
                <w:lang w:val="en-US" w:eastAsia="zh-CN" w:bidi="ar-SA"/>
              </w:rPr>
            </w:pPr>
            <w:r>
              <w:rPr>
                <w:rFonts w:hint="eastAsia" w:cs="Times New Roman" w:eastAsiaTheme="majorEastAsia"/>
                <w:color w:val="auto"/>
                <w:kern w:val="2"/>
                <w:sz w:val="21"/>
                <w:szCs w:val="21"/>
                <w:lang w:val="en-US" w:eastAsia="zh-CN" w:bidi="ar-SA"/>
              </w:rPr>
              <w:t>/</w:t>
            </w:r>
          </w:p>
        </w:tc>
        <w:tc>
          <w:tcPr>
            <w:tcW w:w="1563" w:type="dxa"/>
            <w:shd w:val="clear" w:color="auto" w:fill="auto"/>
            <w:vAlign w:val="center"/>
          </w:tcPr>
          <w:p w14:paraId="75BBF13C">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0.81</w:t>
            </w:r>
          </w:p>
        </w:tc>
        <w:tc>
          <w:tcPr>
            <w:tcW w:w="1360" w:type="dxa"/>
            <w:shd w:val="clear" w:color="auto" w:fill="auto"/>
            <w:vAlign w:val="center"/>
          </w:tcPr>
          <w:p w14:paraId="031DD2A0">
            <w:pPr>
              <w:keepNext w:val="0"/>
              <w:keepLines w:val="0"/>
              <w:widowControl/>
              <w:suppressLineNumbers w:val="0"/>
              <w:jc w:val="center"/>
              <w:textAlignment w:val="center"/>
              <w:rPr>
                <w:rFonts w:hint="default" w:ascii="Times New Roman" w:hAnsi="Times New Roman" w:cs="Times New Roman" w:eastAsiaTheme="majorEastAsia"/>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1.50</w:t>
            </w:r>
          </w:p>
        </w:tc>
        <w:tc>
          <w:tcPr>
            <w:tcW w:w="2030" w:type="dxa"/>
            <w:shd w:val="clear" w:color="auto" w:fill="auto"/>
            <w:vAlign w:val="center"/>
          </w:tcPr>
          <w:p w14:paraId="1F428A71">
            <w:pPr>
              <w:keepNext w:val="0"/>
              <w:keepLines w:val="0"/>
              <w:widowControl/>
              <w:suppressLineNumbers w:val="0"/>
              <w:jc w:val="center"/>
              <w:textAlignment w:val="center"/>
              <w:rPr>
                <w:rFonts w:hint="default" w:ascii="Times New Roman" w:hAnsi="Times New Roman" w:cs="Times New Roman"/>
                <w:bCs/>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1.58</w:t>
            </w:r>
          </w:p>
        </w:tc>
        <w:tc>
          <w:tcPr>
            <w:tcW w:w="1722" w:type="dxa"/>
            <w:shd w:val="clear" w:color="auto" w:fill="auto"/>
            <w:vAlign w:val="center"/>
          </w:tcPr>
          <w:p w14:paraId="312C61A3">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-0.69</w:t>
            </w:r>
          </w:p>
        </w:tc>
      </w:tr>
      <w:tr w14:paraId="2E66E9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78" w:type="pct"/>
            <w:vMerge w:val="continue"/>
            <w:vAlign w:val="center"/>
          </w:tcPr>
          <w:p w14:paraId="0E625DD5">
            <w:pPr>
              <w:pStyle w:val="45"/>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cs="Times New Roman"/>
                <w:snapToGrid w:val="0"/>
                <w:color w:val="auto"/>
                <w:kern w:val="21"/>
                <w:sz w:val="21"/>
                <w:szCs w:val="21"/>
              </w:rPr>
            </w:pPr>
          </w:p>
        </w:tc>
        <w:tc>
          <w:tcPr>
            <w:tcW w:w="1417" w:type="dxa"/>
            <w:vAlign w:val="center"/>
          </w:tcPr>
          <w:p w14:paraId="08B629D9">
            <w:pPr>
              <w:jc w:val="center"/>
              <w:rPr>
                <w:rFonts w:hint="default" w:ascii="Times New Roman" w:hAnsi="Times New Roman" w:cs="Times New Roman" w:eastAsiaTheme="majorEastAsia"/>
                <w:color w:val="auto"/>
                <w:kern w:val="2"/>
                <w:sz w:val="21"/>
                <w:szCs w:val="21"/>
                <w:lang w:val="en-US" w:eastAsia="zh-CN" w:bidi="ar-SA"/>
              </w:rPr>
            </w:pPr>
            <w:r>
              <w:rPr>
                <w:color w:val="auto"/>
                <w:sz w:val="21"/>
                <w:szCs w:val="21"/>
              </w:rPr>
              <w:t>总磷</w:t>
            </w:r>
          </w:p>
        </w:tc>
        <w:tc>
          <w:tcPr>
            <w:tcW w:w="1557" w:type="dxa"/>
            <w:shd w:val="clear" w:color="auto" w:fill="auto"/>
            <w:vAlign w:val="center"/>
          </w:tcPr>
          <w:p w14:paraId="0DD56550">
            <w:pPr>
              <w:widowControl/>
              <w:jc w:val="center"/>
              <w:rPr>
                <w:rFonts w:hint="default" w:ascii="Times New Roman" w:hAnsi="Times New Roman" w:cs="Times New Roman" w:eastAsiaTheme="majorEastAsia"/>
                <w:color w:val="auto"/>
                <w:kern w:val="2"/>
                <w:sz w:val="21"/>
                <w:szCs w:val="21"/>
                <w:lang w:val="en-US" w:eastAsia="zh-CN" w:bidi="ar-SA"/>
              </w:rPr>
            </w:pPr>
            <w:r>
              <w:rPr>
                <w:rFonts w:hint="eastAsia"/>
                <w:color w:val="auto"/>
                <w:sz w:val="21"/>
                <w:szCs w:val="21"/>
              </w:rPr>
              <w:t>0.21</w:t>
            </w:r>
          </w:p>
        </w:tc>
        <w:tc>
          <w:tcPr>
            <w:tcW w:w="1557" w:type="dxa"/>
            <w:shd w:val="clear" w:color="auto" w:fill="auto"/>
            <w:vAlign w:val="center"/>
          </w:tcPr>
          <w:p w14:paraId="310AC9CC">
            <w:pPr>
              <w:widowControl/>
              <w:jc w:val="center"/>
              <w:rPr>
                <w:rFonts w:hint="default" w:ascii="Times New Roman" w:hAnsi="Times New Roman" w:cs="Times New Roman" w:eastAsiaTheme="majorEastAsia"/>
                <w:color w:val="auto"/>
                <w:kern w:val="2"/>
                <w:sz w:val="21"/>
                <w:szCs w:val="21"/>
                <w:lang w:val="en-US" w:eastAsia="zh-CN" w:bidi="ar-SA"/>
              </w:rPr>
            </w:pPr>
            <w:r>
              <w:rPr>
                <w:rFonts w:hint="eastAsia"/>
                <w:color w:val="auto"/>
                <w:sz w:val="21"/>
                <w:szCs w:val="21"/>
              </w:rPr>
              <w:t>0.21</w:t>
            </w:r>
          </w:p>
        </w:tc>
        <w:tc>
          <w:tcPr>
            <w:tcW w:w="469" w:type="pct"/>
            <w:vAlign w:val="center"/>
          </w:tcPr>
          <w:p w14:paraId="34C17B2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ajorEastAsia"/>
                <w:color w:val="auto"/>
                <w:kern w:val="2"/>
                <w:sz w:val="21"/>
                <w:szCs w:val="21"/>
                <w:lang w:val="en-US" w:eastAsia="zh-CN" w:bidi="ar-SA"/>
              </w:rPr>
            </w:pPr>
            <w:r>
              <w:rPr>
                <w:rFonts w:hint="eastAsia" w:cs="Times New Roman" w:eastAsiaTheme="majorEastAsia"/>
                <w:color w:val="auto"/>
                <w:kern w:val="2"/>
                <w:sz w:val="21"/>
                <w:szCs w:val="21"/>
                <w:lang w:val="en-US" w:eastAsia="zh-CN" w:bidi="ar-SA"/>
              </w:rPr>
              <w:t>/</w:t>
            </w:r>
          </w:p>
        </w:tc>
        <w:tc>
          <w:tcPr>
            <w:tcW w:w="1563" w:type="dxa"/>
            <w:shd w:val="clear" w:color="auto" w:fill="auto"/>
            <w:vAlign w:val="center"/>
          </w:tcPr>
          <w:p w14:paraId="2BC309EC">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0.08</w:t>
            </w:r>
          </w:p>
        </w:tc>
        <w:tc>
          <w:tcPr>
            <w:tcW w:w="1360" w:type="dxa"/>
            <w:shd w:val="clear" w:color="auto" w:fill="auto"/>
            <w:vAlign w:val="center"/>
          </w:tcPr>
          <w:p w14:paraId="16CB09D0">
            <w:pPr>
              <w:keepNext w:val="0"/>
              <w:keepLines w:val="0"/>
              <w:widowControl/>
              <w:suppressLineNumbers w:val="0"/>
              <w:jc w:val="center"/>
              <w:textAlignment w:val="center"/>
              <w:rPr>
                <w:rFonts w:hint="default" w:ascii="Times New Roman" w:hAnsi="Times New Roman" w:cs="Times New Roman" w:eastAsiaTheme="majorEastAsia"/>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0.14</w:t>
            </w:r>
          </w:p>
        </w:tc>
        <w:tc>
          <w:tcPr>
            <w:tcW w:w="2030" w:type="dxa"/>
            <w:shd w:val="clear" w:color="auto" w:fill="auto"/>
            <w:vAlign w:val="center"/>
          </w:tcPr>
          <w:p w14:paraId="488CEE31">
            <w:pPr>
              <w:keepNext w:val="0"/>
              <w:keepLines w:val="0"/>
              <w:widowControl/>
              <w:suppressLineNumbers w:val="0"/>
              <w:jc w:val="center"/>
              <w:textAlignment w:val="center"/>
              <w:rPr>
                <w:rFonts w:hint="default" w:ascii="Times New Roman" w:hAnsi="Times New Roman" w:cs="Times New Roman"/>
                <w:bCs/>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0.15</w:t>
            </w:r>
          </w:p>
        </w:tc>
        <w:tc>
          <w:tcPr>
            <w:tcW w:w="1722" w:type="dxa"/>
            <w:shd w:val="clear" w:color="auto" w:fill="auto"/>
            <w:vAlign w:val="center"/>
          </w:tcPr>
          <w:p w14:paraId="76E30521">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-0.06</w:t>
            </w:r>
          </w:p>
        </w:tc>
      </w:tr>
      <w:tr w14:paraId="22834A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78" w:type="pct"/>
            <w:vMerge w:val="continue"/>
            <w:vAlign w:val="center"/>
          </w:tcPr>
          <w:p w14:paraId="6CB8C8AB">
            <w:pPr>
              <w:pStyle w:val="45"/>
              <w:keepNext w:val="0"/>
              <w:keepLines w:val="0"/>
              <w:pageBreakBefore w:val="0"/>
              <w:kinsoku/>
              <w:wordWrap/>
              <w:overflowPunct/>
              <w:topLinePunct w:val="0"/>
              <w:autoSpaceDE/>
              <w:autoSpaceDN/>
              <w:bidi w:val="0"/>
              <w:spacing w:beforeLines="0" w:afterLines="0" w:line="240" w:lineRule="auto"/>
              <w:jc w:val="center"/>
              <w:rPr>
                <w:rFonts w:hint="eastAsia" w:ascii="Times New Roman" w:hAnsi="Times New Roman" w:eastAsia="宋体" w:cs="Times New Roman"/>
                <w:snapToGrid w:val="0"/>
                <w:color w:val="auto"/>
                <w:kern w:val="21"/>
                <w:sz w:val="21"/>
                <w:szCs w:val="21"/>
                <w:lang w:eastAsia="zh-CN"/>
              </w:rPr>
            </w:pPr>
          </w:p>
        </w:tc>
        <w:tc>
          <w:tcPr>
            <w:tcW w:w="1417" w:type="dxa"/>
            <w:vAlign w:val="center"/>
          </w:tcPr>
          <w:p w14:paraId="4C2D50D9">
            <w:pPr>
              <w:jc w:val="center"/>
              <w:rPr>
                <w:rFonts w:hint="default" w:ascii="Times New Roman" w:hAnsi="Times New Roman" w:cs="Times New Roman" w:eastAsiaTheme="majorEastAsia"/>
                <w:color w:val="auto"/>
                <w:kern w:val="2"/>
                <w:sz w:val="21"/>
                <w:szCs w:val="21"/>
                <w:lang w:val="en-US" w:eastAsia="zh-CN" w:bidi="ar-SA"/>
              </w:rPr>
            </w:pPr>
            <w:r>
              <w:rPr>
                <w:color w:val="auto"/>
                <w:sz w:val="21"/>
                <w:szCs w:val="21"/>
              </w:rPr>
              <w:t>动植物油</w:t>
            </w:r>
          </w:p>
        </w:tc>
        <w:tc>
          <w:tcPr>
            <w:tcW w:w="1557" w:type="dxa"/>
            <w:shd w:val="clear" w:color="auto" w:fill="auto"/>
            <w:vAlign w:val="center"/>
          </w:tcPr>
          <w:p w14:paraId="01FBC7C9">
            <w:pPr>
              <w:widowControl/>
              <w:jc w:val="center"/>
              <w:rPr>
                <w:rFonts w:hint="default" w:ascii="Times New Roman" w:hAnsi="Times New Roman" w:cs="Times New Roman" w:eastAsiaTheme="majorEastAsia"/>
                <w:color w:val="auto"/>
                <w:kern w:val="2"/>
                <w:sz w:val="21"/>
                <w:szCs w:val="21"/>
                <w:lang w:val="en-US" w:eastAsia="zh-CN" w:bidi="ar-SA"/>
              </w:rPr>
            </w:pPr>
            <w:r>
              <w:rPr>
                <w:rFonts w:hint="eastAsia"/>
                <w:color w:val="auto"/>
                <w:sz w:val="21"/>
                <w:szCs w:val="21"/>
              </w:rPr>
              <w:t>0.09</w:t>
            </w:r>
          </w:p>
        </w:tc>
        <w:tc>
          <w:tcPr>
            <w:tcW w:w="1557" w:type="dxa"/>
            <w:shd w:val="clear" w:color="auto" w:fill="auto"/>
            <w:vAlign w:val="center"/>
          </w:tcPr>
          <w:p w14:paraId="5F0BE44A">
            <w:pPr>
              <w:widowControl/>
              <w:jc w:val="center"/>
              <w:rPr>
                <w:rFonts w:hint="default" w:ascii="Times New Roman" w:hAnsi="Times New Roman" w:cs="Times New Roman" w:eastAsiaTheme="majorEastAsia"/>
                <w:color w:val="auto"/>
                <w:kern w:val="2"/>
                <w:sz w:val="21"/>
                <w:szCs w:val="21"/>
                <w:lang w:val="en-US" w:eastAsia="zh-CN" w:bidi="ar-SA"/>
              </w:rPr>
            </w:pPr>
            <w:r>
              <w:rPr>
                <w:rFonts w:hint="eastAsia"/>
                <w:color w:val="auto"/>
                <w:sz w:val="21"/>
                <w:szCs w:val="21"/>
              </w:rPr>
              <w:t>0.09</w:t>
            </w:r>
          </w:p>
        </w:tc>
        <w:tc>
          <w:tcPr>
            <w:tcW w:w="469" w:type="pct"/>
            <w:vAlign w:val="center"/>
          </w:tcPr>
          <w:p w14:paraId="25B2D5C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ajorEastAsia"/>
                <w:color w:val="auto"/>
                <w:kern w:val="2"/>
                <w:sz w:val="21"/>
                <w:szCs w:val="21"/>
                <w:lang w:val="en-US" w:eastAsia="zh-CN" w:bidi="ar-SA"/>
              </w:rPr>
            </w:pPr>
            <w:r>
              <w:rPr>
                <w:rFonts w:hint="eastAsia" w:cs="Times New Roman" w:eastAsiaTheme="majorEastAsia"/>
                <w:color w:val="auto"/>
                <w:kern w:val="2"/>
                <w:sz w:val="21"/>
                <w:szCs w:val="21"/>
                <w:lang w:val="en-US" w:eastAsia="zh-CN" w:bidi="ar-SA"/>
              </w:rPr>
              <w:t>/</w:t>
            </w:r>
          </w:p>
        </w:tc>
        <w:tc>
          <w:tcPr>
            <w:tcW w:w="1563" w:type="dxa"/>
            <w:shd w:val="clear" w:color="auto" w:fill="auto"/>
            <w:vAlign w:val="center"/>
          </w:tcPr>
          <w:p w14:paraId="0BB12C13">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0.04</w:t>
            </w:r>
          </w:p>
        </w:tc>
        <w:tc>
          <w:tcPr>
            <w:tcW w:w="1360" w:type="dxa"/>
            <w:shd w:val="clear" w:color="auto" w:fill="auto"/>
            <w:vAlign w:val="center"/>
          </w:tcPr>
          <w:p w14:paraId="7DCD27F4">
            <w:pPr>
              <w:keepNext w:val="0"/>
              <w:keepLines w:val="0"/>
              <w:widowControl/>
              <w:suppressLineNumbers w:val="0"/>
              <w:jc w:val="center"/>
              <w:textAlignment w:val="center"/>
              <w:rPr>
                <w:rFonts w:hint="default" w:ascii="Times New Roman" w:hAnsi="Times New Roman" w:cs="Times New Roman" w:eastAsiaTheme="majorEastAsia"/>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0.06</w:t>
            </w:r>
          </w:p>
        </w:tc>
        <w:tc>
          <w:tcPr>
            <w:tcW w:w="2030" w:type="dxa"/>
            <w:shd w:val="clear" w:color="auto" w:fill="auto"/>
            <w:vAlign w:val="center"/>
          </w:tcPr>
          <w:p w14:paraId="66073162">
            <w:pPr>
              <w:keepNext w:val="0"/>
              <w:keepLines w:val="0"/>
              <w:widowControl/>
              <w:suppressLineNumbers w:val="0"/>
              <w:jc w:val="center"/>
              <w:textAlignment w:val="center"/>
              <w:rPr>
                <w:rFonts w:hint="default" w:cs="Times New Roman"/>
                <w:bCs/>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0.07</w:t>
            </w:r>
          </w:p>
        </w:tc>
        <w:tc>
          <w:tcPr>
            <w:tcW w:w="1722" w:type="dxa"/>
            <w:shd w:val="clear" w:color="auto" w:fill="auto"/>
            <w:vAlign w:val="center"/>
          </w:tcPr>
          <w:p w14:paraId="2730BB50">
            <w:pPr>
              <w:keepNext w:val="0"/>
              <w:keepLines w:val="0"/>
              <w:widowControl/>
              <w:suppressLineNumbers w:val="0"/>
              <w:jc w:val="center"/>
              <w:textAlignment w:val="center"/>
              <w:rPr>
                <w:rFonts w:hint="default"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-0.02</w:t>
            </w:r>
          </w:p>
        </w:tc>
      </w:tr>
      <w:tr w14:paraId="59B9C7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78" w:type="pct"/>
            <w:vMerge w:val="continue"/>
            <w:vAlign w:val="center"/>
          </w:tcPr>
          <w:p w14:paraId="6263991E">
            <w:pPr>
              <w:pStyle w:val="45"/>
              <w:keepNext w:val="0"/>
              <w:keepLines w:val="0"/>
              <w:pageBreakBefore w:val="0"/>
              <w:kinsoku/>
              <w:wordWrap/>
              <w:overflowPunct/>
              <w:topLinePunct w:val="0"/>
              <w:autoSpaceDE/>
              <w:autoSpaceDN/>
              <w:bidi w:val="0"/>
              <w:spacing w:beforeLines="0" w:afterLines="0" w:line="240" w:lineRule="auto"/>
              <w:jc w:val="center"/>
              <w:rPr>
                <w:rFonts w:hint="eastAsia" w:ascii="Times New Roman" w:cs="Times New Roman"/>
                <w:snapToGrid w:val="0"/>
                <w:color w:val="auto"/>
                <w:kern w:val="21"/>
                <w:sz w:val="21"/>
                <w:szCs w:val="21"/>
                <w:lang w:eastAsia="zh-CN"/>
              </w:rPr>
            </w:pPr>
          </w:p>
        </w:tc>
        <w:tc>
          <w:tcPr>
            <w:tcW w:w="1417" w:type="dxa"/>
            <w:vAlign w:val="center"/>
          </w:tcPr>
          <w:p w14:paraId="702852FE">
            <w:pPr>
              <w:jc w:val="center"/>
              <w:rPr>
                <w:rFonts w:hint="eastAsia" w:cs="Times New Roman" w:eastAsiaTheme="majorEastAsia"/>
                <w:color w:val="auto"/>
                <w:kern w:val="2"/>
                <w:sz w:val="21"/>
                <w:szCs w:val="21"/>
                <w:lang w:val="en-US" w:eastAsia="zh-CN" w:bidi="ar-SA"/>
              </w:rPr>
            </w:pPr>
            <w:r>
              <w:rPr>
                <w:color w:val="auto"/>
                <w:sz w:val="21"/>
                <w:szCs w:val="21"/>
              </w:rPr>
              <w:t>LAS</w:t>
            </w:r>
          </w:p>
        </w:tc>
        <w:tc>
          <w:tcPr>
            <w:tcW w:w="1557" w:type="dxa"/>
            <w:shd w:val="clear" w:color="auto" w:fill="auto"/>
            <w:vAlign w:val="center"/>
          </w:tcPr>
          <w:p w14:paraId="33A3AFFA">
            <w:pPr>
              <w:widowControl/>
              <w:jc w:val="center"/>
              <w:rPr>
                <w:rFonts w:hint="default" w:cs="Times New Roman" w:eastAsiaTheme="majorEastAsia"/>
                <w:color w:val="auto"/>
                <w:kern w:val="2"/>
                <w:sz w:val="21"/>
                <w:szCs w:val="21"/>
                <w:lang w:val="en-US" w:eastAsia="zh-CN" w:bidi="ar-SA"/>
              </w:rPr>
            </w:pPr>
            <w:r>
              <w:rPr>
                <w:rFonts w:hint="eastAsia"/>
                <w:color w:val="auto"/>
                <w:sz w:val="21"/>
                <w:szCs w:val="21"/>
              </w:rPr>
              <w:t>0.22</w:t>
            </w:r>
          </w:p>
        </w:tc>
        <w:tc>
          <w:tcPr>
            <w:tcW w:w="1557" w:type="dxa"/>
            <w:shd w:val="clear" w:color="auto" w:fill="auto"/>
            <w:vAlign w:val="center"/>
          </w:tcPr>
          <w:p w14:paraId="33C223E0">
            <w:pPr>
              <w:widowControl/>
              <w:jc w:val="center"/>
              <w:rPr>
                <w:rFonts w:hint="eastAsia" w:ascii="Times New Roman" w:hAnsi="Times New Roman" w:cs="Times New Roman" w:eastAsiaTheme="majorEastAsia"/>
                <w:color w:val="auto"/>
                <w:kern w:val="2"/>
                <w:sz w:val="21"/>
                <w:szCs w:val="21"/>
                <w:lang w:val="en-US" w:eastAsia="zh-CN" w:bidi="ar-SA"/>
              </w:rPr>
            </w:pPr>
            <w:r>
              <w:rPr>
                <w:rFonts w:hint="eastAsia"/>
                <w:color w:val="auto"/>
                <w:sz w:val="21"/>
                <w:szCs w:val="21"/>
              </w:rPr>
              <w:t>0.22</w:t>
            </w:r>
          </w:p>
        </w:tc>
        <w:tc>
          <w:tcPr>
            <w:tcW w:w="469" w:type="pct"/>
            <w:shd w:val="clear" w:color="auto" w:fill="auto"/>
            <w:vAlign w:val="center"/>
          </w:tcPr>
          <w:p w14:paraId="1AC17FB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eastAsiaTheme="majorEastAsia"/>
                <w:color w:val="auto"/>
                <w:kern w:val="2"/>
                <w:sz w:val="21"/>
                <w:szCs w:val="21"/>
                <w:lang w:val="en-US" w:eastAsia="zh-CN" w:bidi="ar-SA"/>
              </w:rPr>
            </w:pPr>
            <w:r>
              <w:rPr>
                <w:rFonts w:hint="eastAsia" w:cs="Times New Roman" w:eastAsiaTheme="majorEastAsia"/>
                <w:color w:val="auto"/>
                <w:kern w:val="2"/>
                <w:sz w:val="21"/>
                <w:szCs w:val="21"/>
                <w:lang w:val="en-US" w:eastAsia="zh-CN" w:bidi="ar-SA"/>
              </w:rPr>
              <w:t>/</w:t>
            </w:r>
          </w:p>
        </w:tc>
        <w:tc>
          <w:tcPr>
            <w:tcW w:w="1563" w:type="dxa"/>
            <w:shd w:val="clear" w:color="auto" w:fill="auto"/>
            <w:vAlign w:val="center"/>
          </w:tcPr>
          <w:p w14:paraId="19A7560A">
            <w:pPr>
              <w:keepNext w:val="0"/>
              <w:keepLines w:val="0"/>
              <w:widowControl/>
              <w:suppressLineNumbers w:val="0"/>
              <w:jc w:val="center"/>
              <w:textAlignment w:val="center"/>
              <w:rPr>
                <w:rFonts w:hint="default" w:cs="Times New Roman" w:eastAsiaTheme="majorEastAsia"/>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08</w:t>
            </w:r>
          </w:p>
        </w:tc>
        <w:tc>
          <w:tcPr>
            <w:tcW w:w="1360" w:type="dxa"/>
            <w:shd w:val="clear" w:color="auto" w:fill="auto"/>
            <w:vAlign w:val="center"/>
          </w:tcPr>
          <w:p w14:paraId="6CE4C7CA">
            <w:pPr>
              <w:keepNext w:val="0"/>
              <w:keepLines w:val="0"/>
              <w:widowControl/>
              <w:suppressLineNumbers w:val="0"/>
              <w:jc w:val="center"/>
              <w:textAlignment w:val="center"/>
              <w:rPr>
                <w:rFonts w:hint="default" w:ascii="Times New Roman" w:hAnsi="Times New Roman" w:cs="Times New Roman" w:eastAsiaTheme="majorEastAsia"/>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0.08</w:t>
            </w:r>
          </w:p>
        </w:tc>
        <w:tc>
          <w:tcPr>
            <w:tcW w:w="2030" w:type="dxa"/>
            <w:shd w:val="clear" w:color="auto" w:fill="auto"/>
            <w:vAlign w:val="center"/>
          </w:tcPr>
          <w:p w14:paraId="2A1CC4B6">
            <w:pPr>
              <w:keepNext w:val="0"/>
              <w:keepLines w:val="0"/>
              <w:widowControl/>
              <w:suppressLineNumbers w:val="0"/>
              <w:jc w:val="center"/>
              <w:textAlignment w:val="center"/>
              <w:rPr>
                <w:rFonts w:hint="eastAsia" w:cs="Times New Roman"/>
                <w:bCs/>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0.15</w:t>
            </w:r>
          </w:p>
        </w:tc>
        <w:tc>
          <w:tcPr>
            <w:tcW w:w="1722" w:type="dxa"/>
            <w:shd w:val="clear" w:color="auto" w:fill="auto"/>
            <w:vAlign w:val="center"/>
          </w:tcPr>
          <w:p w14:paraId="58B31B45">
            <w:pPr>
              <w:keepNext w:val="0"/>
              <w:keepLines w:val="0"/>
              <w:widowControl/>
              <w:suppressLineNumbers w:val="0"/>
              <w:jc w:val="center"/>
              <w:textAlignment w:val="center"/>
              <w:rPr>
                <w:rFonts w:hint="eastAsia" w:cs="Times New Roman" w:eastAsiaTheme="minorEastAsia"/>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-0.07</w:t>
            </w:r>
          </w:p>
        </w:tc>
      </w:tr>
      <w:tr w14:paraId="2EC005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78" w:type="pct"/>
            <w:vAlign w:val="center"/>
          </w:tcPr>
          <w:p w14:paraId="7810F15B">
            <w:pPr>
              <w:pStyle w:val="45"/>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cs="Times New Roman"/>
                <w:snapToGrid w:val="0"/>
                <w:color w:val="auto"/>
                <w:kern w:val="21"/>
                <w:sz w:val="21"/>
                <w:szCs w:val="21"/>
              </w:rPr>
            </w:pPr>
            <w:r>
              <w:rPr>
                <w:rFonts w:hint="default" w:ascii="Times New Roman" w:hAnsi="Times New Roman" w:cs="Times New Roman"/>
                <w:snapToGrid w:val="0"/>
                <w:color w:val="auto"/>
                <w:kern w:val="21"/>
                <w:sz w:val="21"/>
                <w:szCs w:val="21"/>
              </w:rPr>
              <w:t>一般工业</w:t>
            </w:r>
          </w:p>
          <w:p w14:paraId="38BAE1B5">
            <w:pPr>
              <w:pStyle w:val="45"/>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cs="Times New Roman"/>
                <w:snapToGrid w:val="0"/>
                <w:color w:val="auto"/>
                <w:kern w:val="21"/>
                <w:sz w:val="21"/>
                <w:szCs w:val="21"/>
              </w:rPr>
            </w:pPr>
            <w:r>
              <w:rPr>
                <w:rFonts w:hint="default" w:ascii="Times New Roman" w:hAnsi="Times New Roman" w:cs="Times New Roman"/>
                <w:snapToGrid w:val="0"/>
                <w:color w:val="auto"/>
                <w:kern w:val="21"/>
                <w:sz w:val="21"/>
                <w:szCs w:val="21"/>
              </w:rPr>
              <w:t>固体废物</w:t>
            </w:r>
          </w:p>
        </w:tc>
        <w:tc>
          <w:tcPr>
            <w:tcW w:w="525" w:type="pct"/>
            <w:shd w:val="clear" w:color="auto" w:fill="auto"/>
            <w:vAlign w:val="center"/>
          </w:tcPr>
          <w:p w14:paraId="65997222">
            <w:pPr>
              <w:pStyle w:val="45"/>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cs="Times New Roman"/>
                <w:snapToGrid w:val="0"/>
                <w:color w:val="auto"/>
                <w:kern w:val="21"/>
                <w:sz w:val="21"/>
                <w:szCs w:val="21"/>
              </w:rPr>
            </w:pPr>
            <w:r>
              <w:rPr>
                <w:rFonts w:hint="default" w:ascii="Times New Roman" w:hAnsi="Times New Roman" w:cs="Times New Roman"/>
                <w:snapToGrid w:val="0"/>
                <w:color w:val="auto"/>
                <w:kern w:val="21"/>
                <w:sz w:val="21"/>
                <w:szCs w:val="21"/>
              </w:rPr>
              <w:t>一般工业</w:t>
            </w:r>
          </w:p>
          <w:p w14:paraId="194E54C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ajorEastAsia"/>
                <w:color w:val="auto"/>
                <w:kern w:val="2"/>
                <w:sz w:val="21"/>
                <w:szCs w:val="21"/>
                <w:lang w:val="en-US" w:eastAsia="zh-CN" w:bidi="ar-SA"/>
              </w:rPr>
            </w:pPr>
            <w:r>
              <w:rPr>
                <w:rFonts w:hint="default" w:ascii="Times New Roman" w:hAnsi="Times New Roman" w:cs="Times New Roman"/>
                <w:snapToGrid w:val="0"/>
                <w:color w:val="auto"/>
                <w:kern w:val="21"/>
                <w:sz w:val="21"/>
                <w:szCs w:val="21"/>
              </w:rPr>
              <w:t>固体废物</w:t>
            </w:r>
          </w:p>
        </w:tc>
        <w:tc>
          <w:tcPr>
            <w:tcW w:w="577" w:type="pct"/>
            <w:shd w:val="clear" w:color="auto" w:fill="auto"/>
            <w:vAlign w:val="center"/>
          </w:tcPr>
          <w:p w14:paraId="73B9F47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ajorEastAsia"/>
                <w:color w:val="auto"/>
                <w:kern w:val="2"/>
                <w:sz w:val="21"/>
                <w:szCs w:val="21"/>
                <w:lang w:val="en-US" w:eastAsia="zh-CN" w:bidi="ar-SA"/>
              </w:rPr>
            </w:pPr>
            <w:r>
              <w:rPr>
                <w:bCs/>
                <w:color w:val="auto"/>
                <w:sz w:val="21"/>
                <w:szCs w:val="21"/>
              </w:rPr>
              <w:t>2935.4602</w:t>
            </w:r>
          </w:p>
        </w:tc>
        <w:tc>
          <w:tcPr>
            <w:tcW w:w="577" w:type="pct"/>
            <w:vAlign w:val="center"/>
          </w:tcPr>
          <w:p w14:paraId="7A83669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ajorEastAsia"/>
                <w:color w:val="auto"/>
                <w:kern w:val="2"/>
                <w:sz w:val="21"/>
                <w:szCs w:val="21"/>
                <w:lang w:val="en-US" w:eastAsia="zh-CN" w:bidi="ar-SA"/>
              </w:rPr>
            </w:pPr>
            <w:r>
              <w:rPr>
                <w:bCs/>
                <w:color w:val="auto"/>
                <w:sz w:val="21"/>
                <w:szCs w:val="21"/>
              </w:rPr>
              <w:t>2935.4602</w:t>
            </w:r>
          </w:p>
        </w:tc>
        <w:tc>
          <w:tcPr>
            <w:tcW w:w="469" w:type="pct"/>
            <w:vAlign w:val="center"/>
          </w:tcPr>
          <w:p w14:paraId="5850E49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ajorEastAsia"/>
                <w:color w:val="auto"/>
                <w:kern w:val="2"/>
                <w:sz w:val="21"/>
                <w:szCs w:val="21"/>
                <w:lang w:val="en-US" w:eastAsia="zh-CN" w:bidi="ar-SA"/>
              </w:rPr>
            </w:pPr>
            <w:r>
              <w:rPr>
                <w:rFonts w:hint="default" w:ascii="Times New Roman" w:hAnsi="Times New Roman" w:cs="Times New Roman" w:eastAsiaTheme="majorEastAsia"/>
                <w:color w:val="auto"/>
                <w:kern w:val="2"/>
                <w:sz w:val="21"/>
                <w:szCs w:val="21"/>
                <w:lang w:val="en-US" w:eastAsia="zh-CN" w:bidi="ar-SA"/>
              </w:rPr>
              <w:t>/</w:t>
            </w:r>
          </w:p>
        </w:tc>
        <w:tc>
          <w:tcPr>
            <w:tcW w:w="579" w:type="pct"/>
            <w:shd w:val="clear" w:color="auto" w:fill="auto"/>
            <w:vAlign w:val="center"/>
          </w:tcPr>
          <w:p w14:paraId="0587E60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ajorEastAsia"/>
                <w:color w:val="auto"/>
                <w:kern w:val="2"/>
                <w:sz w:val="21"/>
                <w:szCs w:val="21"/>
                <w:lang w:val="en-US" w:eastAsia="zh-CN" w:bidi="ar-SA"/>
              </w:rPr>
            </w:pPr>
            <w:r>
              <w:rPr>
                <w:rFonts w:hint="eastAsia" w:cs="Times New Roman" w:eastAsiaTheme="majorEastAsia"/>
                <w:color w:val="auto"/>
                <w:kern w:val="2"/>
                <w:sz w:val="21"/>
                <w:szCs w:val="21"/>
                <w:lang w:val="en-US" w:eastAsia="zh-CN" w:bidi="ar-SA"/>
              </w:rPr>
              <w:t>27.5</w:t>
            </w:r>
          </w:p>
        </w:tc>
        <w:tc>
          <w:tcPr>
            <w:tcW w:w="504" w:type="pct"/>
            <w:vAlign w:val="center"/>
          </w:tcPr>
          <w:p w14:paraId="7FCA61E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ajorEastAsia"/>
                <w:color w:val="auto"/>
                <w:kern w:val="2"/>
                <w:sz w:val="21"/>
                <w:szCs w:val="21"/>
                <w:lang w:val="en-US" w:eastAsia="zh-CN" w:bidi="ar-SA"/>
              </w:rPr>
            </w:pPr>
            <w:r>
              <w:rPr>
                <w:rFonts w:hint="default" w:ascii="Times New Roman" w:hAnsi="Times New Roman" w:cs="Times New Roman" w:eastAsiaTheme="majorEastAsia"/>
                <w:color w:val="auto"/>
                <w:kern w:val="2"/>
                <w:sz w:val="21"/>
                <w:szCs w:val="21"/>
                <w:lang w:val="en-US" w:eastAsia="zh-CN" w:bidi="ar-SA"/>
              </w:rPr>
              <w:t>/</w:t>
            </w:r>
          </w:p>
        </w:tc>
        <w:tc>
          <w:tcPr>
            <w:tcW w:w="752" w:type="pct"/>
            <w:shd w:val="clear" w:color="auto" w:fill="auto"/>
            <w:vAlign w:val="center"/>
          </w:tcPr>
          <w:p w14:paraId="07BCBB1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ajorEastAsia"/>
                <w:color w:val="auto"/>
                <w:kern w:val="2"/>
                <w:sz w:val="21"/>
                <w:szCs w:val="21"/>
                <w:lang w:val="en-US" w:eastAsia="zh-CN" w:bidi="ar-SA"/>
              </w:rPr>
            </w:pPr>
            <w:r>
              <w:rPr>
                <w:rFonts w:hint="eastAsia" w:cs="Times New Roman" w:eastAsiaTheme="majorEastAsia"/>
                <w:color w:val="auto"/>
                <w:kern w:val="2"/>
                <w:sz w:val="21"/>
                <w:szCs w:val="21"/>
                <w:lang w:val="en-US" w:eastAsia="zh-CN" w:bidi="ar-SA"/>
              </w:rPr>
              <w:t>2962.9602</w:t>
            </w:r>
          </w:p>
        </w:tc>
        <w:tc>
          <w:tcPr>
            <w:tcW w:w="638" w:type="pct"/>
            <w:shd w:val="clear" w:color="auto" w:fill="auto"/>
            <w:vAlign w:val="center"/>
          </w:tcPr>
          <w:p w14:paraId="7842199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ajorEastAsia"/>
                <w:color w:val="auto"/>
                <w:kern w:val="2"/>
                <w:sz w:val="21"/>
                <w:szCs w:val="21"/>
                <w:lang w:val="en-US" w:eastAsia="zh-CN" w:bidi="ar-SA"/>
              </w:rPr>
            </w:pPr>
            <w:r>
              <w:rPr>
                <w:rFonts w:hint="eastAsia" w:cs="Times New Roman" w:eastAsiaTheme="majorEastAsia"/>
                <w:color w:val="auto"/>
                <w:kern w:val="2"/>
                <w:sz w:val="21"/>
                <w:szCs w:val="21"/>
                <w:lang w:val="en-US" w:eastAsia="zh-CN" w:bidi="ar-SA"/>
              </w:rPr>
              <w:t>+27.5</w:t>
            </w:r>
          </w:p>
        </w:tc>
      </w:tr>
    </w:tbl>
    <w:p w14:paraId="483D86EB">
      <w:pPr>
        <w:pStyle w:val="45"/>
        <w:spacing w:beforeLines="0" w:afterLines="0" w:line="240" w:lineRule="auto"/>
        <w:jc w:val="left"/>
        <w:rPr>
          <w:rFonts w:ascii="Times New Roman"/>
          <w:snapToGrid w:val="0"/>
          <w:color w:val="auto"/>
          <w:spacing w:val="-6"/>
          <w:kern w:val="21"/>
          <w:szCs w:val="21"/>
        </w:rPr>
      </w:pPr>
      <w:r>
        <w:rPr>
          <w:rFonts w:ascii="Times New Roman" w:hAnsi="宋体"/>
          <w:snapToGrid w:val="0"/>
          <w:color w:val="auto"/>
          <w:kern w:val="21"/>
          <w:szCs w:val="21"/>
        </w:rPr>
        <w:t>注：</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6 \* GB3 \* MERGEFORMAT </w:instrText>
      </w:r>
      <w:r>
        <w:rPr>
          <w:rFonts w:ascii="Times New Roman"/>
          <w:snapToGrid w:val="0"/>
          <w:color w:val="auto"/>
          <w:spacing w:val="-16"/>
          <w:kern w:val="21"/>
          <w:szCs w:val="21"/>
        </w:rPr>
        <w:fldChar w:fldCharType="separate"/>
      </w:r>
      <w:r>
        <w:rPr>
          <w:rFonts w:hAnsi="宋体"/>
          <w:color w:val="auto"/>
          <w:szCs w:val="21"/>
        </w:rPr>
        <w:t>⑥</w:t>
      </w:r>
      <w:r>
        <w:rPr>
          <w:rFonts w:ascii="Times New Roman"/>
          <w:snapToGrid w:val="0"/>
          <w:color w:val="auto"/>
          <w:spacing w:val="-16"/>
          <w:kern w:val="21"/>
          <w:szCs w:val="21"/>
        </w:rPr>
        <w:fldChar w:fldCharType="end"/>
      </w:r>
      <w:r>
        <w:rPr>
          <w:rFonts w:ascii="Times New Roman"/>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1 \* GB3 \* MERGEFORMAT </w:instrText>
      </w:r>
      <w:r>
        <w:rPr>
          <w:rFonts w:ascii="Times New Roman"/>
          <w:snapToGrid w:val="0"/>
          <w:color w:val="auto"/>
          <w:spacing w:val="-6"/>
          <w:kern w:val="21"/>
          <w:szCs w:val="21"/>
        </w:rPr>
        <w:fldChar w:fldCharType="separate"/>
      </w:r>
      <w:r>
        <w:rPr>
          <w:rFonts w:hAnsi="宋体"/>
          <w:color w:val="auto"/>
          <w:szCs w:val="21"/>
        </w:rPr>
        <w:t>①</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3 \* GB3 \* MERGEFORMAT </w:instrText>
      </w:r>
      <w:r>
        <w:rPr>
          <w:rFonts w:ascii="Times New Roman"/>
          <w:snapToGrid w:val="0"/>
          <w:color w:val="auto"/>
          <w:spacing w:val="-6"/>
          <w:kern w:val="21"/>
          <w:szCs w:val="21"/>
        </w:rPr>
        <w:fldChar w:fldCharType="separate"/>
      </w:r>
      <w:r>
        <w:rPr>
          <w:rFonts w:hAnsi="宋体"/>
          <w:color w:val="auto"/>
          <w:szCs w:val="21"/>
        </w:rPr>
        <w:t>③</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4 \* GB3 \* MERGEFORMAT </w:instrText>
      </w:r>
      <w:r>
        <w:rPr>
          <w:rFonts w:ascii="Times New Roman"/>
          <w:snapToGrid w:val="0"/>
          <w:color w:val="auto"/>
          <w:spacing w:val="-6"/>
          <w:kern w:val="21"/>
          <w:szCs w:val="21"/>
        </w:rPr>
        <w:fldChar w:fldCharType="separate"/>
      </w:r>
      <w:r>
        <w:rPr>
          <w:rFonts w:hAnsi="宋体"/>
          <w:color w:val="auto"/>
          <w:szCs w:val="21"/>
        </w:rPr>
        <w:t>④</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5 \* GB3 \* MERGEFORMAT </w:instrText>
      </w:r>
      <w:r>
        <w:rPr>
          <w:rFonts w:ascii="Times New Roman"/>
          <w:snapToGrid w:val="0"/>
          <w:color w:val="auto"/>
          <w:spacing w:val="-16"/>
          <w:kern w:val="21"/>
          <w:szCs w:val="21"/>
        </w:rPr>
        <w:fldChar w:fldCharType="separate"/>
      </w:r>
      <w:r>
        <w:rPr>
          <w:rFonts w:hAnsi="宋体"/>
          <w:color w:val="auto"/>
          <w:szCs w:val="21"/>
        </w:rPr>
        <w:t>⑤</w:t>
      </w:r>
      <w:r>
        <w:rPr>
          <w:rFonts w:ascii="Times New Roman"/>
          <w:snapToGrid w:val="0"/>
          <w:color w:val="auto"/>
          <w:spacing w:val="-16"/>
          <w:kern w:val="21"/>
          <w:szCs w:val="21"/>
        </w:rPr>
        <w:fldChar w:fldCharType="end"/>
      </w:r>
      <w:r>
        <w:rPr>
          <w:rFonts w:ascii="Times New Roman" w:hAnsi="宋体"/>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7 \* GB3 \* MERGEFORMAT </w:instrText>
      </w:r>
      <w:r>
        <w:rPr>
          <w:rFonts w:ascii="Times New Roman"/>
          <w:snapToGrid w:val="0"/>
          <w:color w:val="auto"/>
          <w:spacing w:val="-6"/>
          <w:kern w:val="21"/>
          <w:szCs w:val="21"/>
        </w:rPr>
        <w:fldChar w:fldCharType="separate"/>
      </w:r>
      <w:r>
        <w:rPr>
          <w:rFonts w:hAnsi="宋体"/>
          <w:color w:val="auto"/>
          <w:szCs w:val="21"/>
        </w:rPr>
        <w:t>⑦</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6 \* GB3 \* MERGEFORMAT </w:instrText>
      </w:r>
      <w:r>
        <w:rPr>
          <w:rFonts w:ascii="Times New Roman"/>
          <w:snapToGrid w:val="0"/>
          <w:color w:val="auto"/>
          <w:spacing w:val="-16"/>
          <w:kern w:val="21"/>
          <w:szCs w:val="21"/>
        </w:rPr>
        <w:fldChar w:fldCharType="separate"/>
      </w:r>
      <w:r>
        <w:rPr>
          <w:rFonts w:hAnsi="宋体"/>
          <w:color w:val="auto"/>
          <w:szCs w:val="21"/>
        </w:rPr>
        <w:t>⑥</w:t>
      </w:r>
      <w:r>
        <w:rPr>
          <w:rFonts w:ascii="Times New Roman"/>
          <w:snapToGrid w:val="0"/>
          <w:color w:val="auto"/>
          <w:spacing w:val="-16"/>
          <w:kern w:val="21"/>
          <w:szCs w:val="21"/>
        </w:rPr>
        <w:fldChar w:fldCharType="end"/>
      </w:r>
      <w:r>
        <w:rPr>
          <w:rFonts w:ascii="Times New Roman"/>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1 \* GB3 \* MERGEFORMAT </w:instrText>
      </w:r>
      <w:r>
        <w:rPr>
          <w:rFonts w:ascii="Times New Roman"/>
          <w:snapToGrid w:val="0"/>
          <w:color w:val="auto"/>
          <w:spacing w:val="-6"/>
          <w:kern w:val="21"/>
          <w:szCs w:val="21"/>
        </w:rPr>
        <w:fldChar w:fldCharType="separate"/>
      </w:r>
      <w:r>
        <w:rPr>
          <w:rFonts w:hAnsi="宋体"/>
          <w:color w:val="auto"/>
          <w:szCs w:val="21"/>
        </w:rPr>
        <w:t>①</w:t>
      </w:r>
      <w:r>
        <w:rPr>
          <w:rFonts w:ascii="Times New Roman"/>
          <w:snapToGrid w:val="0"/>
          <w:color w:val="auto"/>
          <w:spacing w:val="-6"/>
          <w:kern w:val="21"/>
          <w:szCs w:val="21"/>
        </w:rPr>
        <w:fldChar w:fldCharType="end"/>
      </w:r>
    </w:p>
    <w:sectPr>
      <w:footerReference r:id="rId9" w:type="default"/>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仿宋体">
    <w:altName w:val="宋体"/>
    <w:panose1 w:val="00000000000000000000"/>
    <w:charset w:val="86"/>
    <w:family w:val="swiss"/>
    <w:pitch w:val="default"/>
    <w:sig w:usb0="00000000" w:usb1="00000000" w:usb2="00000010" w:usb3="00000000" w:csb0="00040000" w:csb1="00000000"/>
  </w:font>
  <w:font w:name="幼圆">
    <w:altName w:val="宋体"/>
    <w:panose1 w:val="0201050906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MingLiU">
    <w:altName w:val="PMingLiU-ExtB"/>
    <w:panose1 w:val="02020509000000000000"/>
    <w:charset w:val="88"/>
    <w:family w:val="modern"/>
    <w:pitch w:val="default"/>
    <w:sig w:usb0="00000000" w:usb1="00000000" w:usb2="00000016" w:usb3="00000000" w:csb0="00100001" w:csb1="00000000"/>
  </w:font>
  <w:font w:name="SF Hello Regular">
    <w:altName w:val="Times New Roman"/>
    <w:panose1 w:val="00000000000000000000"/>
    <w:charset w:val="00"/>
    <w:family w:val="roman"/>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Wingdings 2">
    <w:altName w:val="Wingdings"/>
    <w:panose1 w:val="05020102010507070707"/>
    <w:charset w:val="02"/>
    <w:family w:val="roman"/>
    <w:pitch w:val="default"/>
    <w:sig w:usb0="00000000" w:usb1="00000000" w:usb2="00000000" w:usb3="00000000" w:csb0="80000000" w:csb1="00000000"/>
  </w:font>
  <w:font w:name="Segoe UI">
    <w:panose1 w:val="020B0502040204020203"/>
    <w:charset w:val="00"/>
    <w:family w:val="auto"/>
    <w:pitch w:val="default"/>
    <w:sig w:usb0="E4002EFF" w:usb1="C000E47F" w:usb2="00000009" w:usb3="00000000" w:csb0="200001FF" w:csb1="00000000"/>
  </w:font>
  <w:font w:name="微软雅黑">
    <w:panose1 w:val="020B0503020204020204"/>
    <w:charset w:val="86"/>
    <w:family w:val="auto"/>
    <w:pitch w:val="default"/>
    <w:sig w:usb0="80000287" w:usb1="2ACF3C50" w:usb2="00000016" w:usb3="00000000" w:csb0="0004001F" w:csb1="00000000"/>
  </w:font>
  <w:font w:name="Wingdings">
    <w:panose1 w:val="05000000000000000000"/>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PMingLiU-ExtB">
    <w:panose1 w:val="02020500000000000000"/>
    <w:charset w:val="88"/>
    <w:family w:val="auto"/>
    <w:pitch w:val="default"/>
    <w:sig w:usb0="8000002F" w:usb1="02000008" w:usb2="00000000" w:usb3="00000000" w:csb0="00100001"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9B511B">
    <w:pPr>
      <w:pStyle w:val="21"/>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EE4A66">
    <w:pPr>
      <w:pStyle w:val="21"/>
      <w:framePr w:wrap="around" w:vAnchor="text" w:hAnchor="margin" w:xAlign="center" w:y="1"/>
      <w:rPr>
        <w:rStyle w:val="36"/>
      </w:rPr>
    </w:pPr>
    <w:r>
      <w:fldChar w:fldCharType="begin"/>
    </w:r>
    <w:r>
      <w:rPr>
        <w:rStyle w:val="36"/>
      </w:rPr>
      <w:instrText xml:space="preserve">PAGE  </w:instrText>
    </w:r>
    <w:r>
      <w:fldChar w:fldCharType="end"/>
    </w:r>
  </w:p>
  <w:p w14:paraId="10C18972">
    <w:pPr>
      <w:pStyle w:val="21"/>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199FE8">
    <w:pPr>
      <w:pStyle w:val="21"/>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19033420"/>
    </w:sdtPr>
    <w:sdtContent>
      <w:p w14:paraId="790629A1">
        <w:pPr>
          <w:pStyle w:val="21"/>
          <w:jc w:val="center"/>
        </w:pPr>
        <w:r>
          <w:fldChar w:fldCharType="begin"/>
        </w:r>
        <w:r>
          <w:instrText xml:space="preserve">PAGE   \* MERGEFORMAT</w:instrText>
        </w:r>
        <w:r>
          <w:fldChar w:fldCharType="separate"/>
        </w:r>
        <w:r>
          <w:rPr>
            <w:lang w:val="zh-CN"/>
          </w:rPr>
          <w:t>44</w:t>
        </w:r>
        <w:r>
          <w:rPr>
            <w:lang w:val="zh-CN"/>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F493EE">
    <w:pPr>
      <w:pStyle w:val="21"/>
      <w:ind w:left="1050"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83185" cy="213995"/>
              <wp:effectExtent l="0" t="0" r="0" b="0"/>
              <wp:wrapNone/>
              <wp:docPr id="105" name="文本框 7"/>
              <wp:cNvGraphicFramePr/>
              <a:graphic xmlns:a="http://schemas.openxmlformats.org/drawingml/2006/main">
                <a:graphicData uri="http://schemas.microsoft.com/office/word/2010/wordprocessingShape">
                  <wps:wsp>
                    <wps:cNvSpPr txBox="1"/>
                    <wps:spPr>
                      <a:xfrm>
                        <a:off x="0" y="0"/>
                        <a:ext cx="83185" cy="213995"/>
                      </a:xfrm>
                      <a:prstGeom prst="rect">
                        <a:avLst/>
                      </a:prstGeom>
                      <a:noFill/>
                      <a:ln>
                        <a:noFill/>
                      </a:ln>
                      <a:effectLst/>
                    </wps:spPr>
                    <wps:txbx>
                      <w:txbxContent>
                        <w:p w14:paraId="3E085172">
                          <w:pPr>
                            <w:pStyle w:val="21"/>
                            <w:ind w:left="1050"/>
                            <w:rPr>
                              <w:rStyle w:val="36"/>
                              <w:rFonts w:ascii="宋体" w:hAnsi="宋体"/>
                              <w:sz w:val="28"/>
                              <w:szCs w:val="28"/>
                            </w:rPr>
                          </w:pPr>
                          <w:r>
                            <w:rPr>
                              <w:rFonts w:ascii="宋体" w:hAnsi="宋体"/>
                              <w:sz w:val="26"/>
                              <w:szCs w:val="26"/>
                            </w:rPr>
                            <w:fldChar w:fldCharType="begin"/>
                          </w:r>
                          <w:r>
                            <w:rPr>
                              <w:rStyle w:val="36"/>
                              <w:rFonts w:ascii="宋体" w:hAnsi="宋体"/>
                              <w:sz w:val="26"/>
                              <w:szCs w:val="26"/>
                            </w:rPr>
                            <w:instrText xml:space="preserve">PAGE  </w:instrText>
                          </w:r>
                          <w:r>
                            <w:rPr>
                              <w:rFonts w:ascii="宋体" w:hAnsi="宋体"/>
                              <w:sz w:val="26"/>
                              <w:szCs w:val="26"/>
                            </w:rPr>
                            <w:fldChar w:fldCharType="separate"/>
                          </w:r>
                          <w:r>
                            <w:rPr>
                              <w:rStyle w:val="36"/>
                              <w:rFonts w:ascii="宋体" w:hAnsi="宋体"/>
                              <w:sz w:val="26"/>
                              <w:szCs w:val="26"/>
                            </w:rPr>
                            <w:t>46</w:t>
                          </w:r>
                          <w:r>
                            <w:rPr>
                              <w:rFonts w:ascii="宋体" w:hAnsi="宋体"/>
                              <w:sz w:val="26"/>
                              <w:szCs w:val="26"/>
                            </w:rPr>
                            <w:fldChar w:fldCharType="end"/>
                          </w:r>
                        </w:p>
                      </w:txbxContent>
                    </wps:txbx>
                    <wps:bodyPr wrap="none" lIns="0" tIns="0" rIns="0" bIns="0" upright="1">
                      <a:spAutoFit/>
                    </wps:bodyPr>
                  </wps:wsp>
                </a:graphicData>
              </a:graphic>
            </wp:anchor>
          </w:drawing>
        </mc:Choice>
        <mc:Fallback>
          <w:pict>
            <v:shape id="文本框 7" o:spid="_x0000_s1026" o:spt="202" type="#_x0000_t202" style="position:absolute;left:0pt;margin-top:0pt;height:16.85pt;width:6.55pt;mso-position-horizontal:center;mso-position-horizontal-relative:margin;mso-wrap-style:none;z-index:251659264;mso-width-relative:page;mso-height-relative:page;" filled="f" stroked="f" coordsize="21600,21600" o:gfxdata="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&#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NjEfHbRAAAAAwEAAA8AAAAAAAAAAQAgAAAAIgAAAGRy&#10;cy9kb3ducmV2LnhtbFBLAQIUABQAAAAIAIdO4kBy8lZ80wEAAKYDAAAOAAAAAAAAAAEAIAAAACAB&#10;AABkcnMvZTJvRG9jLnhtbFBLBQYAAAAABgAGAFkBAABlBQAAAAA=&#10;">
              <v:fill on="f" focussize="0,0"/>
              <v:stroke on="f"/>
              <v:imagedata o:title=""/>
              <o:lock v:ext="edit" aspectratio="f"/>
              <v:textbox inset="0mm,0mm,0mm,0mm" style="mso-fit-shape-to-text:t;">
                <w:txbxContent>
                  <w:p w14:paraId="3E085172">
                    <w:pPr>
                      <w:pStyle w:val="21"/>
                      <w:ind w:left="1050"/>
                      <w:rPr>
                        <w:rStyle w:val="36"/>
                        <w:rFonts w:ascii="宋体" w:hAnsi="宋体"/>
                        <w:sz w:val="28"/>
                        <w:szCs w:val="28"/>
                      </w:rPr>
                    </w:pPr>
                    <w:r>
                      <w:rPr>
                        <w:rFonts w:ascii="宋体" w:hAnsi="宋体"/>
                        <w:sz w:val="26"/>
                        <w:szCs w:val="26"/>
                      </w:rPr>
                      <w:fldChar w:fldCharType="begin"/>
                    </w:r>
                    <w:r>
                      <w:rPr>
                        <w:rStyle w:val="36"/>
                        <w:rFonts w:ascii="宋体" w:hAnsi="宋体"/>
                        <w:sz w:val="26"/>
                        <w:szCs w:val="26"/>
                      </w:rPr>
                      <w:instrText xml:space="preserve">PAGE  </w:instrText>
                    </w:r>
                    <w:r>
                      <w:rPr>
                        <w:rFonts w:ascii="宋体" w:hAnsi="宋体"/>
                        <w:sz w:val="26"/>
                        <w:szCs w:val="26"/>
                      </w:rPr>
                      <w:fldChar w:fldCharType="separate"/>
                    </w:r>
                    <w:r>
                      <w:rPr>
                        <w:rStyle w:val="36"/>
                        <w:rFonts w:ascii="宋体" w:hAnsi="宋体"/>
                        <w:sz w:val="26"/>
                        <w:szCs w:val="26"/>
                      </w:rPr>
                      <w:t>46</w:t>
                    </w:r>
                    <w:r>
                      <w:rPr>
                        <w:rFonts w:ascii="宋体" w:hAnsi="宋体"/>
                        <w:sz w:val="26"/>
                        <w:szCs w:val="26"/>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1ED9D5">
    <w:pPr>
      <w:pStyle w:val="2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346897">
    <w:pPr>
      <w:pStyle w:val="2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628F98"/>
    <w:multiLevelType w:val="multilevel"/>
    <w:tmpl w:val="80628F98"/>
    <w:lvl w:ilvl="0" w:tentative="0">
      <w:start w:val="1"/>
      <w:numFmt w:val="decimalEnclosedCircle"/>
      <w:lvlText w:val="%1"/>
      <w:lvlJc w:val="left"/>
      <w:pPr>
        <w:ind w:left="840" w:hanging="360"/>
      </w:pPr>
      <w:rPr>
        <w:rFonts w:hint="default" w:ascii="宋体" w:hAnsi="宋体" w:cs="宋体"/>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89291FE1"/>
    <w:multiLevelType w:val="singleLevel"/>
    <w:tmpl w:val="89291FE1"/>
    <w:lvl w:ilvl="0" w:tentative="0">
      <w:start w:val="1"/>
      <w:numFmt w:val="decimal"/>
      <w:suff w:val="nothing"/>
      <w:lvlText w:val="%1、"/>
      <w:lvlJc w:val="left"/>
    </w:lvl>
  </w:abstractNum>
  <w:abstractNum w:abstractNumId="2">
    <w:nsid w:val="B04890E1"/>
    <w:multiLevelType w:val="singleLevel"/>
    <w:tmpl w:val="B04890E1"/>
    <w:lvl w:ilvl="0" w:tentative="0">
      <w:start w:val="4"/>
      <w:numFmt w:val="chineseCounting"/>
      <w:suff w:val="nothing"/>
      <w:lvlText w:val="%1、"/>
      <w:lvlJc w:val="left"/>
      <w:rPr>
        <w:rFonts w:hint="eastAsia"/>
      </w:rPr>
    </w:lvl>
  </w:abstractNum>
  <w:abstractNum w:abstractNumId="3">
    <w:nsid w:val="111A3620"/>
    <w:multiLevelType w:val="singleLevel"/>
    <w:tmpl w:val="111A3620"/>
    <w:lvl w:ilvl="0" w:tentative="0">
      <w:start w:val="1"/>
      <w:numFmt w:val="bullet"/>
      <w:pStyle w:val="14"/>
      <w:lvlText w:val=""/>
      <w:lvlJc w:val="left"/>
      <w:pPr>
        <w:tabs>
          <w:tab w:val="left" w:pos="2040"/>
        </w:tabs>
        <w:ind w:left="2040" w:hanging="360"/>
      </w:pPr>
      <w:rPr>
        <w:rFonts w:hint="default" w:ascii="Wingdings" w:hAnsi="Wingdings"/>
      </w:rPr>
    </w:lvl>
  </w:abstractNum>
  <w:abstractNum w:abstractNumId="4">
    <w:nsid w:val="13817444"/>
    <w:multiLevelType w:val="multilevel"/>
    <w:tmpl w:val="13817444"/>
    <w:lvl w:ilvl="0" w:tentative="0">
      <w:start w:val="1"/>
      <w:numFmt w:val="decimal"/>
      <w:lvlText w:val="（%1）"/>
      <w:lvlJc w:val="left"/>
      <w:pPr>
        <w:ind w:left="1200" w:hanging="720"/>
      </w:pPr>
      <w:rPr>
        <w:rFonts w:hint="default"/>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5">
    <w:nsid w:val="1BD60B9E"/>
    <w:multiLevelType w:val="multilevel"/>
    <w:tmpl w:val="1BD60B9E"/>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464FCE44"/>
    <w:multiLevelType w:val="singleLevel"/>
    <w:tmpl w:val="464FCE44"/>
    <w:lvl w:ilvl="0" w:tentative="0">
      <w:start w:val="7"/>
      <w:numFmt w:val="decimal"/>
      <w:lvlText w:val="%1."/>
      <w:lvlJc w:val="left"/>
      <w:pPr>
        <w:tabs>
          <w:tab w:val="left" w:pos="312"/>
        </w:tabs>
      </w:pPr>
    </w:lvl>
  </w:abstractNum>
  <w:abstractNum w:abstractNumId="7">
    <w:nsid w:val="50202BBA"/>
    <w:multiLevelType w:val="multilevel"/>
    <w:tmpl w:val="50202BBA"/>
    <w:lvl w:ilvl="0" w:tentative="0">
      <w:start w:val="1"/>
      <w:numFmt w:val="decimalEnclosedCircle"/>
      <w:lvlText w:val="%1"/>
      <w:lvlJc w:val="left"/>
      <w:pPr>
        <w:ind w:left="840" w:hanging="360"/>
      </w:pPr>
      <w:rPr>
        <w:rFonts w:hint="default" w:ascii="宋体" w:hAnsi="宋体" w:cs="宋体"/>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
    <w:nsid w:val="61E439B8"/>
    <w:multiLevelType w:val="multilevel"/>
    <w:tmpl w:val="61E439B8"/>
    <w:lvl w:ilvl="0" w:tentative="0">
      <w:start w:val="1"/>
      <w:numFmt w:val="decimalEnclosedCircle"/>
      <w:lvlText w:val="%1"/>
      <w:lvlJc w:val="left"/>
      <w:pPr>
        <w:ind w:left="840" w:hanging="360"/>
      </w:pPr>
      <w:rPr>
        <w:rFonts w:hint="default" w:ascii="宋体" w:hAnsi="宋体" w:cs="宋体"/>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3"/>
  </w:num>
  <w:num w:numId="2">
    <w:abstractNumId w:val="6"/>
  </w:num>
  <w:num w:numId="3">
    <w:abstractNumId w:val="8"/>
  </w:num>
  <w:num w:numId="4">
    <w:abstractNumId w:val="7"/>
  </w:num>
  <w:num w:numId="5">
    <w:abstractNumId w:val="1"/>
  </w:num>
  <w:num w:numId="6">
    <w:abstractNumId w:val="4"/>
  </w:num>
  <w:num w:numId="7">
    <w:abstractNumId w:val="0"/>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dit="trackedChanges" w:enforcement="0"/>
  <w:defaultTabStop w:val="420"/>
  <w:doNotHyphenateCaps/>
  <w:drawingGridHorizontalSpacing w:val="21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JkZDY0ODVlZjc0YmMwYjZkYTlkN2M5NGNlOTIwYTMifQ=="/>
    <w:docVar w:name="KSO_WPS_MARK_KEY" w:val="07da4a6e-8dc8-42a3-aea5-764cefe35c41"/>
  </w:docVars>
  <w:rsids>
    <w:rsidRoot w:val="00BF6189"/>
    <w:rsid w:val="000000D3"/>
    <w:rsid w:val="000004B8"/>
    <w:rsid w:val="00000875"/>
    <w:rsid w:val="0000233D"/>
    <w:rsid w:val="000025B3"/>
    <w:rsid w:val="000030BF"/>
    <w:rsid w:val="00003C08"/>
    <w:rsid w:val="00003F6F"/>
    <w:rsid w:val="0000436A"/>
    <w:rsid w:val="00004EC0"/>
    <w:rsid w:val="00004F5E"/>
    <w:rsid w:val="000061F1"/>
    <w:rsid w:val="000068A3"/>
    <w:rsid w:val="00006F53"/>
    <w:rsid w:val="00010340"/>
    <w:rsid w:val="00010757"/>
    <w:rsid w:val="00011805"/>
    <w:rsid w:val="00011B4B"/>
    <w:rsid w:val="00012859"/>
    <w:rsid w:val="000128E4"/>
    <w:rsid w:val="000130EA"/>
    <w:rsid w:val="0001318B"/>
    <w:rsid w:val="00013713"/>
    <w:rsid w:val="000138BC"/>
    <w:rsid w:val="00013DDF"/>
    <w:rsid w:val="00013FF4"/>
    <w:rsid w:val="0001455F"/>
    <w:rsid w:val="00015111"/>
    <w:rsid w:val="000153EC"/>
    <w:rsid w:val="000176FE"/>
    <w:rsid w:val="00017E92"/>
    <w:rsid w:val="000206C1"/>
    <w:rsid w:val="000206F5"/>
    <w:rsid w:val="00020A17"/>
    <w:rsid w:val="00020D51"/>
    <w:rsid w:val="00020EF6"/>
    <w:rsid w:val="000217C8"/>
    <w:rsid w:val="00022783"/>
    <w:rsid w:val="000229FA"/>
    <w:rsid w:val="00023A4A"/>
    <w:rsid w:val="00023ECA"/>
    <w:rsid w:val="000247E4"/>
    <w:rsid w:val="00024EC2"/>
    <w:rsid w:val="00024EE0"/>
    <w:rsid w:val="00025F1C"/>
    <w:rsid w:val="000274D4"/>
    <w:rsid w:val="0003005D"/>
    <w:rsid w:val="00030228"/>
    <w:rsid w:val="00030A66"/>
    <w:rsid w:val="0003159B"/>
    <w:rsid w:val="000315CB"/>
    <w:rsid w:val="00031C9F"/>
    <w:rsid w:val="00032842"/>
    <w:rsid w:val="00032896"/>
    <w:rsid w:val="00032BD3"/>
    <w:rsid w:val="00033621"/>
    <w:rsid w:val="00033DB4"/>
    <w:rsid w:val="000349ED"/>
    <w:rsid w:val="000359A5"/>
    <w:rsid w:val="00037364"/>
    <w:rsid w:val="000375E9"/>
    <w:rsid w:val="00040C4D"/>
    <w:rsid w:val="00040FCE"/>
    <w:rsid w:val="00041065"/>
    <w:rsid w:val="000424B0"/>
    <w:rsid w:val="0004349E"/>
    <w:rsid w:val="0004433E"/>
    <w:rsid w:val="000444EF"/>
    <w:rsid w:val="00045116"/>
    <w:rsid w:val="00045500"/>
    <w:rsid w:val="00045531"/>
    <w:rsid w:val="000458F6"/>
    <w:rsid w:val="000468CE"/>
    <w:rsid w:val="00046FD4"/>
    <w:rsid w:val="00047139"/>
    <w:rsid w:val="00047279"/>
    <w:rsid w:val="0004765F"/>
    <w:rsid w:val="00050542"/>
    <w:rsid w:val="00050891"/>
    <w:rsid w:val="00051285"/>
    <w:rsid w:val="000514AD"/>
    <w:rsid w:val="000514D8"/>
    <w:rsid w:val="00051E36"/>
    <w:rsid w:val="00052FEA"/>
    <w:rsid w:val="00053578"/>
    <w:rsid w:val="00053787"/>
    <w:rsid w:val="0005416C"/>
    <w:rsid w:val="00054EC2"/>
    <w:rsid w:val="0005580F"/>
    <w:rsid w:val="0005614F"/>
    <w:rsid w:val="000564B4"/>
    <w:rsid w:val="0005782C"/>
    <w:rsid w:val="0006043B"/>
    <w:rsid w:val="00060A70"/>
    <w:rsid w:val="000616B5"/>
    <w:rsid w:val="0006180D"/>
    <w:rsid w:val="00061A39"/>
    <w:rsid w:val="00061C96"/>
    <w:rsid w:val="00061DB0"/>
    <w:rsid w:val="00062896"/>
    <w:rsid w:val="00062F72"/>
    <w:rsid w:val="00063BDC"/>
    <w:rsid w:val="00063D3A"/>
    <w:rsid w:val="00064706"/>
    <w:rsid w:val="00065D04"/>
    <w:rsid w:val="000660DD"/>
    <w:rsid w:val="0006664C"/>
    <w:rsid w:val="000668E1"/>
    <w:rsid w:val="00066962"/>
    <w:rsid w:val="00066BD0"/>
    <w:rsid w:val="00066F1A"/>
    <w:rsid w:val="0006762C"/>
    <w:rsid w:val="0007083C"/>
    <w:rsid w:val="000708E6"/>
    <w:rsid w:val="00070A79"/>
    <w:rsid w:val="000712F4"/>
    <w:rsid w:val="000718E6"/>
    <w:rsid w:val="0007259C"/>
    <w:rsid w:val="00072703"/>
    <w:rsid w:val="000728FB"/>
    <w:rsid w:val="0007297B"/>
    <w:rsid w:val="000730DF"/>
    <w:rsid w:val="00073B88"/>
    <w:rsid w:val="000745E7"/>
    <w:rsid w:val="00074864"/>
    <w:rsid w:val="00074AF6"/>
    <w:rsid w:val="000752DA"/>
    <w:rsid w:val="000755A5"/>
    <w:rsid w:val="00075BE3"/>
    <w:rsid w:val="00076770"/>
    <w:rsid w:val="000768D2"/>
    <w:rsid w:val="00076B60"/>
    <w:rsid w:val="000803FB"/>
    <w:rsid w:val="00080576"/>
    <w:rsid w:val="00080C77"/>
    <w:rsid w:val="00080CA0"/>
    <w:rsid w:val="00080FF0"/>
    <w:rsid w:val="0008129A"/>
    <w:rsid w:val="00082CB8"/>
    <w:rsid w:val="00083281"/>
    <w:rsid w:val="00083955"/>
    <w:rsid w:val="00084147"/>
    <w:rsid w:val="000843C1"/>
    <w:rsid w:val="0008462D"/>
    <w:rsid w:val="00084845"/>
    <w:rsid w:val="00084D76"/>
    <w:rsid w:val="0008529E"/>
    <w:rsid w:val="00085F57"/>
    <w:rsid w:val="00085F95"/>
    <w:rsid w:val="00086B83"/>
    <w:rsid w:val="000871C0"/>
    <w:rsid w:val="00087E86"/>
    <w:rsid w:val="00090D5C"/>
    <w:rsid w:val="0009107F"/>
    <w:rsid w:val="00091130"/>
    <w:rsid w:val="00091158"/>
    <w:rsid w:val="00091323"/>
    <w:rsid w:val="000924EF"/>
    <w:rsid w:val="00092550"/>
    <w:rsid w:val="00092F86"/>
    <w:rsid w:val="000930C5"/>
    <w:rsid w:val="000936C0"/>
    <w:rsid w:val="00093A9A"/>
    <w:rsid w:val="00094297"/>
    <w:rsid w:val="00094D4B"/>
    <w:rsid w:val="00095BB4"/>
    <w:rsid w:val="00096BC6"/>
    <w:rsid w:val="00097074"/>
    <w:rsid w:val="000A0EBE"/>
    <w:rsid w:val="000A1B57"/>
    <w:rsid w:val="000A1C6D"/>
    <w:rsid w:val="000A1F4B"/>
    <w:rsid w:val="000A218C"/>
    <w:rsid w:val="000A23FD"/>
    <w:rsid w:val="000A2781"/>
    <w:rsid w:val="000A29F5"/>
    <w:rsid w:val="000A2B15"/>
    <w:rsid w:val="000A3594"/>
    <w:rsid w:val="000A4D3E"/>
    <w:rsid w:val="000A5242"/>
    <w:rsid w:val="000A5D72"/>
    <w:rsid w:val="000A78E5"/>
    <w:rsid w:val="000A7A8A"/>
    <w:rsid w:val="000B005F"/>
    <w:rsid w:val="000B063E"/>
    <w:rsid w:val="000B077C"/>
    <w:rsid w:val="000B0CAA"/>
    <w:rsid w:val="000B2313"/>
    <w:rsid w:val="000B2B45"/>
    <w:rsid w:val="000B325A"/>
    <w:rsid w:val="000B3946"/>
    <w:rsid w:val="000B3CED"/>
    <w:rsid w:val="000B3E97"/>
    <w:rsid w:val="000B3ECC"/>
    <w:rsid w:val="000B48E1"/>
    <w:rsid w:val="000B655D"/>
    <w:rsid w:val="000B7F36"/>
    <w:rsid w:val="000C0414"/>
    <w:rsid w:val="000C08D7"/>
    <w:rsid w:val="000C0CCF"/>
    <w:rsid w:val="000C1841"/>
    <w:rsid w:val="000C1BBC"/>
    <w:rsid w:val="000C2413"/>
    <w:rsid w:val="000C2945"/>
    <w:rsid w:val="000C43E0"/>
    <w:rsid w:val="000C4EE3"/>
    <w:rsid w:val="000C4FF8"/>
    <w:rsid w:val="000C5479"/>
    <w:rsid w:val="000C5E75"/>
    <w:rsid w:val="000C6858"/>
    <w:rsid w:val="000C6989"/>
    <w:rsid w:val="000C7B82"/>
    <w:rsid w:val="000C7D42"/>
    <w:rsid w:val="000D0146"/>
    <w:rsid w:val="000D070E"/>
    <w:rsid w:val="000D0842"/>
    <w:rsid w:val="000D10C5"/>
    <w:rsid w:val="000D134D"/>
    <w:rsid w:val="000D1A7A"/>
    <w:rsid w:val="000D2C4D"/>
    <w:rsid w:val="000D2F3D"/>
    <w:rsid w:val="000D3386"/>
    <w:rsid w:val="000D38CD"/>
    <w:rsid w:val="000D4782"/>
    <w:rsid w:val="000D4969"/>
    <w:rsid w:val="000D4DFA"/>
    <w:rsid w:val="000D5A25"/>
    <w:rsid w:val="000D5D3B"/>
    <w:rsid w:val="000D619E"/>
    <w:rsid w:val="000D64B6"/>
    <w:rsid w:val="000D69F3"/>
    <w:rsid w:val="000D7660"/>
    <w:rsid w:val="000E03F0"/>
    <w:rsid w:val="000E1198"/>
    <w:rsid w:val="000E13D4"/>
    <w:rsid w:val="000E1B22"/>
    <w:rsid w:val="000E2938"/>
    <w:rsid w:val="000E2A76"/>
    <w:rsid w:val="000E30DA"/>
    <w:rsid w:val="000E3604"/>
    <w:rsid w:val="000E3950"/>
    <w:rsid w:val="000E503C"/>
    <w:rsid w:val="000E5740"/>
    <w:rsid w:val="000E58AA"/>
    <w:rsid w:val="000E5900"/>
    <w:rsid w:val="000F0365"/>
    <w:rsid w:val="000F04ED"/>
    <w:rsid w:val="000F0B1F"/>
    <w:rsid w:val="000F2A1A"/>
    <w:rsid w:val="000F34B3"/>
    <w:rsid w:val="000F39F1"/>
    <w:rsid w:val="000F3FB1"/>
    <w:rsid w:val="000F442B"/>
    <w:rsid w:val="000F47A7"/>
    <w:rsid w:val="000F6415"/>
    <w:rsid w:val="000F6511"/>
    <w:rsid w:val="000F6913"/>
    <w:rsid w:val="000F735C"/>
    <w:rsid w:val="00100F16"/>
    <w:rsid w:val="00101B17"/>
    <w:rsid w:val="0010242D"/>
    <w:rsid w:val="00102585"/>
    <w:rsid w:val="0010272B"/>
    <w:rsid w:val="0010429C"/>
    <w:rsid w:val="001054AB"/>
    <w:rsid w:val="001061A3"/>
    <w:rsid w:val="0010666E"/>
    <w:rsid w:val="00106A5D"/>
    <w:rsid w:val="00107468"/>
    <w:rsid w:val="00107817"/>
    <w:rsid w:val="00107A20"/>
    <w:rsid w:val="00107E60"/>
    <w:rsid w:val="001104FC"/>
    <w:rsid w:val="001110EB"/>
    <w:rsid w:val="00111728"/>
    <w:rsid w:val="0011231D"/>
    <w:rsid w:val="001124DC"/>
    <w:rsid w:val="0011269C"/>
    <w:rsid w:val="00112814"/>
    <w:rsid w:val="00112A7F"/>
    <w:rsid w:val="001133E4"/>
    <w:rsid w:val="00113428"/>
    <w:rsid w:val="00113AFD"/>
    <w:rsid w:val="00113D71"/>
    <w:rsid w:val="00114242"/>
    <w:rsid w:val="0011479B"/>
    <w:rsid w:val="00114CDF"/>
    <w:rsid w:val="00117495"/>
    <w:rsid w:val="00117EF1"/>
    <w:rsid w:val="00117EFA"/>
    <w:rsid w:val="001205C5"/>
    <w:rsid w:val="001207B6"/>
    <w:rsid w:val="00121022"/>
    <w:rsid w:val="001216D2"/>
    <w:rsid w:val="00121F4A"/>
    <w:rsid w:val="00123AEE"/>
    <w:rsid w:val="001241EB"/>
    <w:rsid w:val="00124966"/>
    <w:rsid w:val="00124C9A"/>
    <w:rsid w:val="00124D72"/>
    <w:rsid w:val="00125186"/>
    <w:rsid w:val="00125697"/>
    <w:rsid w:val="00125DD8"/>
    <w:rsid w:val="001263B4"/>
    <w:rsid w:val="00126476"/>
    <w:rsid w:val="0012675B"/>
    <w:rsid w:val="00126D0B"/>
    <w:rsid w:val="00127524"/>
    <w:rsid w:val="00127CC6"/>
    <w:rsid w:val="001301C5"/>
    <w:rsid w:val="00131032"/>
    <w:rsid w:val="00131E6F"/>
    <w:rsid w:val="00132321"/>
    <w:rsid w:val="001324D6"/>
    <w:rsid w:val="001329DD"/>
    <w:rsid w:val="00132CB8"/>
    <w:rsid w:val="00133392"/>
    <w:rsid w:val="00133551"/>
    <w:rsid w:val="0013395D"/>
    <w:rsid w:val="00133A6C"/>
    <w:rsid w:val="00133D4C"/>
    <w:rsid w:val="00133E77"/>
    <w:rsid w:val="0013410F"/>
    <w:rsid w:val="001343C9"/>
    <w:rsid w:val="00134570"/>
    <w:rsid w:val="00135303"/>
    <w:rsid w:val="00135766"/>
    <w:rsid w:val="00135DC1"/>
    <w:rsid w:val="00135EF2"/>
    <w:rsid w:val="001365F2"/>
    <w:rsid w:val="001372B1"/>
    <w:rsid w:val="001372BF"/>
    <w:rsid w:val="00140581"/>
    <w:rsid w:val="00141368"/>
    <w:rsid w:val="00141788"/>
    <w:rsid w:val="00141914"/>
    <w:rsid w:val="00142CBD"/>
    <w:rsid w:val="0014339A"/>
    <w:rsid w:val="00143FD1"/>
    <w:rsid w:val="001442F1"/>
    <w:rsid w:val="00144847"/>
    <w:rsid w:val="00144D56"/>
    <w:rsid w:val="00145041"/>
    <w:rsid w:val="00145575"/>
    <w:rsid w:val="00145FC9"/>
    <w:rsid w:val="001461C7"/>
    <w:rsid w:val="001464D3"/>
    <w:rsid w:val="0014729C"/>
    <w:rsid w:val="001506D0"/>
    <w:rsid w:val="0015081E"/>
    <w:rsid w:val="00151C55"/>
    <w:rsid w:val="00151C78"/>
    <w:rsid w:val="0015264B"/>
    <w:rsid w:val="0015323C"/>
    <w:rsid w:val="00153FC3"/>
    <w:rsid w:val="00155E16"/>
    <w:rsid w:val="00155F00"/>
    <w:rsid w:val="0015664B"/>
    <w:rsid w:val="00156CD0"/>
    <w:rsid w:val="00156FC2"/>
    <w:rsid w:val="001573DB"/>
    <w:rsid w:val="00157A66"/>
    <w:rsid w:val="00157CE4"/>
    <w:rsid w:val="001602BD"/>
    <w:rsid w:val="001607E6"/>
    <w:rsid w:val="00161EB3"/>
    <w:rsid w:val="0016201F"/>
    <w:rsid w:val="00162591"/>
    <w:rsid w:val="0016310C"/>
    <w:rsid w:val="0016340F"/>
    <w:rsid w:val="00163623"/>
    <w:rsid w:val="001638A3"/>
    <w:rsid w:val="00163C26"/>
    <w:rsid w:val="00163E8C"/>
    <w:rsid w:val="00163FC9"/>
    <w:rsid w:val="0016476E"/>
    <w:rsid w:val="00164CE5"/>
    <w:rsid w:val="0016567B"/>
    <w:rsid w:val="00165AC3"/>
    <w:rsid w:val="00165B5F"/>
    <w:rsid w:val="00165F64"/>
    <w:rsid w:val="00166571"/>
    <w:rsid w:val="00166A0A"/>
    <w:rsid w:val="0016710A"/>
    <w:rsid w:val="00167568"/>
    <w:rsid w:val="0016778A"/>
    <w:rsid w:val="00167C67"/>
    <w:rsid w:val="001702C9"/>
    <w:rsid w:val="00170E81"/>
    <w:rsid w:val="00171A43"/>
    <w:rsid w:val="0017222D"/>
    <w:rsid w:val="00172282"/>
    <w:rsid w:val="001725C6"/>
    <w:rsid w:val="00172E2A"/>
    <w:rsid w:val="0017384B"/>
    <w:rsid w:val="00173CB0"/>
    <w:rsid w:val="001744DC"/>
    <w:rsid w:val="001754E4"/>
    <w:rsid w:val="00175E9D"/>
    <w:rsid w:val="00175EB7"/>
    <w:rsid w:val="00176502"/>
    <w:rsid w:val="00176D98"/>
    <w:rsid w:val="00176E9B"/>
    <w:rsid w:val="00177375"/>
    <w:rsid w:val="00181350"/>
    <w:rsid w:val="00181763"/>
    <w:rsid w:val="001819AC"/>
    <w:rsid w:val="00182808"/>
    <w:rsid w:val="00182F2B"/>
    <w:rsid w:val="001834B9"/>
    <w:rsid w:val="00183FB2"/>
    <w:rsid w:val="0018468A"/>
    <w:rsid w:val="00187517"/>
    <w:rsid w:val="001901A3"/>
    <w:rsid w:val="001902E9"/>
    <w:rsid w:val="00190316"/>
    <w:rsid w:val="00190C23"/>
    <w:rsid w:val="00191778"/>
    <w:rsid w:val="0019232C"/>
    <w:rsid w:val="00192690"/>
    <w:rsid w:val="001930C1"/>
    <w:rsid w:val="00193838"/>
    <w:rsid w:val="00193A99"/>
    <w:rsid w:val="00194744"/>
    <w:rsid w:val="001950E5"/>
    <w:rsid w:val="0019513D"/>
    <w:rsid w:val="00195A0F"/>
    <w:rsid w:val="00195BCA"/>
    <w:rsid w:val="00195DE8"/>
    <w:rsid w:val="0019634E"/>
    <w:rsid w:val="0019683D"/>
    <w:rsid w:val="00196C56"/>
    <w:rsid w:val="001970C2"/>
    <w:rsid w:val="00197456"/>
    <w:rsid w:val="00197AE4"/>
    <w:rsid w:val="001A0DEC"/>
    <w:rsid w:val="001A10AE"/>
    <w:rsid w:val="001A150A"/>
    <w:rsid w:val="001A159C"/>
    <w:rsid w:val="001A171F"/>
    <w:rsid w:val="001A1ADF"/>
    <w:rsid w:val="001A204D"/>
    <w:rsid w:val="001A225C"/>
    <w:rsid w:val="001A2C9C"/>
    <w:rsid w:val="001A6B0D"/>
    <w:rsid w:val="001A7880"/>
    <w:rsid w:val="001A7903"/>
    <w:rsid w:val="001A7C8A"/>
    <w:rsid w:val="001A7F66"/>
    <w:rsid w:val="001B0332"/>
    <w:rsid w:val="001B0879"/>
    <w:rsid w:val="001B0EBC"/>
    <w:rsid w:val="001B16FB"/>
    <w:rsid w:val="001B19BA"/>
    <w:rsid w:val="001B1E48"/>
    <w:rsid w:val="001B2747"/>
    <w:rsid w:val="001B3142"/>
    <w:rsid w:val="001B4AB2"/>
    <w:rsid w:val="001B5599"/>
    <w:rsid w:val="001B5AD6"/>
    <w:rsid w:val="001B6063"/>
    <w:rsid w:val="001B6844"/>
    <w:rsid w:val="001B6D70"/>
    <w:rsid w:val="001B733C"/>
    <w:rsid w:val="001C15E1"/>
    <w:rsid w:val="001C1627"/>
    <w:rsid w:val="001C27DA"/>
    <w:rsid w:val="001C2B7D"/>
    <w:rsid w:val="001C3469"/>
    <w:rsid w:val="001C34CF"/>
    <w:rsid w:val="001C368F"/>
    <w:rsid w:val="001C4043"/>
    <w:rsid w:val="001C4988"/>
    <w:rsid w:val="001C4A0C"/>
    <w:rsid w:val="001C4A99"/>
    <w:rsid w:val="001C5004"/>
    <w:rsid w:val="001C5055"/>
    <w:rsid w:val="001C55EB"/>
    <w:rsid w:val="001C6606"/>
    <w:rsid w:val="001C6A55"/>
    <w:rsid w:val="001C6E07"/>
    <w:rsid w:val="001D0348"/>
    <w:rsid w:val="001D096E"/>
    <w:rsid w:val="001D0D2C"/>
    <w:rsid w:val="001D1203"/>
    <w:rsid w:val="001D1586"/>
    <w:rsid w:val="001D17FB"/>
    <w:rsid w:val="001D22E2"/>
    <w:rsid w:val="001D3826"/>
    <w:rsid w:val="001D3E79"/>
    <w:rsid w:val="001D422D"/>
    <w:rsid w:val="001D42CD"/>
    <w:rsid w:val="001D471E"/>
    <w:rsid w:val="001D4FA2"/>
    <w:rsid w:val="001D6298"/>
    <w:rsid w:val="001D66B8"/>
    <w:rsid w:val="001D66ED"/>
    <w:rsid w:val="001D7287"/>
    <w:rsid w:val="001D72E3"/>
    <w:rsid w:val="001D7752"/>
    <w:rsid w:val="001D7DF9"/>
    <w:rsid w:val="001E1B21"/>
    <w:rsid w:val="001E1C18"/>
    <w:rsid w:val="001E1CB5"/>
    <w:rsid w:val="001E2423"/>
    <w:rsid w:val="001E255B"/>
    <w:rsid w:val="001E27B5"/>
    <w:rsid w:val="001E2FCE"/>
    <w:rsid w:val="001E309B"/>
    <w:rsid w:val="001E3B52"/>
    <w:rsid w:val="001E42AB"/>
    <w:rsid w:val="001E4517"/>
    <w:rsid w:val="001E4968"/>
    <w:rsid w:val="001E5981"/>
    <w:rsid w:val="001E5B2D"/>
    <w:rsid w:val="001E63DC"/>
    <w:rsid w:val="001E67D7"/>
    <w:rsid w:val="001E6818"/>
    <w:rsid w:val="001E7028"/>
    <w:rsid w:val="001E72C6"/>
    <w:rsid w:val="001E7407"/>
    <w:rsid w:val="001E7F6E"/>
    <w:rsid w:val="001F10A2"/>
    <w:rsid w:val="001F1856"/>
    <w:rsid w:val="001F1E1F"/>
    <w:rsid w:val="001F2155"/>
    <w:rsid w:val="001F231F"/>
    <w:rsid w:val="001F268C"/>
    <w:rsid w:val="001F3D31"/>
    <w:rsid w:val="001F411C"/>
    <w:rsid w:val="001F4A76"/>
    <w:rsid w:val="001F4AE8"/>
    <w:rsid w:val="001F5732"/>
    <w:rsid w:val="001F597C"/>
    <w:rsid w:val="001F6D25"/>
    <w:rsid w:val="001F7EF4"/>
    <w:rsid w:val="0020107A"/>
    <w:rsid w:val="00201581"/>
    <w:rsid w:val="0020193C"/>
    <w:rsid w:val="00201954"/>
    <w:rsid w:val="00201B20"/>
    <w:rsid w:val="00201BFC"/>
    <w:rsid w:val="00202022"/>
    <w:rsid w:val="0020273A"/>
    <w:rsid w:val="00202BE6"/>
    <w:rsid w:val="00203278"/>
    <w:rsid w:val="0020329A"/>
    <w:rsid w:val="00203505"/>
    <w:rsid w:val="0020361E"/>
    <w:rsid w:val="00203AE8"/>
    <w:rsid w:val="00206D50"/>
    <w:rsid w:val="002109AA"/>
    <w:rsid w:val="0021184F"/>
    <w:rsid w:val="002125C1"/>
    <w:rsid w:val="00212CEE"/>
    <w:rsid w:val="00213FFB"/>
    <w:rsid w:val="00214264"/>
    <w:rsid w:val="002147AD"/>
    <w:rsid w:val="00214E61"/>
    <w:rsid w:val="00215A71"/>
    <w:rsid w:val="0021611E"/>
    <w:rsid w:val="00217702"/>
    <w:rsid w:val="00220105"/>
    <w:rsid w:val="002205C1"/>
    <w:rsid w:val="002216CF"/>
    <w:rsid w:val="00221CC6"/>
    <w:rsid w:val="00222CD1"/>
    <w:rsid w:val="002237CB"/>
    <w:rsid w:val="00224674"/>
    <w:rsid w:val="002247D2"/>
    <w:rsid w:val="00225090"/>
    <w:rsid w:val="0022512C"/>
    <w:rsid w:val="002267CD"/>
    <w:rsid w:val="00226B23"/>
    <w:rsid w:val="00226CBA"/>
    <w:rsid w:val="00226E43"/>
    <w:rsid w:val="00227A71"/>
    <w:rsid w:val="00230764"/>
    <w:rsid w:val="002310A4"/>
    <w:rsid w:val="00231117"/>
    <w:rsid w:val="00231393"/>
    <w:rsid w:val="0023189D"/>
    <w:rsid w:val="002320C2"/>
    <w:rsid w:val="00232661"/>
    <w:rsid w:val="002356D3"/>
    <w:rsid w:val="002367E2"/>
    <w:rsid w:val="00241069"/>
    <w:rsid w:val="002414DA"/>
    <w:rsid w:val="002419C8"/>
    <w:rsid w:val="00241EDB"/>
    <w:rsid w:val="00242362"/>
    <w:rsid w:val="00243F9B"/>
    <w:rsid w:val="00244537"/>
    <w:rsid w:val="00244CF3"/>
    <w:rsid w:val="0024502F"/>
    <w:rsid w:val="00245923"/>
    <w:rsid w:val="0024600D"/>
    <w:rsid w:val="00246245"/>
    <w:rsid w:val="002468E7"/>
    <w:rsid w:val="002471ED"/>
    <w:rsid w:val="002476DD"/>
    <w:rsid w:val="0025043D"/>
    <w:rsid w:val="00250667"/>
    <w:rsid w:val="00250F53"/>
    <w:rsid w:val="00251E54"/>
    <w:rsid w:val="00252009"/>
    <w:rsid w:val="0025206F"/>
    <w:rsid w:val="00252483"/>
    <w:rsid w:val="00252C90"/>
    <w:rsid w:val="00253EF8"/>
    <w:rsid w:val="00253F94"/>
    <w:rsid w:val="002544C2"/>
    <w:rsid w:val="00254DBA"/>
    <w:rsid w:val="00255803"/>
    <w:rsid w:val="002559A7"/>
    <w:rsid w:val="00256818"/>
    <w:rsid w:val="00256B6F"/>
    <w:rsid w:val="00256D17"/>
    <w:rsid w:val="0025703B"/>
    <w:rsid w:val="00257309"/>
    <w:rsid w:val="00257BB9"/>
    <w:rsid w:val="00260163"/>
    <w:rsid w:val="00260983"/>
    <w:rsid w:val="00260D77"/>
    <w:rsid w:val="00260F5B"/>
    <w:rsid w:val="002615F9"/>
    <w:rsid w:val="00261927"/>
    <w:rsid w:val="002627A1"/>
    <w:rsid w:val="0026326F"/>
    <w:rsid w:val="0026365B"/>
    <w:rsid w:val="0026375A"/>
    <w:rsid w:val="00263BBC"/>
    <w:rsid w:val="0026509A"/>
    <w:rsid w:val="00265B34"/>
    <w:rsid w:val="00265F13"/>
    <w:rsid w:val="00267A2E"/>
    <w:rsid w:val="00267F7A"/>
    <w:rsid w:val="002708E1"/>
    <w:rsid w:val="002717ED"/>
    <w:rsid w:val="00271E85"/>
    <w:rsid w:val="00271EB2"/>
    <w:rsid w:val="00271F28"/>
    <w:rsid w:val="00272545"/>
    <w:rsid w:val="0027354A"/>
    <w:rsid w:val="00273D11"/>
    <w:rsid w:val="002743EF"/>
    <w:rsid w:val="00274876"/>
    <w:rsid w:val="00274EBB"/>
    <w:rsid w:val="00275FB1"/>
    <w:rsid w:val="00276F09"/>
    <w:rsid w:val="0027713E"/>
    <w:rsid w:val="0027722F"/>
    <w:rsid w:val="00277BFD"/>
    <w:rsid w:val="002803DC"/>
    <w:rsid w:val="002809FE"/>
    <w:rsid w:val="00281106"/>
    <w:rsid w:val="002811A2"/>
    <w:rsid w:val="0028224B"/>
    <w:rsid w:val="0028265E"/>
    <w:rsid w:val="00282E5D"/>
    <w:rsid w:val="00282E87"/>
    <w:rsid w:val="002832E9"/>
    <w:rsid w:val="002833B9"/>
    <w:rsid w:val="002835A3"/>
    <w:rsid w:val="002849FB"/>
    <w:rsid w:val="0028507E"/>
    <w:rsid w:val="00285085"/>
    <w:rsid w:val="00285963"/>
    <w:rsid w:val="0028659E"/>
    <w:rsid w:val="00286F46"/>
    <w:rsid w:val="00287068"/>
    <w:rsid w:val="00287C07"/>
    <w:rsid w:val="00290D07"/>
    <w:rsid w:val="0029155F"/>
    <w:rsid w:val="00291FE9"/>
    <w:rsid w:val="00292F04"/>
    <w:rsid w:val="00293D8B"/>
    <w:rsid w:val="00294237"/>
    <w:rsid w:val="00294C58"/>
    <w:rsid w:val="002969C5"/>
    <w:rsid w:val="00296E40"/>
    <w:rsid w:val="002A0B1E"/>
    <w:rsid w:val="002A1201"/>
    <w:rsid w:val="002A17E8"/>
    <w:rsid w:val="002A1C40"/>
    <w:rsid w:val="002A2BB6"/>
    <w:rsid w:val="002A2F70"/>
    <w:rsid w:val="002A34E0"/>
    <w:rsid w:val="002A361F"/>
    <w:rsid w:val="002A3B9B"/>
    <w:rsid w:val="002A3DA9"/>
    <w:rsid w:val="002A3F36"/>
    <w:rsid w:val="002A402D"/>
    <w:rsid w:val="002A4407"/>
    <w:rsid w:val="002A4ABA"/>
    <w:rsid w:val="002A50CC"/>
    <w:rsid w:val="002A5111"/>
    <w:rsid w:val="002A55E7"/>
    <w:rsid w:val="002A6B0C"/>
    <w:rsid w:val="002B0D46"/>
    <w:rsid w:val="002B0DD6"/>
    <w:rsid w:val="002B271A"/>
    <w:rsid w:val="002B277D"/>
    <w:rsid w:val="002B310E"/>
    <w:rsid w:val="002B3CB3"/>
    <w:rsid w:val="002B4321"/>
    <w:rsid w:val="002B47DC"/>
    <w:rsid w:val="002B5C91"/>
    <w:rsid w:val="002B6851"/>
    <w:rsid w:val="002B6A7E"/>
    <w:rsid w:val="002B6C3E"/>
    <w:rsid w:val="002B6C67"/>
    <w:rsid w:val="002B7990"/>
    <w:rsid w:val="002C0688"/>
    <w:rsid w:val="002C0780"/>
    <w:rsid w:val="002C099D"/>
    <w:rsid w:val="002C1128"/>
    <w:rsid w:val="002C1A73"/>
    <w:rsid w:val="002C3144"/>
    <w:rsid w:val="002C3A72"/>
    <w:rsid w:val="002C3E84"/>
    <w:rsid w:val="002C531D"/>
    <w:rsid w:val="002C532C"/>
    <w:rsid w:val="002C5BF4"/>
    <w:rsid w:val="002C6C30"/>
    <w:rsid w:val="002C6C55"/>
    <w:rsid w:val="002C7A0C"/>
    <w:rsid w:val="002C7E80"/>
    <w:rsid w:val="002D00A6"/>
    <w:rsid w:val="002D1582"/>
    <w:rsid w:val="002D1C5E"/>
    <w:rsid w:val="002D1D26"/>
    <w:rsid w:val="002D253D"/>
    <w:rsid w:val="002D280E"/>
    <w:rsid w:val="002D2F34"/>
    <w:rsid w:val="002D4174"/>
    <w:rsid w:val="002D4B2D"/>
    <w:rsid w:val="002D53B8"/>
    <w:rsid w:val="002D5613"/>
    <w:rsid w:val="002D5671"/>
    <w:rsid w:val="002D5731"/>
    <w:rsid w:val="002D5B83"/>
    <w:rsid w:val="002D5DAE"/>
    <w:rsid w:val="002D6195"/>
    <w:rsid w:val="002D63A8"/>
    <w:rsid w:val="002D733C"/>
    <w:rsid w:val="002E0391"/>
    <w:rsid w:val="002E0ECB"/>
    <w:rsid w:val="002E1061"/>
    <w:rsid w:val="002E12C7"/>
    <w:rsid w:val="002E17BF"/>
    <w:rsid w:val="002E1E20"/>
    <w:rsid w:val="002E2136"/>
    <w:rsid w:val="002E2859"/>
    <w:rsid w:val="002E2B1B"/>
    <w:rsid w:val="002E3389"/>
    <w:rsid w:val="002E35E0"/>
    <w:rsid w:val="002E433E"/>
    <w:rsid w:val="002E51D8"/>
    <w:rsid w:val="002E5543"/>
    <w:rsid w:val="002E5B8C"/>
    <w:rsid w:val="002E6000"/>
    <w:rsid w:val="002E6072"/>
    <w:rsid w:val="002E646C"/>
    <w:rsid w:val="002E6598"/>
    <w:rsid w:val="002E6EAD"/>
    <w:rsid w:val="002E72BD"/>
    <w:rsid w:val="002E75DF"/>
    <w:rsid w:val="002E7918"/>
    <w:rsid w:val="002F135B"/>
    <w:rsid w:val="002F1EFB"/>
    <w:rsid w:val="002F300F"/>
    <w:rsid w:val="002F3811"/>
    <w:rsid w:val="002F3F4E"/>
    <w:rsid w:val="002F410C"/>
    <w:rsid w:val="002F6056"/>
    <w:rsid w:val="002F6271"/>
    <w:rsid w:val="002F6CC7"/>
    <w:rsid w:val="002F7D04"/>
    <w:rsid w:val="002F7FF0"/>
    <w:rsid w:val="00300464"/>
    <w:rsid w:val="003009BA"/>
    <w:rsid w:val="00300CFA"/>
    <w:rsid w:val="00301854"/>
    <w:rsid w:val="00304DD4"/>
    <w:rsid w:val="00305602"/>
    <w:rsid w:val="003059F2"/>
    <w:rsid w:val="00305EA9"/>
    <w:rsid w:val="00310193"/>
    <w:rsid w:val="00310659"/>
    <w:rsid w:val="00310FB5"/>
    <w:rsid w:val="00311067"/>
    <w:rsid w:val="00311F11"/>
    <w:rsid w:val="00312D10"/>
    <w:rsid w:val="003147E7"/>
    <w:rsid w:val="003147E8"/>
    <w:rsid w:val="003150F0"/>
    <w:rsid w:val="00315A70"/>
    <w:rsid w:val="0031761D"/>
    <w:rsid w:val="00320A5E"/>
    <w:rsid w:val="0032102E"/>
    <w:rsid w:val="003214B7"/>
    <w:rsid w:val="00321572"/>
    <w:rsid w:val="003215DA"/>
    <w:rsid w:val="0032175A"/>
    <w:rsid w:val="0032373B"/>
    <w:rsid w:val="00324BF6"/>
    <w:rsid w:val="00324C1F"/>
    <w:rsid w:val="00324D15"/>
    <w:rsid w:val="0032533A"/>
    <w:rsid w:val="00325A78"/>
    <w:rsid w:val="00326065"/>
    <w:rsid w:val="003266B8"/>
    <w:rsid w:val="00326C86"/>
    <w:rsid w:val="00326DF8"/>
    <w:rsid w:val="00327213"/>
    <w:rsid w:val="0032780F"/>
    <w:rsid w:val="00327D9F"/>
    <w:rsid w:val="00327E66"/>
    <w:rsid w:val="0033297F"/>
    <w:rsid w:val="00332FD4"/>
    <w:rsid w:val="003335E7"/>
    <w:rsid w:val="003349D5"/>
    <w:rsid w:val="0033580E"/>
    <w:rsid w:val="00335ECD"/>
    <w:rsid w:val="0033635C"/>
    <w:rsid w:val="00336786"/>
    <w:rsid w:val="003367D2"/>
    <w:rsid w:val="00337B2F"/>
    <w:rsid w:val="003409FB"/>
    <w:rsid w:val="003416AD"/>
    <w:rsid w:val="00341706"/>
    <w:rsid w:val="00341C16"/>
    <w:rsid w:val="003424AE"/>
    <w:rsid w:val="00342ECF"/>
    <w:rsid w:val="0034315D"/>
    <w:rsid w:val="00343702"/>
    <w:rsid w:val="00344ADF"/>
    <w:rsid w:val="00345000"/>
    <w:rsid w:val="00345306"/>
    <w:rsid w:val="00346DAE"/>
    <w:rsid w:val="003479F2"/>
    <w:rsid w:val="00347B47"/>
    <w:rsid w:val="0035029F"/>
    <w:rsid w:val="003504E5"/>
    <w:rsid w:val="00350831"/>
    <w:rsid w:val="003510B2"/>
    <w:rsid w:val="00352772"/>
    <w:rsid w:val="00353FC9"/>
    <w:rsid w:val="003542E1"/>
    <w:rsid w:val="003542EC"/>
    <w:rsid w:val="0035448E"/>
    <w:rsid w:val="003564B1"/>
    <w:rsid w:val="00357839"/>
    <w:rsid w:val="003579DA"/>
    <w:rsid w:val="0036020A"/>
    <w:rsid w:val="003603EC"/>
    <w:rsid w:val="0036049B"/>
    <w:rsid w:val="00360A4A"/>
    <w:rsid w:val="00360C3A"/>
    <w:rsid w:val="00360EDE"/>
    <w:rsid w:val="00361C93"/>
    <w:rsid w:val="00362A09"/>
    <w:rsid w:val="00362DC8"/>
    <w:rsid w:val="00362EA6"/>
    <w:rsid w:val="00363A61"/>
    <w:rsid w:val="00363D5E"/>
    <w:rsid w:val="00364013"/>
    <w:rsid w:val="00364C41"/>
    <w:rsid w:val="0036607A"/>
    <w:rsid w:val="0036614F"/>
    <w:rsid w:val="0036625E"/>
    <w:rsid w:val="0036628A"/>
    <w:rsid w:val="00367ED8"/>
    <w:rsid w:val="00371C8E"/>
    <w:rsid w:val="00372405"/>
    <w:rsid w:val="00373161"/>
    <w:rsid w:val="00373E76"/>
    <w:rsid w:val="00374A1D"/>
    <w:rsid w:val="00374E25"/>
    <w:rsid w:val="00376282"/>
    <w:rsid w:val="00377425"/>
    <w:rsid w:val="0037742D"/>
    <w:rsid w:val="0038027D"/>
    <w:rsid w:val="003808CE"/>
    <w:rsid w:val="00380D79"/>
    <w:rsid w:val="00381172"/>
    <w:rsid w:val="00383D63"/>
    <w:rsid w:val="00383DF5"/>
    <w:rsid w:val="003847EC"/>
    <w:rsid w:val="0038586D"/>
    <w:rsid w:val="00385DD6"/>
    <w:rsid w:val="00386366"/>
    <w:rsid w:val="0038731E"/>
    <w:rsid w:val="00387EB8"/>
    <w:rsid w:val="00387F66"/>
    <w:rsid w:val="003900B0"/>
    <w:rsid w:val="003912F6"/>
    <w:rsid w:val="00391A6C"/>
    <w:rsid w:val="0039243A"/>
    <w:rsid w:val="00392C0C"/>
    <w:rsid w:val="00392E76"/>
    <w:rsid w:val="00393415"/>
    <w:rsid w:val="00393719"/>
    <w:rsid w:val="003955BC"/>
    <w:rsid w:val="003957FA"/>
    <w:rsid w:val="00395FAC"/>
    <w:rsid w:val="003973C7"/>
    <w:rsid w:val="003A0475"/>
    <w:rsid w:val="003A04BD"/>
    <w:rsid w:val="003A0560"/>
    <w:rsid w:val="003A0F67"/>
    <w:rsid w:val="003A11B7"/>
    <w:rsid w:val="003A11E3"/>
    <w:rsid w:val="003A1D12"/>
    <w:rsid w:val="003A1D2E"/>
    <w:rsid w:val="003A1DDF"/>
    <w:rsid w:val="003A2684"/>
    <w:rsid w:val="003A2A19"/>
    <w:rsid w:val="003A4117"/>
    <w:rsid w:val="003A4251"/>
    <w:rsid w:val="003A45E8"/>
    <w:rsid w:val="003A465C"/>
    <w:rsid w:val="003A4DB8"/>
    <w:rsid w:val="003A4E9E"/>
    <w:rsid w:val="003A4F76"/>
    <w:rsid w:val="003A591F"/>
    <w:rsid w:val="003A6705"/>
    <w:rsid w:val="003A6816"/>
    <w:rsid w:val="003A7B2E"/>
    <w:rsid w:val="003B0270"/>
    <w:rsid w:val="003B0B6D"/>
    <w:rsid w:val="003B12AF"/>
    <w:rsid w:val="003B1731"/>
    <w:rsid w:val="003B1BF7"/>
    <w:rsid w:val="003B20CA"/>
    <w:rsid w:val="003B2DB6"/>
    <w:rsid w:val="003B2F99"/>
    <w:rsid w:val="003B39C6"/>
    <w:rsid w:val="003B4034"/>
    <w:rsid w:val="003B4082"/>
    <w:rsid w:val="003B457C"/>
    <w:rsid w:val="003B46F3"/>
    <w:rsid w:val="003B4D18"/>
    <w:rsid w:val="003B51A1"/>
    <w:rsid w:val="003B5D1D"/>
    <w:rsid w:val="003B5DF2"/>
    <w:rsid w:val="003B675A"/>
    <w:rsid w:val="003B6E0A"/>
    <w:rsid w:val="003B75E3"/>
    <w:rsid w:val="003B7970"/>
    <w:rsid w:val="003B7980"/>
    <w:rsid w:val="003C00C2"/>
    <w:rsid w:val="003C1155"/>
    <w:rsid w:val="003C1ED3"/>
    <w:rsid w:val="003C24DB"/>
    <w:rsid w:val="003C330A"/>
    <w:rsid w:val="003C43C9"/>
    <w:rsid w:val="003C4A3D"/>
    <w:rsid w:val="003C4BD7"/>
    <w:rsid w:val="003C56D4"/>
    <w:rsid w:val="003C676E"/>
    <w:rsid w:val="003C7207"/>
    <w:rsid w:val="003C79D8"/>
    <w:rsid w:val="003D0184"/>
    <w:rsid w:val="003D09C2"/>
    <w:rsid w:val="003D0A57"/>
    <w:rsid w:val="003D0C16"/>
    <w:rsid w:val="003D116F"/>
    <w:rsid w:val="003D1A88"/>
    <w:rsid w:val="003D1E85"/>
    <w:rsid w:val="003D2458"/>
    <w:rsid w:val="003D2593"/>
    <w:rsid w:val="003D26C4"/>
    <w:rsid w:val="003D2E59"/>
    <w:rsid w:val="003D45C3"/>
    <w:rsid w:val="003D4C60"/>
    <w:rsid w:val="003D536F"/>
    <w:rsid w:val="003D54BB"/>
    <w:rsid w:val="003D553D"/>
    <w:rsid w:val="003D5D21"/>
    <w:rsid w:val="003D6FB2"/>
    <w:rsid w:val="003D7D4E"/>
    <w:rsid w:val="003E0058"/>
    <w:rsid w:val="003E03BD"/>
    <w:rsid w:val="003E0A08"/>
    <w:rsid w:val="003E1AF6"/>
    <w:rsid w:val="003E224F"/>
    <w:rsid w:val="003E3546"/>
    <w:rsid w:val="003E38DC"/>
    <w:rsid w:val="003E3C9A"/>
    <w:rsid w:val="003E3DCF"/>
    <w:rsid w:val="003E4235"/>
    <w:rsid w:val="003E429A"/>
    <w:rsid w:val="003E44FF"/>
    <w:rsid w:val="003E4735"/>
    <w:rsid w:val="003E5986"/>
    <w:rsid w:val="003E6CD0"/>
    <w:rsid w:val="003E6D8E"/>
    <w:rsid w:val="003E6F4B"/>
    <w:rsid w:val="003E755D"/>
    <w:rsid w:val="003F0055"/>
    <w:rsid w:val="003F0410"/>
    <w:rsid w:val="003F0E85"/>
    <w:rsid w:val="003F170D"/>
    <w:rsid w:val="003F19A2"/>
    <w:rsid w:val="003F24C9"/>
    <w:rsid w:val="003F3853"/>
    <w:rsid w:val="003F3CCE"/>
    <w:rsid w:val="003F3FD7"/>
    <w:rsid w:val="003F400E"/>
    <w:rsid w:val="003F4B0E"/>
    <w:rsid w:val="003F4E57"/>
    <w:rsid w:val="003F5DC6"/>
    <w:rsid w:val="003F5E95"/>
    <w:rsid w:val="003F5F3F"/>
    <w:rsid w:val="003F61FB"/>
    <w:rsid w:val="003F6896"/>
    <w:rsid w:val="003F6D4E"/>
    <w:rsid w:val="003F6F73"/>
    <w:rsid w:val="003F7AB7"/>
    <w:rsid w:val="00400230"/>
    <w:rsid w:val="00400825"/>
    <w:rsid w:val="00400899"/>
    <w:rsid w:val="00400A93"/>
    <w:rsid w:val="00402763"/>
    <w:rsid w:val="00402D81"/>
    <w:rsid w:val="00403348"/>
    <w:rsid w:val="0040344D"/>
    <w:rsid w:val="0040381A"/>
    <w:rsid w:val="0040487E"/>
    <w:rsid w:val="00405167"/>
    <w:rsid w:val="00405217"/>
    <w:rsid w:val="004053D8"/>
    <w:rsid w:val="004060A2"/>
    <w:rsid w:val="00406423"/>
    <w:rsid w:val="0040670B"/>
    <w:rsid w:val="0040709A"/>
    <w:rsid w:val="00407530"/>
    <w:rsid w:val="0041070A"/>
    <w:rsid w:val="00410BD7"/>
    <w:rsid w:val="00411572"/>
    <w:rsid w:val="00411AD6"/>
    <w:rsid w:val="00412434"/>
    <w:rsid w:val="00412C52"/>
    <w:rsid w:val="00413BC7"/>
    <w:rsid w:val="004149FD"/>
    <w:rsid w:val="00415891"/>
    <w:rsid w:val="004169DB"/>
    <w:rsid w:val="00416ADD"/>
    <w:rsid w:val="00417201"/>
    <w:rsid w:val="00417B22"/>
    <w:rsid w:val="00420E32"/>
    <w:rsid w:val="00421426"/>
    <w:rsid w:val="00422DA5"/>
    <w:rsid w:val="00423EE9"/>
    <w:rsid w:val="00424260"/>
    <w:rsid w:val="0042486F"/>
    <w:rsid w:val="00424ED3"/>
    <w:rsid w:val="00425D8D"/>
    <w:rsid w:val="00426542"/>
    <w:rsid w:val="00427116"/>
    <w:rsid w:val="00427803"/>
    <w:rsid w:val="00427F8E"/>
    <w:rsid w:val="00430229"/>
    <w:rsid w:val="00430CAB"/>
    <w:rsid w:val="00431431"/>
    <w:rsid w:val="0043184F"/>
    <w:rsid w:val="0043197C"/>
    <w:rsid w:val="00431CB0"/>
    <w:rsid w:val="00431D9A"/>
    <w:rsid w:val="0043200C"/>
    <w:rsid w:val="00432609"/>
    <w:rsid w:val="00432F17"/>
    <w:rsid w:val="004350CB"/>
    <w:rsid w:val="00435708"/>
    <w:rsid w:val="00435861"/>
    <w:rsid w:val="00435B84"/>
    <w:rsid w:val="0043632F"/>
    <w:rsid w:val="004369D9"/>
    <w:rsid w:val="00437A04"/>
    <w:rsid w:val="00437A9E"/>
    <w:rsid w:val="00440C2D"/>
    <w:rsid w:val="00441F2A"/>
    <w:rsid w:val="00442955"/>
    <w:rsid w:val="004438E6"/>
    <w:rsid w:val="00443C8A"/>
    <w:rsid w:val="004446F5"/>
    <w:rsid w:val="0044478C"/>
    <w:rsid w:val="004458CC"/>
    <w:rsid w:val="00445D36"/>
    <w:rsid w:val="004460D3"/>
    <w:rsid w:val="004469F9"/>
    <w:rsid w:val="00446F17"/>
    <w:rsid w:val="00450BFF"/>
    <w:rsid w:val="00451043"/>
    <w:rsid w:val="004518BD"/>
    <w:rsid w:val="004518DA"/>
    <w:rsid w:val="00452077"/>
    <w:rsid w:val="004528A2"/>
    <w:rsid w:val="00453EBA"/>
    <w:rsid w:val="00454566"/>
    <w:rsid w:val="00454C4D"/>
    <w:rsid w:val="004554A2"/>
    <w:rsid w:val="00455747"/>
    <w:rsid w:val="004560A7"/>
    <w:rsid w:val="00456CA7"/>
    <w:rsid w:val="00457094"/>
    <w:rsid w:val="0045776F"/>
    <w:rsid w:val="00457C54"/>
    <w:rsid w:val="0046047D"/>
    <w:rsid w:val="00460C0C"/>
    <w:rsid w:val="00460D8B"/>
    <w:rsid w:val="00461117"/>
    <w:rsid w:val="00461D3F"/>
    <w:rsid w:val="00461F05"/>
    <w:rsid w:val="00462117"/>
    <w:rsid w:val="004628D1"/>
    <w:rsid w:val="004628ED"/>
    <w:rsid w:val="00462FB9"/>
    <w:rsid w:val="00463036"/>
    <w:rsid w:val="00463262"/>
    <w:rsid w:val="0046408E"/>
    <w:rsid w:val="004647EA"/>
    <w:rsid w:val="00464899"/>
    <w:rsid w:val="00464FBE"/>
    <w:rsid w:val="00465CE1"/>
    <w:rsid w:val="0046674B"/>
    <w:rsid w:val="004675D8"/>
    <w:rsid w:val="00467623"/>
    <w:rsid w:val="0047027C"/>
    <w:rsid w:val="00470657"/>
    <w:rsid w:val="004706AB"/>
    <w:rsid w:val="00471A98"/>
    <w:rsid w:val="0047245F"/>
    <w:rsid w:val="00472928"/>
    <w:rsid w:val="00472A8B"/>
    <w:rsid w:val="00474D0A"/>
    <w:rsid w:val="00475099"/>
    <w:rsid w:val="004751A4"/>
    <w:rsid w:val="00475B12"/>
    <w:rsid w:val="00475F95"/>
    <w:rsid w:val="00476482"/>
    <w:rsid w:val="00476C23"/>
    <w:rsid w:val="004774DF"/>
    <w:rsid w:val="0047750C"/>
    <w:rsid w:val="00480C1A"/>
    <w:rsid w:val="00481A0D"/>
    <w:rsid w:val="00481C61"/>
    <w:rsid w:val="004827D8"/>
    <w:rsid w:val="004828C1"/>
    <w:rsid w:val="0048310C"/>
    <w:rsid w:val="004831B0"/>
    <w:rsid w:val="00483470"/>
    <w:rsid w:val="00483D1D"/>
    <w:rsid w:val="00484B87"/>
    <w:rsid w:val="004850AC"/>
    <w:rsid w:val="00485362"/>
    <w:rsid w:val="00485DD8"/>
    <w:rsid w:val="004864AB"/>
    <w:rsid w:val="004904C8"/>
    <w:rsid w:val="00491CFE"/>
    <w:rsid w:val="00492C00"/>
    <w:rsid w:val="00492FE6"/>
    <w:rsid w:val="00493BF5"/>
    <w:rsid w:val="00493DA0"/>
    <w:rsid w:val="00493DB8"/>
    <w:rsid w:val="00493F39"/>
    <w:rsid w:val="00493FAF"/>
    <w:rsid w:val="0049505B"/>
    <w:rsid w:val="00495083"/>
    <w:rsid w:val="0049547D"/>
    <w:rsid w:val="00495A9F"/>
    <w:rsid w:val="00495CDC"/>
    <w:rsid w:val="0049644A"/>
    <w:rsid w:val="00496818"/>
    <w:rsid w:val="0049682C"/>
    <w:rsid w:val="00497052"/>
    <w:rsid w:val="004972B9"/>
    <w:rsid w:val="0049758B"/>
    <w:rsid w:val="004A1A90"/>
    <w:rsid w:val="004A29D7"/>
    <w:rsid w:val="004A2BE1"/>
    <w:rsid w:val="004A2FD2"/>
    <w:rsid w:val="004A3300"/>
    <w:rsid w:val="004A3613"/>
    <w:rsid w:val="004A37EB"/>
    <w:rsid w:val="004A3C63"/>
    <w:rsid w:val="004A3EC8"/>
    <w:rsid w:val="004A3F71"/>
    <w:rsid w:val="004A4237"/>
    <w:rsid w:val="004A551A"/>
    <w:rsid w:val="004A60AD"/>
    <w:rsid w:val="004A662F"/>
    <w:rsid w:val="004A77B3"/>
    <w:rsid w:val="004A7A8E"/>
    <w:rsid w:val="004B033C"/>
    <w:rsid w:val="004B059B"/>
    <w:rsid w:val="004B074B"/>
    <w:rsid w:val="004B197E"/>
    <w:rsid w:val="004B1F70"/>
    <w:rsid w:val="004B36C9"/>
    <w:rsid w:val="004B39CB"/>
    <w:rsid w:val="004B4445"/>
    <w:rsid w:val="004B4662"/>
    <w:rsid w:val="004B4CDA"/>
    <w:rsid w:val="004B53F0"/>
    <w:rsid w:val="004B56B2"/>
    <w:rsid w:val="004B596E"/>
    <w:rsid w:val="004B59F3"/>
    <w:rsid w:val="004B5A36"/>
    <w:rsid w:val="004B5F1C"/>
    <w:rsid w:val="004B655F"/>
    <w:rsid w:val="004B6E16"/>
    <w:rsid w:val="004B7C1C"/>
    <w:rsid w:val="004C0099"/>
    <w:rsid w:val="004C05B6"/>
    <w:rsid w:val="004C0B66"/>
    <w:rsid w:val="004C0D8A"/>
    <w:rsid w:val="004C17D6"/>
    <w:rsid w:val="004C30A9"/>
    <w:rsid w:val="004C32BF"/>
    <w:rsid w:val="004C5040"/>
    <w:rsid w:val="004C5AD8"/>
    <w:rsid w:val="004C6A86"/>
    <w:rsid w:val="004C7581"/>
    <w:rsid w:val="004C79A6"/>
    <w:rsid w:val="004D0373"/>
    <w:rsid w:val="004D1047"/>
    <w:rsid w:val="004D1246"/>
    <w:rsid w:val="004D1D8E"/>
    <w:rsid w:val="004D2E34"/>
    <w:rsid w:val="004D3093"/>
    <w:rsid w:val="004D38CF"/>
    <w:rsid w:val="004D3DD2"/>
    <w:rsid w:val="004D515C"/>
    <w:rsid w:val="004D582B"/>
    <w:rsid w:val="004D5DB5"/>
    <w:rsid w:val="004D69C4"/>
    <w:rsid w:val="004D6B79"/>
    <w:rsid w:val="004D6FEC"/>
    <w:rsid w:val="004D7E17"/>
    <w:rsid w:val="004E02AD"/>
    <w:rsid w:val="004E030F"/>
    <w:rsid w:val="004E0581"/>
    <w:rsid w:val="004E16AA"/>
    <w:rsid w:val="004E345F"/>
    <w:rsid w:val="004E3633"/>
    <w:rsid w:val="004E38FF"/>
    <w:rsid w:val="004E3C1F"/>
    <w:rsid w:val="004E4BAD"/>
    <w:rsid w:val="004E74A5"/>
    <w:rsid w:val="004F0C39"/>
    <w:rsid w:val="004F13F5"/>
    <w:rsid w:val="004F1452"/>
    <w:rsid w:val="004F158C"/>
    <w:rsid w:val="004F2369"/>
    <w:rsid w:val="004F2B01"/>
    <w:rsid w:val="004F2ECA"/>
    <w:rsid w:val="004F3DB6"/>
    <w:rsid w:val="004F4B9C"/>
    <w:rsid w:val="004F4CAD"/>
    <w:rsid w:val="004F541B"/>
    <w:rsid w:val="004F5888"/>
    <w:rsid w:val="004F68CB"/>
    <w:rsid w:val="004F6E6F"/>
    <w:rsid w:val="004F6E80"/>
    <w:rsid w:val="004F78A9"/>
    <w:rsid w:val="005001B4"/>
    <w:rsid w:val="00501284"/>
    <w:rsid w:val="00501C11"/>
    <w:rsid w:val="00502D6B"/>
    <w:rsid w:val="00502F94"/>
    <w:rsid w:val="005036D3"/>
    <w:rsid w:val="00503F01"/>
    <w:rsid w:val="0050425B"/>
    <w:rsid w:val="00504E70"/>
    <w:rsid w:val="0050512A"/>
    <w:rsid w:val="00505C13"/>
    <w:rsid w:val="005068BD"/>
    <w:rsid w:val="005101BA"/>
    <w:rsid w:val="0051030C"/>
    <w:rsid w:val="00510587"/>
    <w:rsid w:val="00513702"/>
    <w:rsid w:val="005158DA"/>
    <w:rsid w:val="00515A4C"/>
    <w:rsid w:val="00515C8A"/>
    <w:rsid w:val="00515E19"/>
    <w:rsid w:val="0051629C"/>
    <w:rsid w:val="00516948"/>
    <w:rsid w:val="00516AFB"/>
    <w:rsid w:val="00517F8D"/>
    <w:rsid w:val="00520326"/>
    <w:rsid w:val="00520D3D"/>
    <w:rsid w:val="00521778"/>
    <w:rsid w:val="00522D2D"/>
    <w:rsid w:val="00523D41"/>
    <w:rsid w:val="005243D9"/>
    <w:rsid w:val="00524B6F"/>
    <w:rsid w:val="00524E41"/>
    <w:rsid w:val="00526EF2"/>
    <w:rsid w:val="00526F16"/>
    <w:rsid w:val="00526F2D"/>
    <w:rsid w:val="0052794C"/>
    <w:rsid w:val="00527C32"/>
    <w:rsid w:val="00527D58"/>
    <w:rsid w:val="0053027B"/>
    <w:rsid w:val="005307C0"/>
    <w:rsid w:val="00530A8B"/>
    <w:rsid w:val="00531DBA"/>
    <w:rsid w:val="00532072"/>
    <w:rsid w:val="005320E1"/>
    <w:rsid w:val="0053257B"/>
    <w:rsid w:val="0053265C"/>
    <w:rsid w:val="0053420C"/>
    <w:rsid w:val="005347D9"/>
    <w:rsid w:val="00535CC4"/>
    <w:rsid w:val="00536388"/>
    <w:rsid w:val="00536B3D"/>
    <w:rsid w:val="00537AE6"/>
    <w:rsid w:val="005412C7"/>
    <w:rsid w:val="00541FD6"/>
    <w:rsid w:val="00542A1F"/>
    <w:rsid w:val="00542CD6"/>
    <w:rsid w:val="00543F64"/>
    <w:rsid w:val="00544BB2"/>
    <w:rsid w:val="005450F3"/>
    <w:rsid w:val="00545951"/>
    <w:rsid w:val="00545C7E"/>
    <w:rsid w:val="00550CB4"/>
    <w:rsid w:val="00551680"/>
    <w:rsid w:val="005516B4"/>
    <w:rsid w:val="00551706"/>
    <w:rsid w:val="00551AA2"/>
    <w:rsid w:val="00551DFD"/>
    <w:rsid w:val="0055255F"/>
    <w:rsid w:val="005527BB"/>
    <w:rsid w:val="00552933"/>
    <w:rsid w:val="0055400C"/>
    <w:rsid w:val="005545B3"/>
    <w:rsid w:val="00554CF2"/>
    <w:rsid w:val="0055571C"/>
    <w:rsid w:val="00555BBE"/>
    <w:rsid w:val="005568B2"/>
    <w:rsid w:val="00556907"/>
    <w:rsid w:val="00556CD9"/>
    <w:rsid w:val="00556D12"/>
    <w:rsid w:val="00557161"/>
    <w:rsid w:val="00557446"/>
    <w:rsid w:val="00560639"/>
    <w:rsid w:val="00560C13"/>
    <w:rsid w:val="005618F5"/>
    <w:rsid w:val="00561E64"/>
    <w:rsid w:val="00562021"/>
    <w:rsid w:val="00562FF1"/>
    <w:rsid w:val="00563540"/>
    <w:rsid w:val="00563D1C"/>
    <w:rsid w:val="0056485B"/>
    <w:rsid w:val="00564995"/>
    <w:rsid w:val="00564A25"/>
    <w:rsid w:val="00565292"/>
    <w:rsid w:val="00566C18"/>
    <w:rsid w:val="0056734D"/>
    <w:rsid w:val="00567BD8"/>
    <w:rsid w:val="005706B8"/>
    <w:rsid w:val="005707E5"/>
    <w:rsid w:val="00570C78"/>
    <w:rsid w:val="005718B3"/>
    <w:rsid w:val="00572175"/>
    <w:rsid w:val="00572304"/>
    <w:rsid w:val="00573283"/>
    <w:rsid w:val="0057356C"/>
    <w:rsid w:val="00573B16"/>
    <w:rsid w:val="00574736"/>
    <w:rsid w:val="00575237"/>
    <w:rsid w:val="005759AD"/>
    <w:rsid w:val="00575C40"/>
    <w:rsid w:val="00575F85"/>
    <w:rsid w:val="0057653A"/>
    <w:rsid w:val="00576AFB"/>
    <w:rsid w:val="00580678"/>
    <w:rsid w:val="0058091F"/>
    <w:rsid w:val="005818CE"/>
    <w:rsid w:val="005819F0"/>
    <w:rsid w:val="00581FEE"/>
    <w:rsid w:val="00582A59"/>
    <w:rsid w:val="00582B54"/>
    <w:rsid w:val="005834F6"/>
    <w:rsid w:val="0058474C"/>
    <w:rsid w:val="00584BD8"/>
    <w:rsid w:val="00584D98"/>
    <w:rsid w:val="00585FA0"/>
    <w:rsid w:val="00586585"/>
    <w:rsid w:val="00586E9C"/>
    <w:rsid w:val="005873B6"/>
    <w:rsid w:val="00587847"/>
    <w:rsid w:val="00587F53"/>
    <w:rsid w:val="00590070"/>
    <w:rsid w:val="00590741"/>
    <w:rsid w:val="00591CDD"/>
    <w:rsid w:val="00591E8C"/>
    <w:rsid w:val="00592868"/>
    <w:rsid w:val="00592B1E"/>
    <w:rsid w:val="00593F60"/>
    <w:rsid w:val="00593FA4"/>
    <w:rsid w:val="0059497C"/>
    <w:rsid w:val="00594F1F"/>
    <w:rsid w:val="0059500A"/>
    <w:rsid w:val="00595671"/>
    <w:rsid w:val="00595745"/>
    <w:rsid w:val="00595809"/>
    <w:rsid w:val="00596835"/>
    <w:rsid w:val="00597B35"/>
    <w:rsid w:val="005A08FD"/>
    <w:rsid w:val="005A33C6"/>
    <w:rsid w:val="005A3889"/>
    <w:rsid w:val="005A3B48"/>
    <w:rsid w:val="005A4437"/>
    <w:rsid w:val="005A57FF"/>
    <w:rsid w:val="005A63D1"/>
    <w:rsid w:val="005A66F0"/>
    <w:rsid w:val="005A71C8"/>
    <w:rsid w:val="005A73EF"/>
    <w:rsid w:val="005A7994"/>
    <w:rsid w:val="005A7C22"/>
    <w:rsid w:val="005A7E6E"/>
    <w:rsid w:val="005B0305"/>
    <w:rsid w:val="005B08EC"/>
    <w:rsid w:val="005B1578"/>
    <w:rsid w:val="005B35D3"/>
    <w:rsid w:val="005B3BF0"/>
    <w:rsid w:val="005B44C9"/>
    <w:rsid w:val="005B64A2"/>
    <w:rsid w:val="005B6B58"/>
    <w:rsid w:val="005B702D"/>
    <w:rsid w:val="005B7172"/>
    <w:rsid w:val="005B73B4"/>
    <w:rsid w:val="005C0636"/>
    <w:rsid w:val="005C072F"/>
    <w:rsid w:val="005C0822"/>
    <w:rsid w:val="005C0CD1"/>
    <w:rsid w:val="005C120F"/>
    <w:rsid w:val="005C2B40"/>
    <w:rsid w:val="005C3BEA"/>
    <w:rsid w:val="005C659A"/>
    <w:rsid w:val="005C6732"/>
    <w:rsid w:val="005C7754"/>
    <w:rsid w:val="005C783A"/>
    <w:rsid w:val="005D0451"/>
    <w:rsid w:val="005D10AB"/>
    <w:rsid w:val="005D13A7"/>
    <w:rsid w:val="005D15F1"/>
    <w:rsid w:val="005D1639"/>
    <w:rsid w:val="005D17A6"/>
    <w:rsid w:val="005D1E0B"/>
    <w:rsid w:val="005D2345"/>
    <w:rsid w:val="005D2823"/>
    <w:rsid w:val="005D3464"/>
    <w:rsid w:val="005D37E8"/>
    <w:rsid w:val="005D37F2"/>
    <w:rsid w:val="005D406C"/>
    <w:rsid w:val="005D4561"/>
    <w:rsid w:val="005D5A1D"/>
    <w:rsid w:val="005D5ED9"/>
    <w:rsid w:val="005D60DE"/>
    <w:rsid w:val="005D67DF"/>
    <w:rsid w:val="005D6858"/>
    <w:rsid w:val="005D6B4D"/>
    <w:rsid w:val="005D735F"/>
    <w:rsid w:val="005E004C"/>
    <w:rsid w:val="005E0886"/>
    <w:rsid w:val="005E1134"/>
    <w:rsid w:val="005E1500"/>
    <w:rsid w:val="005E164B"/>
    <w:rsid w:val="005E1E63"/>
    <w:rsid w:val="005E37D4"/>
    <w:rsid w:val="005E3D45"/>
    <w:rsid w:val="005E44C6"/>
    <w:rsid w:val="005E45A1"/>
    <w:rsid w:val="005E45FF"/>
    <w:rsid w:val="005E4650"/>
    <w:rsid w:val="005E5682"/>
    <w:rsid w:val="005E6196"/>
    <w:rsid w:val="005E64B4"/>
    <w:rsid w:val="005E7164"/>
    <w:rsid w:val="005E7C73"/>
    <w:rsid w:val="005E7E88"/>
    <w:rsid w:val="005E7F62"/>
    <w:rsid w:val="005F086F"/>
    <w:rsid w:val="005F2234"/>
    <w:rsid w:val="005F224E"/>
    <w:rsid w:val="005F2492"/>
    <w:rsid w:val="005F2A1E"/>
    <w:rsid w:val="005F3824"/>
    <w:rsid w:val="005F3AD2"/>
    <w:rsid w:val="005F3C86"/>
    <w:rsid w:val="005F4197"/>
    <w:rsid w:val="005F488B"/>
    <w:rsid w:val="005F533E"/>
    <w:rsid w:val="005F5BBE"/>
    <w:rsid w:val="005F6C6D"/>
    <w:rsid w:val="005F7023"/>
    <w:rsid w:val="005F7DD8"/>
    <w:rsid w:val="00600791"/>
    <w:rsid w:val="0060084E"/>
    <w:rsid w:val="006031DF"/>
    <w:rsid w:val="0060540B"/>
    <w:rsid w:val="00605DAF"/>
    <w:rsid w:val="0060639C"/>
    <w:rsid w:val="006063C4"/>
    <w:rsid w:val="00607058"/>
    <w:rsid w:val="006075B6"/>
    <w:rsid w:val="00607C2D"/>
    <w:rsid w:val="00610602"/>
    <w:rsid w:val="00610DE5"/>
    <w:rsid w:val="0061163A"/>
    <w:rsid w:val="00611D55"/>
    <w:rsid w:val="0061242E"/>
    <w:rsid w:val="0061272C"/>
    <w:rsid w:val="006129AF"/>
    <w:rsid w:val="00612B37"/>
    <w:rsid w:val="00612C11"/>
    <w:rsid w:val="00612D6F"/>
    <w:rsid w:val="00614156"/>
    <w:rsid w:val="0061426C"/>
    <w:rsid w:val="006151B8"/>
    <w:rsid w:val="00615F3C"/>
    <w:rsid w:val="00616A93"/>
    <w:rsid w:val="00616D33"/>
    <w:rsid w:val="006202F1"/>
    <w:rsid w:val="00620819"/>
    <w:rsid w:val="00620F90"/>
    <w:rsid w:val="006240C7"/>
    <w:rsid w:val="00624325"/>
    <w:rsid w:val="006246AD"/>
    <w:rsid w:val="006251A1"/>
    <w:rsid w:val="0062540E"/>
    <w:rsid w:val="006256A6"/>
    <w:rsid w:val="00626303"/>
    <w:rsid w:val="006271C9"/>
    <w:rsid w:val="00627BA1"/>
    <w:rsid w:val="0063010A"/>
    <w:rsid w:val="00630ED2"/>
    <w:rsid w:val="00631732"/>
    <w:rsid w:val="006319B7"/>
    <w:rsid w:val="00631E5B"/>
    <w:rsid w:val="00632AD1"/>
    <w:rsid w:val="00632F30"/>
    <w:rsid w:val="006331D0"/>
    <w:rsid w:val="00633551"/>
    <w:rsid w:val="00633889"/>
    <w:rsid w:val="006340C6"/>
    <w:rsid w:val="006343D2"/>
    <w:rsid w:val="00634E5E"/>
    <w:rsid w:val="00634FCF"/>
    <w:rsid w:val="006355F6"/>
    <w:rsid w:val="006362E2"/>
    <w:rsid w:val="006364BD"/>
    <w:rsid w:val="00636712"/>
    <w:rsid w:val="00636BF3"/>
    <w:rsid w:val="00637273"/>
    <w:rsid w:val="00637A0C"/>
    <w:rsid w:val="00640B2A"/>
    <w:rsid w:val="00640C82"/>
    <w:rsid w:val="00641013"/>
    <w:rsid w:val="00641D11"/>
    <w:rsid w:val="00641FCC"/>
    <w:rsid w:val="0064211D"/>
    <w:rsid w:val="0064230E"/>
    <w:rsid w:val="00642AAA"/>
    <w:rsid w:val="00643636"/>
    <w:rsid w:val="0064586C"/>
    <w:rsid w:val="0065025A"/>
    <w:rsid w:val="0065091C"/>
    <w:rsid w:val="00650B1C"/>
    <w:rsid w:val="00650B53"/>
    <w:rsid w:val="00650CD5"/>
    <w:rsid w:val="00650CD8"/>
    <w:rsid w:val="00650CFE"/>
    <w:rsid w:val="00651CFE"/>
    <w:rsid w:val="006522FF"/>
    <w:rsid w:val="0065258C"/>
    <w:rsid w:val="0065297F"/>
    <w:rsid w:val="00653740"/>
    <w:rsid w:val="0065383B"/>
    <w:rsid w:val="0065389D"/>
    <w:rsid w:val="006547A6"/>
    <w:rsid w:val="006547E9"/>
    <w:rsid w:val="0065494F"/>
    <w:rsid w:val="006557E1"/>
    <w:rsid w:val="00656859"/>
    <w:rsid w:val="00657807"/>
    <w:rsid w:val="00657873"/>
    <w:rsid w:val="0066040D"/>
    <w:rsid w:val="0066142E"/>
    <w:rsid w:val="00661A5C"/>
    <w:rsid w:val="006632B8"/>
    <w:rsid w:val="0066533E"/>
    <w:rsid w:val="006656BD"/>
    <w:rsid w:val="00665A8E"/>
    <w:rsid w:val="00665ECC"/>
    <w:rsid w:val="00666CA1"/>
    <w:rsid w:val="00666CD4"/>
    <w:rsid w:val="00667579"/>
    <w:rsid w:val="00667620"/>
    <w:rsid w:val="00670842"/>
    <w:rsid w:val="00670922"/>
    <w:rsid w:val="006709C5"/>
    <w:rsid w:val="00671194"/>
    <w:rsid w:val="00671CFF"/>
    <w:rsid w:val="0067280C"/>
    <w:rsid w:val="00672960"/>
    <w:rsid w:val="0067296C"/>
    <w:rsid w:val="006729C9"/>
    <w:rsid w:val="00673707"/>
    <w:rsid w:val="00673880"/>
    <w:rsid w:val="00674083"/>
    <w:rsid w:val="0067415E"/>
    <w:rsid w:val="00674B89"/>
    <w:rsid w:val="00674C55"/>
    <w:rsid w:val="00674FE8"/>
    <w:rsid w:val="00675B27"/>
    <w:rsid w:val="00676B4E"/>
    <w:rsid w:val="00677505"/>
    <w:rsid w:val="006777F2"/>
    <w:rsid w:val="0067788F"/>
    <w:rsid w:val="00680742"/>
    <w:rsid w:val="006809E7"/>
    <w:rsid w:val="006817FB"/>
    <w:rsid w:val="00681919"/>
    <w:rsid w:val="00682121"/>
    <w:rsid w:val="00682EF9"/>
    <w:rsid w:val="00682F5C"/>
    <w:rsid w:val="00683164"/>
    <w:rsid w:val="00683503"/>
    <w:rsid w:val="0068384E"/>
    <w:rsid w:val="0068384F"/>
    <w:rsid w:val="0068389F"/>
    <w:rsid w:val="00683A24"/>
    <w:rsid w:val="006848F4"/>
    <w:rsid w:val="00684F36"/>
    <w:rsid w:val="00685F37"/>
    <w:rsid w:val="006860FB"/>
    <w:rsid w:val="00686C1D"/>
    <w:rsid w:val="00686E52"/>
    <w:rsid w:val="0068700A"/>
    <w:rsid w:val="0068766A"/>
    <w:rsid w:val="0069116D"/>
    <w:rsid w:val="006913C6"/>
    <w:rsid w:val="006921EA"/>
    <w:rsid w:val="00692699"/>
    <w:rsid w:val="00692BDE"/>
    <w:rsid w:val="0069318D"/>
    <w:rsid w:val="0069354D"/>
    <w:rsid w:val="00693664"/>
    <w:rsid w:val="0069378F"/>
    <w:rsid w:val="006943CC"/>
    <w:rsid w:val="006951D9"/>
    <w:rsid w:val="00695A5C"/>
    <w:rsid w:val="00695AC3"/>
    <w:rsid w:val="00696C42"/>
    <w:rsid w:val="00696FBD"/>
    <w:rsid w:val="0069768F"/>
    <w:rsid w:val="006979F5"/>
    <w:rsid w:val="006A03F4"/>
    <w:rsid w:val="006A1582"/>
    <w:rsid w:val="006A16AA"/>
    <w:rsid w:val="006A26DD"/>
    <w:rsid w:val="006A30E6"/>
    <w:rsid w:val="006A45DE"/>
    <w:rsid w:val="006A4793"/>
    <w:rsid w:val="006A4BFE"/>
    <w:rsid w:val="006A4C25"/>
    <w:rsid w:val="006A5AFE"/>
    <w:rsid w:val="006A6772"/>
    <w:rsid w:val="006A7612"/>
    <w:rsid w:val="006A7F8D"/>
    <w:rsid w:val="006B0BB1"/>
    <w:rsid w:val="006B150F"/>
    <w:rsid w:val="006B244C"/>
    <w:rsid w:val="006B2DA7"/>
    <w:rsid w:val="006B37F4"/>
    <w:rsid w:val="006B3833"/>
    <w:rsid w:val="006B39C6"/>
    <w:rsid w:val="006B3F8C"/>
    <w:rsid w:val="006B3FC8"/>
    <w:rsid w:val="006B49D2"/>
    <w:rsid w:val="006B5208"/>
    <w:rsid w:val="006B588F"/>
    <w:rsid w:val="006B5944"/>
    <w:rsid w:val="006B6D57"/>
    <w:rsid w:val="006C09EC"/>
    <w:rsid w:val="006C0FCD"/>
    <w:rsid w:val="006C158C"/>
    <w:rsid w:val="006C20A6"/>
    <w:rsid w:val="006C263A"/>
    <w:rsid w:val="006C3941"/>
    <w:rsid w:val="006C4186"/>
    <w:rsid w:val="006C429D"/>
    <w:rsid w:val="006C5835"/>
    <w:rsid w:val="006C642A"/>
    <w:rsid w:val="006C6441"/>
    <w:rsid w:val="006C7027"/>
    <w:rsid w:val="006C745F"/>
    <w:rsid w:val="006C77A2"/>
    <w:rsid w:val="006D09F1"/>
    <w:rsid w:val="006D2024"/>
    <w:rsid w:val="006D22D6"/>
    <w:rsid w:val="006D25B9"/>
    <w:rsid w:val="006D27BA"/>
    <w:rsid w:val="006D3FA0"/>
    <w:rsid w:val="006D457B"/>
    <w:rsid w:val="006D4B85"/>
    <w:rsid w:val="006D4E6D"/>
    <w:rsid w:val="006D53C5"/>
    <w:rsid w:val="006D5603"/>
    <w:rsid w:val="006D5CC9"/>
    <w:rsid w:val="006D5E83"/>
    <w:rsid w:val="006D6032"/>
    <w:rsid w:val="006D6069"/>
    <w:rsid w:val="006D61B5"/>
    <w:rsid w:val="006D643A"/>
    <w:rsid w:val="006D68D1"/>
    <w:rsid w:val="006D75E3"/>
    <w:rsid w:val="006D7796"/>
    <w:rsid w:val="006E0040"/>
    <w:rsid w:val="006E00BC"/>
    <w:rsid w:val="006E0521"/>
    <w:rsid w:val="006E0CE1"/>
    <w:rsid w:val="006E237C"/>
    <w:rsid w:val="006E3AC5"/>
    <w:rsid w:val="006E506D"/>
    <w:rsid w:val="006E51AA"/>
    <w:rsid w:val="006E52E8"/>
    <w:rsid w:val="006E572A"/>
    <w:rsid w:val="006E582B"/>
    <w:rsid w:val="006E5E02"/>
    <w:rsid w:val="006E6F2D"/>
    <w:rsid w:val="006E7998"/>
    <w:rsid w:val="006E7D1E"/>
    <w:rsid w:val="006F1373"/>
    <w:rsid w:val="006F19A9"/>
    <w:rsid w:val="006F1BAB"/>
    <w:rsid w:val="006F204A"/>
    <w:rsid w:val="006F26B5"/>
    <w:rsid w:val="006F292D"/>
    <w:rsid w:val="006F2B8A"/>
    <w:rsid w:val="006F2BCA"/>
    <w:rsid w:val="006F37DA"/>
    <w:rsid w:val="006F3D25"/>
    <w:rsid w:val="006F47EB"/>
    <w:rsid w:val="006F5304"/>
    <w:rsid w:val="006F5689"/>
    <w:rsid w:val="006F5CC6"/>
    <w:rsid w:val="006F65BA"/>
    <w:rsid w:val="006F6DF7"/>
    <w:rsid w:val="006F7043"/>
    <w:rsid w:val="006F75BB"/>
    <w:rsid w:val="00700139"/>
    <w:rsid w:val="00700352"/>
    <w:rsid w:val="007005F6"/>
    <w:rsid w:val="00700A0D"/>
    <w:rsid w:val="00700D9D"/>
    <w:rsid w:val="00701C11"/>
    <w:rsid w:val="00701E85"/>
    <w:rsid w:val="0070275B"/>
    <w:rsid w:val="0070456D"/>
    <w:rsid w:val="00704E20"/>
    <w:rsid w:val="007051C4"/>
    <w:rsid w:val="0070594B"/>
    <w:rsid w:val="00705D30"/>
    <w:rsid w:val="00705DEE"/>
    <w:rsid w:val="00706D26"/>
    <w:rsid w:val="00707A10"/>
    <w:rsid w:val="00707C8C"/>
    <w:rsid w:val="0071002A"/>
    <w:rsid w:val="0071016A"/>
    <w:rsid w:val="007101F9"/>
    <w:rsid w:val="00710ABC"/>
    <w:rsid w:val="00711099"/>
    <w:rsid w:val="0071109D"/>
    <w:rsid w:val="00712EDA"/>
    <w:rsid w:val="00713153"/>
    <w:rsid w:val="007145F3"/>
    <w:rsid w:val="00714D09"/>
    <w:rsid w:val="007150EE"/>
    <w:rsid w:val="0071535F"/>
    <w:rsid w:val="0071576D"/>
    <w:rsid w:val="00715AC5"/>
    <w:rsid w:val="007161DD"/>
    <w:rsid w:val="007201D1"/>
    <w:rsid w:val="00720267"/>
    <w:rsid w:val="0072156E"/>
    <w:rsid w:val="00722CDD"/>
    <w:rsid w:val="00723366"/>
    <w:rsid w:val="007233F9"/>
    <w:rsid w:val="007251F8"/>
    <w:rsid w:val="0072589B"/>
    <w:rsid w:val="007259AE"/>
    <w:rsid w:val="00725DAB"/>
    <w:rsid w:val="00726144"/>
    <w:rsid w:val="00726DD3"/>
    <w:rsid w:val="0072709B"/>
    <w:rsid w:val="0073026F"/>
    <w:rsid w:val="00730BE7"/>
    <w:rsid w:val="007312F7"/>
    <w:rsid w:val="0073135B"/>
    <w:rsid w:val="007313F1"/>
    <w:rsid w:val="007314DB"/>
    <w:rsid w:val="00731783"/>
    <w:rsid w:val="00731E37"/>
    <w:rsid w:val="00732D51"/>
    <w:rsid w:val="007338F4"/>
    <w:rsid w:val="00733A7A"/>
    <w:rsid w:val="00734CCD"/>
    <w:rsid w:val="00734DBD"/>
    <w:rsid w:val="007362AE"/>
    <w:rsid w:val="00736C17"/>
    <w:rsid w:val="00737F92"/>
    <w:rsid w:val="0074029C"/>
    <w:rsid w:val="007408F0"/>
    <w:rsid w:val="007409C3"/>
    <w:rsid w:val="007416A4"/>
    <w:rsid w:val="007417BA"/>
    <w:rsid w:val="00741AE0"/>
    <w:rsid w:val="0074243C"/>
    <w:rsid w:val="00742BD6"/>
    <w:rsid w:val="0074372D"/>
    <w:rsid w:val="00744469"/>
    <w:rsid w:val="00745405"/>
    <w:rsid w:val="00745976"/>
    <w:rsid w:val="00745BE2"/>
    <w:rsid w:val="00745F43"/>
    <w:rsid w:val="00746906"/>
    <w:rsid w:val="00746BB1"/>
    <w:rsid w:val="00746D8F"/>
    <w:rsid w:val="00747696"/>
    <w:rsid w:val="0075103B"/>
    <w:rsid w:val="00751326"/>
    <w:rsid w:val="00751D34"/>
    <w:rsid w:val="00752BAC"/>
    <w:rsid w:val="00752C2B"/>
    <w:rsid w:val="00752DA5"/>
    <w:rsid w:val="0075360E"/>
    <w:rsid w:val="007536EA"/>
    <w:rsid w:val="00753C0B"/>
    <w:rsid w:val="00753D58"/>
    <w:rsid w:val="007548A0"/>
    <w:rsid w:val="007557C7"/>
    <w:rsid w:val="00756701"/>
    <w:rsid w:val="0075690A"/>
    <w:rsid w:val="007571F9"/>
    <w:rsid w:val="007575D4"/>
    <w:rsid w:val="00760233"/>
    <w:rsid w:val="00761299"/>
    <w:rsid w:val="0076204F"/>
    <w:rsid w:val="00762547"/>
    <w:rsid w:val="00762583"/>
    <w:rsid w:val="00762604"/>
    <w:rsid w:val="00762F16"/>
    <w:rsid w:val="00763710"/>
    <w:rsid w:val="007642D5"/>
    <w:rsid w:val="007644D1"/>
    <w:rsid w:val="007645D7"/>
    <w:rsid w:val="00765576"/>
    <w:rsid w:val="007662DD"/>
    <w:rsid w:val="00767348"/>
    <w:rsid w:val="00767A49"/>
    <w:rsid w:val="00770694"/>
    <w:rsid w:val="007714BE"/>
    <w:rsid w:val="0077197F"/>
    <w:rsid w:val="007719F8"/>
    <w:rsid w:val="00771CAE"/>
    <w:rsid w:val="00771DFC"/>
    <w:rsid w:val="007724EE"/>
    <w:rsid w:val="00772FCA"/>
    <w:rsid w:val="00773663"/>
    <w:rsid w:val="007742A2"/>
    <w:rsid w:val="0077471A"/>
    <w:rsid w:val="0077517F"/>
    <w:rsid w:val="00775466"/>
    <w:rsid w:val="007754EF"/>
    <w:rsid w:val="007754FC"/>
    <w:rsid w:val="00775686"/>
    <w:rsid w:val="00776633"/>
    <w:rsid w:val="007773C5"/>
    <w:rsid w:val="00777B1E"/>
    <w:rsid w:val="0078014D"/>
    <w:rsid w:val="00780505"/>
    <w:rsid w:val="00780686"/>
    <w:rsid w:val="007806E8"/>
    <w:rsid w:val="00780F6C"/>
    <w:rsid w:val="00781977"/>
    <w:rsid w:val="0078230C"/>
    <w:rsid w:val="0078626B"/>
    <w:rsid w:val="007863BA"/>
    <w:rsid w:val="00786D3A"/>
    <w:rsid w:val="00787F1E"/>
    <w:rsid w:val="00790A25"/>
    <w:rsid w:val="007910BD"/>
    <w:rsid w:val="007912B9"/>
    <w:rsid w:val="0079165A"/>
    <w:rsid w:val="00791779"/>
    <w:rsid w:val="0079248B"/>
    <w:rsid w:val="0079263B"/>
    <w:rsid w:val="00794A33"/>
    <w:rsid w:val="00794ADB"/>
    <w:rsid w:val="00794DC2"/>
    <w:rsid w:val="0079598A"/>
    <w:rsid w:val="00797932"/>
    <w:rsid w:val="007A05E6"/>
    <w:rsid w:val="007A0857"/>
    <w:rsid w:val="007A0C46"/>
    <w:rsid w:val="007A0FA8"/>
    <w:rsid w:val="007A1777"/>
    <w:rsid w:val="007A3BCF"/>
    <w:rsid w:val="007A3CC0"/>
    <w:rsid w:val="007A3FB6"/>
    <w:rsid w:val="007A4817"/>
    <w:rsid w:val="007A5186"/>
    <w:rsid w:val="007A5D0F"/>
    <w:rsid w:val="007A5DE3"/>
    <w:rsid w:val="007A782D"/>
    <w:rsid w:val="007B0106"/>
    <w:rsid w:val="007B0B75"/>
    <w:rsid w:val="007B0D7D"/>
    <w:rsid w:val="007B11F6"/>
    <w:rsid w:val="007B1447"/>
    <w:rsid w:val="007B23A6"/>
    <w:rsid w:val="007B327B"/>
    <w:rsid w:val="007B374A"/>
    <w:rsid w:val="007B37FC"/>
    <w:rsid w:val="007B3843"/>
    <w:rsid w:val="007B3AFC"/>
    <w:rsid w:val="007B4ECA"/>
    <w:rsid w:val="007B500D"/>
    <w:rsid w:val="007B57AC"/>
    <w:rsid w:val="007B5B18"/>
    <w:rsid w:val="007B5F80"/>
    <w:rsid w:val="007B636E"/>
    <w:rsid w:val="007B6813"/>
    <w:rsid w:val="007B6DC6"/>
    <w:rsid w:val="007B7CCE"/>
    <w:rsid w:val="007C0673"/>
    <w:rsid w:val="007C10CD"/>
    <w:rsid w:val="007C11C1"/>
    <w:rsid w:val="007C14CB"/>
    <w:rsid w:val="007C18D7"/>
    <w:rsid w:val="007C490E"/>
    <w:rsid w:val="007C4C45"/>
    <w:rsid w:val="007C6E8F"/>
    <w:rsid w:val="007C72C3"/>
    <w:rsid w:val="007C73B2"/>
    <w:rsid w:val="007D03D0"/>
    <w:rsid w:val="007D1825"/>
    <w:rsid w:val="007D1BF8"/>
    <w:rsid w:val="007D2375"/>
    <w:rsid w:val="007D23C4"/>
    <w:rsid w:val="007D3049"/>
    <w:rsid w:val="007D3297"/>
    <w:rsid w:val="007D347B"/>
    <w:rsid w:val="007D37BA"/>
    <w:rsid w:val="007D37C6"/>
    <w:rsid w:val="007D37EA"/>
    <w:rsid w:val="007D3C87"/>
    <w:rsid w:val="007D3CBF"/>
    <w:rsid w:val="007D411D"/>
    <w:rsid w:val="007D4582"/>
    <w:rsid w:val="007D4865"/>
    <w:rsid w:val="007D4911"/>
    <w:rsid w:val="007D4F04"/>
    <w:rsid w:val="007D616C"/>
    <w:rsid w:val="007D6AEC"/>
    <w:rsid w:val="007D6B12"/>
    <w:rsid w:val="007E0680"/>
    <w:rsid w:val="007E10E7"/>
    <w:rsid w:val="007E13F3"/>
    <w:rsid w:val="007E1D53"/>
    <w:rsid w:val="007E2D6B"/>
    <w:rsid w:val="007E49BC"/>
    <w:rsid w:val="007E4D43"/>
    <w:rsid w:val="007E534A"/>
    <w:rsid w:val="007E5B94"/>
    <w:rsid w:val="007E61E5"/>
    <w:rsid w:val="007E63ED"/>
    <w:rsid w:val="007E783E"/>
    <w:rsid w:val="007F0166"/>
    <w:rsid w:val="007F0819"/>
    <w:rsid w:val="007F0F63"/>
    <w:rsid w:val="007F12AE"/>
    <w:rsid w:val="007F17FF"/>
    <w:rsid w:val="007F199C"/>
    <w:rsid w:val="007F19E1"/>
    <w:rsid w:val="007F21FB"/>
    <w:rsid w:val="007F3439"/>
    <w:rsid w:val="007F346F"/>
    <w:rsid w:val="007F35CD"/>
    <w:rsid w:val="007F411C"/>
    <w:rsid w:val="007F46C5"/>
    <w:rsid w:val="007F53E8"/>
    <w:rsid w:val="007F5707"/>
    <w:rsid w:val="007F5DF3"/>
    <w:rsid w:val="007F6206"/>
    <w:rsid w:val="007F697F"/>
    <w:rsid w:val="007F75AB"/>
    <w:rsid w:val="007F792A"/>
    <w:rsid w:val="007F7B04"/>
    <w:rsid w:val="007F7B45"/>
    <w:rsid w:val="008001EE"/>
    <w:rsid w:val="00800E8E"/>
    <w:rsid w:val="008013FF"/>
    <w:rsid w:val="00801971"/>
    <w:rsid w:val="00801D49"/>
    <w:rsid w:val="0080209A"/>
    <w:rsid w:val="00802382"/>
    <w:rsid w:val="00802E4F"/>
    <w:rsid w:val="008034F7"/>
    <w:rsid w:val="00803EFC"/>
    <w:rsid w:val="008044BF"/>
    <w:rsid w:val="00805F2D"/>
    <w:rsid w:val="00806119"/>
    <w:rsid w:val="0080792B"/>
    <w:rsid w:val="008100A2"/>
    <w:rsid w:val="00810178"/>
    <w:rsid w:val="00810506"/>
    <w:rsid w:val="008109F1"/>
    <w:rsid w:val="00811108"/>
    <w:rsid w:val="008121C3"/>
    <w:rsid w:val="008128CA"/>
    <w:rsid w:val="00812BC8"/>
    <w:rsid w:val="00812E32"/>
    <w:rsid w:val="00813155"/>
    <w:rsid w:val="00813B67"/>
    <w:rsid w:val="00815E8F"/>
    <w:rsid w:val="0081616A"/>
    <w:rsid w:val="008166D8"/>
    <w:rsid w:val="00817651"/>
    <w:rsid w:val="00817D2C"/>
    <w:rsid w:val="008200A9"/>
    <w:rsid w:val="008202C1"/>
    <w:rsid w:val="008203CE"/>
    <w:rsid w:val="0082069A"/>
    <w:rsid w:val="00820C2F"/>
    <w:rsid w:val="0082208E"/>
    <w:rsid w:val="008227CB"/>
    <w:rsid w:val="00822882"/>
    <w:rsid w:val="00822C1D"/>
    <w:rsid w:val="00822F7D"/>
    <w:rsid w:val="0082398A"/>
    <w:rsid w:val="0082458D"/>
    <w:rsid w:val="0082500B"/>
    <w:rsid w:val="00825F67"/>
    <w:rsid w:val="00826F90"/>
    <w:rsid w:val="00830206"/>
    <w:rsid w:val="008309C8"/>
    <w:rsid w:val="00831648"/>
    <w:rsid w:val="00834676"/>
    <w:rsid w:val="00834F1A"/>
    <w:rsid w:val="00835E81"/>
    <w:rsid w:val="00836DBF"/>
    <w:rsid w:val="00837500"/>
    <w:rsid w:val="00837567"/>
    <w:rsid w:val="00837D9A"/>
    <w:rsid w:val="0084004A"/>
    <w:rsid w:val="00840270"/>
    <w:rsid w:val="0084090D"/>
    <w:rsid w:val="00840BEA"/>
    <w:rsid w:val="00840C48"/>
    <w:rsid w:val="00840EEE"/>
    <w:rsid w:val="00841D08"/>
    <w:rsid w:val="00841D4F"/>
    <w:rsid w:val="008422CA"/>
    <w:rsid w:val="0084239E"/>
    <w:rsid w:val="00842832"/>
    <w:rsid w:val="00842BD0"/>
    <w:rsid w:val="00842D03"/>
    <w:rsid w:val="00842E17"/>
    <w:rsid w:val="0084381C"/>
    <w:rsid w:val="00844778"/>
    <w:rsid w:val="008456FD"/>
    <w:rsid w:val="00845F9E"/>
    <w:rsid w:val="00846C1D"/>
    <w:rsid w:val="0084781F"/>
    <w:rsid w:val="00847CAE"/>
    <w:rsid w:val="00847CD9"/>
    <w:rsid w:val="00850307"/>
    <w:rsid w:val="008503A9"/>
    <w:rsid w:val="00850D00"/>
    <w:rsid w:val="00852184"/>
    <w:rsid w:val="00852517"/>
    <w:rsid w:val="0085276B"/>
    <w:rsid w:val="00852CF7"/>
    <w:rsid w:val="00852DA3"/>
    <w:rsid w:val="00852F22"/>
    <w:rsid w:val="008530CD"/>
    <w:rsid w:val="008534EC"/>
    <w:rsid w:val="008536B3"/>
    <w:rsid w:val="00853CBA"/>
    <w:rsid w:val="0085511F"/>
    <w:rsid w:val="008551C0"/>
    <w:rsid w:val="00855AFD"/>
    <w:rsid w:val="00856320"/>
    <w:rsid w:val="008564B2"/>
    <w:rsid w:val="0085651E"/>
    <w:rsid w:val="008575B7"/>
    <w:rsid w:val="00857F9D"/>
    <w:rsid w:val="00860163"/>
    <w:rsid w:val="00860F38"/>
    <w:rsid w:val="0086100C"/>
    <w:rsid w:val="00861A61"/>
    <w:rsid w:val="00862B44"/>
    <w:rsid w:val="00862E56"/>
    <w:rsid w:val="00863039"/>
    <w:rsid w:val="0086383C"/>
    <w:rsid w:val="00863F0E"/>
    <w:rsid w:val="00864D01"/>
    <w:rsid w:val="00864EB6"/>
    <w:rsid w:val="0086526B"/>
    <w:rsid w:val="00865382"/>
    <w:rsid w:val="00867DC9"/>
    <w:rsid w:val="008703EE"/>
    <w:rsid w:val="00870E91"/>
    <w:rsid w:val="00871089"/>
    <w:rsid w:val="00871145"/>
    <w:rsid w:val="00871539"/>
    <w:rsid w:val="0087216D"/>
    <w:rsid w:val="00873E38"/>
    <w:rsid w:val="00875363"/>
    <w:rsid w:val="008758C4"/>
    <w:rsid w:val="00876071"/>
    <w:rsid w:val="00876D11"/>
    <w:rsid w:val="0087752D"/>
    <w:rsid w:val="00877683"/>
    <w:rsid w:val="00877B35"/>
    <w:rsid w:val="00877F67"/>
    <w:rsid w:val="0088068E"/>
    <w:rsid w:val="00880B44"/>
    <w:rsid w:val="00880C19"/>
    <w:rsid w:val="008810B8"/>
    <w:rsid w:val="00881E89"/>
    <w:rsid w:val="008824B2"/>
    <w:rsid w:val="00882D54"/>
    <w:rsid w:val="00883872"/>
    <w:rsid w:val="00885F3A"/>
    <w:rsid w:val="008866F6"/>
    <w:rsid w:val="00886929"/>
    <w:rsid w:val="00891B66"/>
    <w:rsid w:val="008920E8"/>
    <w:rsid w:val="008921E4"/>
    <w:rsid w:val="008926B1"/>
    <w:rsid w:val="00892B37"/>
    <w:rsid w:val="00892C50"/>
    <w:rsid w:val="0089301E"/>
    <w:rsid w:val="00894521"/>
    <w:rsid w:val="0089456E"/>
    <w:rsid w:val="00894AAE"/>
    <w:rsid w:val="00894AF7"/>
    <w:rsid w:val="00894D44"/>
    <w:rsid w:val="008966C3"/>
    <w:rsid w:val="008969B4"/>
    <w:rsid w:val="00896EFF"/>
    <w:rsid w:val="00897A5A"/>
    <w:rsid w:val="00897BF6"/>
    <w:rsid w:val="00897EEA"/>
    <w:rsid w:val="008A005B"/>
    <w:rsid w:val="008A097F"/>
    <w:rsid w:val="008A12CF"/>
    <w:rsid w:val="008A178C"/>
    <w:rsid w:val="008A1AC8"/>
    <w:rsid w:val="008A1F9E"/>
    <w:rsid w:val="008A2381"/>
    <w:rsid w:val="008A34ED"/>
    <w:rsid w:val="008A3508"/>
    <w:rsid w:val="008A379C"/>
    <w:rsid w:val="008A4CFF"/>
    <w:rsid w:val="008A4F52"/>
    <w:rsid w:val="008A779B"/>
    <w:rsid w:val="008A796F"/>
    <w:rsid w:val="008A7CF1"/>
    <w:rsid w:val="008B04FD"/>
    <w:rsid w:val="008B06E9"/>
    <w:rsid w:val="008B09FE"/>
    <w:rsid w:val="008B1F59"/>
    <w:rsid w:val="008B202C"/>
    <w:rsid w:val="008B26C9"/>
    <w:rsid w:val="008B3A9D"/>
    <w:rsid w:val="008B540A"/>
    <w:rsid w:val="008B60A0"/>
    <w:rsid w:val="008B6B11"/>
    <w:rsid w:val="008B7077"/>
    <w:rsid w:val="008B7F48"/>
    <w:rsid w:val="008C0944"/>
    <w:rsid w:val="008C13AF"/>
    <w:rsid w:val="008C18E3"/>
    <w:rsid w:val="008C1F98"/>
    <w:rsid w:val="008C1FA2"/>
    <w:rsid w:val="008C21B4"/>
    <w:rsid w:val="008C22EC"/>
    <w:rsid w:val="008C29B8"/>
    <w:rsid w:val="008C2B1A"/>
    <w:rsid w:val="008C3BEB"/>
    <w:rsid w:val="008C3D35"/>
    <w:rsid w:val="008C444B"/>
    <w:rsid w:val="008C483B"/>
    <w:rsid w:val="008C6CA7"/>
    <w:rsid w:val="008C7287"/>
    <w:rsid w:val="008C7B95"/>
    <w:rsid w:val="008C7D6F"/>
    <w:rsid w:val="008D07E9"/>
    <w:rsid w:val="008D0AA9"/>
    <w:rsid w:val="008D115F"/>
    <w:rsid w:val="008D2470"/>
    <w:rsid w:val="008D30EF"/>
    <w:rsid w:val="008D4437"/>
    <w:rsid w:val="008D478B"/>
    <w:rsid w:val="008D4BE6"/>
    <w:rsid w:val="008D5ADD"/>
    <w:rsid w:val="008D5D38"/>
    <w:rsid w:val="008D5E15"/>
    <w:rsid w:val="008D69F4"/>
    <w:rsid w:val="008D6B16"/>
    <w:rsid w:val="008D6E0E"/>
    <w:rsid w:val="008D7AC7"/>
    <w:rsid w:val="008E0066"/>
    <w:rsid w:val="008E01E9"/>
    <w:rsid w:val="008E0695"/>
    <w:rsid w:val="008E07E0"/>
    <w:rsid w:val="008E1084"/>
    <w:rsid w:val="008E1D77"/>
    <w:rsid w:val="008E2972"/>
    <w:rsid w:val="008E3732"/>
    <w:rsid w:val="008E3C28"/>
    <w:rsid w:val="008E3DCD"/>
    <w:rsid w:val="008E413B"/>
    <w:rsid w:val="008E4A61"/>
    <w:rsid w:val="008E4BAB"/>
    <w:rsid w:val="008E5D34"/>
    <w:rsid w:val="008E6077"/>
    <w:rsid w:val="008E7175"/>
    <w:rsid w:val="008E76FE"/>
    <w:rsid w:val="008E7CDD"/>
    <w:rsid w:val="008F0A37"/>
    <w:rsid w:val="008F10F4"/>
    <w:rsid w:val="008F190F"/>
    <w:rsid w:val="008F2324"/>
    <w:rsid w:val="008F251E"/>
    <w:rsid w:val="008F2901"/>
    <w:rsid w:val="008F2FAF"/>
    <w:rsid w:val="008F304E"/>
    <w:rsid w:val="008F4556"/>
    <w:rsid w:val="008F4829"/>
    <w:rsid w:val="008F4BA6"/>
    <w:rsid w:val="008F4BD2"/>
    <w:rsid w:val="008F4E17"/>
    <w:rsid w:val="008F62D4"/>
    <w:rsid w:val="008F73D7"/>
    <w:rsid w:val="00900C1C"/>
    <w:rsid w:val="00900D54"/>
    <w:rsid w:val="0090326A"/>
    <w:rsid w:val="00904053"/>
    <w:rsid w:val="00904B33"/>
    <w:rsid w:val="00904B46"/>
    <w:rsid w:val="009054B9"/>
    <w:rsid w:val="00905992"/>
    <w:rsid w:val="00905BF4"/>
    <w:rsid w:val="00906573"/>
    <w:rsid w:val="009072F1"/>
    <w:rsid w:val="00907888"/>
    <w:rsid w:val="00907B4B"/>
    <w:rsid w:val="00907D28"/>
    <w:rsid w:val="009113BB"/>
    <w:rsid w:val="009129C6"/>
    <w:rsid w:val="009156D0"/>
    <w:rsid w:val="00916115"/>
    <w:rsid w:val="009163AD"/>
    <w:rsid w:val="009169A3"/>
    <w:rsid w:val="00916C8E"/>
    <w:rsid w:val="00916EE7"/>
    <w:rsid w:val="00917413"/>
    <w:rsid w:val="00920514"/>
    <w:rsid w:val="00920B5A"/>
    <w:rsid w:val="00921886"/>
    <w:rsid w:val="00921E2E"/>
    <w:rsid w:val="0092202F"/>
    <w:rsid w:val="00922686"/>
    <w:rsid w:val="0092271B"/>
    <w:rsid w:val="00922CF3"/>
    <w:rsid w:val="00922FC5"/>
    <w:rsid w:val="0092319F"/>
    <w:rsid w:val="009239DB"/>
    <w:rsid w:val="009242CA"/>
    <w:rsid w:val="0092448F"/>
    <w:rsid w:val="00924A7B"/>
    <w:rsid w:val="0092538D"/>
    <w:rsid w:val="0092586C"/>
    <w:rsid w:val="00925D60"/>
    <w:rsid w:val="0092608B"/>
    <w:rsid w:val="00927563"/>
    <w:rsid w:val="00927DFE"/>
    <w:rsid w:val="00931D4A"/>
    <w:rsid w:val="00931E35"/>
    <w:rsid w:val="0093207B"/>
    <w:rsid w:val="00932561"/>
    <w:rsid w:val="00933538"/>
    <w:rsid w:val="00933EC3"/>
    <w:rsid w:val="00934790"/>
    <w:rsid w:val="009372AD"/>
    <w:rsid w:val="00937425"/>
    <w:rsid w:val="00937A13"/>
    <w:rsid w:val="009400E3"/>
    <w:rsid w:val="00940CF8"/>
    <w:rsid w:val="009410C2"/>
    <w:rsid w:val="009418D1"/>
    <w:rsid w:val="00942749"/>
    <w:rsid w:val="009427BE"/>
    <w:rsid w:val="009432A8"/>
    <w:rsid w:val="00943C7F"/>
    <w:rsid w:val="00943FA6"/>
    <w:rsid w:val="0094460C"/>
    <w:rsid w:val="009471D3"/>
    <w:rsid w:val="0094795D"/>
    <w:rsid w:val="00947D5E"/>
    <w:rsid w:val="00950405"/>
    <w:rsid w:val="00950491"/>
    <w:rsid w:val="00950592"/>
    <w:rsid w:val="00950714"/>
    <w:rsid w:val="0095191C"/>
    <w:rsid w:val="00951BDC"/>
    <w:rsid w:val="00952053"/>
    <w:rsid w:val="00953867"/>
    <w:rsid w:val="0095389E"/>
    <w:rsid w:val="00953E29"/>
    <w:rsid w:val="0095659B"/>
    <w:rsid w:val="00956665"/>
    <w:rsid w:val="00957A97"/>
    <w:rsid w:val="00962440"/>
    <w:rsid w:val="00963115"/>
    <w:rsid w:val="00963192"/>
    <w:rsid w:val="009657DE"/>
    <w:rsid w:val="0096583E"/>
    <w:rsid w:val="00965861"/>
    <w:rsid w:val="0096653F"/>
    <w:rsid w:val="00967188"/>
    <w:rsid w:val="00967922"/>
    <w:rsid w:val="00967D76"/>
    <w:rsid w:val="00970E27"/>
    <w:rsid w:val="00971376"/>
    <w:rsid w:val="00971DBA"/>
    <w:rsid w:val="009725B5"/>
    <w:rsid w:val="0097263D"/>
    <w:rsid w:val="0097321B"/>
    <w:rsid w:val="00973284"/>
    <w:rsid w:val="00973398"/>
    <w:rsid w:val="0097369D"/>
    <w:rsid w:val="00974473"/>
    <w:rsid w:val="0097556F"/>
    <w:rsid w:val="00975E8E"/>
    <w:rsid w:val="009764A5"/>
    <w:rsid w:val="00977417"/>
    <w:rsid w:val="0098133B"/>
    <w:rsid w:val="00981638"/>
    <w:rsid w:val="00981E36"/>
    <w:rsid w:val="009845A9"/>
    <w:rsid w:val="009848BF"/>
    <w:rsid w:val="00984F0F"/>
    <w:rsid w:val="00984F40"/>
    <w:rsid w:val="00985122"/>
    <w:rsid w:val="00985C20"/>
    <w:rsid w:val="00985EDB"/>
    <w:rsid w:val="00986164"/>
    <w:rsid w:val="0098640A"/>
    <w:rsid w:val="009866C9"/>
    <w:rsid w:val="00986E59"/>
    <w:rsid w:val="00986E9F"/>
    <w:rsid w:val="009871EB"/>
    <w:rsid w:val="0098791B"/>
    <w:rsid w:val="00991237"/>
    <w:rsid w:val="00991716"/>
    <w:rsid w:val="0099229E"/>
    <w:rsid w:val="009922F2"/>
    <w:rsid w:val="009924C2"/>
    <w:rsid w:val="00992AA9"/>
    <w:rsid w:val="00992BDA"/>
    <w:rsid w:val="009931D1"/>
    <w:rsid w:val="00993338"/>
    <w:rsid w:val="00993E4A"/>
    <w:rsid w:val="00993EE8"/>
    <w:rsid w:val="00994480"/>
    <w:rsid w:val="009949C6"/>
    <w:rsid w:val="00996AE9"/>
    <w:rsid w:val="00997788"/>
    <w:rsid w:val="00997990"/>
    <w:rsid w:val="009A04F6"/>
    <w:rsid w:val="009A0A52"/>
    <w:rsid w:val="009A1B69"/>
    <w:rsid w:val="009A1C9A"/>
    <w:rsid w:val="009A1EC4"/>
    <w:rsid w:val="009A2430"/>
    <w:rsid w:val="009A2692"/>
    <w:rsid w:val="009A2A2E"/>
    <w:rsid w:val="009A31BC"/>
    <w:rsid w:val="009A3475"/>
    <w:rsid w:val="009A39F8"/>
    <w:rsid w:val="009A4234"/>
    <w:rsid w:val="009A46BD"/>
    <w:rsid w:val="009A4B91"/>
    <w:rsid w:val="009A5980"/>
    <w:rsid w:val="009A5C56"/>
    <w:rsid w:val="009A64D1"/>
    <w:rsid w:val="009A6CC7"/>
    <w:rsid w:val="009A7711"/>
    <w:rsid w:val="009B01AE"/>
    <w:rsid w:val="009B167B"/>
    <w:rsid w:val="009B2739"/>
    <w:rsid w:val="009B2D82"/>
    <w:rsid w:val="009B3EDD"/>
    <w:rsid w:val="009B4C05"/>
    <w:rsid w:val="009B55CB"/>
    <w:rsid w:val="009B5E0E"/>
    <w:rsid w:val="009B6358"/>
    <w:rsid w:val="009B63BC"/>
    <w:rsid w:val="009B6E78"/>
    <w:rsid w:val="009C0F7D"/>
    <w:rsid w:val="009C152B"/>
    <w:rsid w:val="009C27AE"/>
    <w:rsid w:val="009C2A0A"/>
    <w:rsid w:val="009C2BE4"/>
    <w:rsid w:val="009C4C49"/>
    <w:rsid w:val="009C6298"/>
    <w:rsid w:val="009C6A50"/>
    <w:rsid w:val="009C76D6"/>
    <w:rsid w:val="009C7AE5"/>
    <w:rsid w:val="009D03A7"/>
    <w:rsid w:val="009D03D2"/>
    <w:rsid w:val="009D05FE"/>
    <w:rsid w:val="009D0B05"/>
    <w:rsid w:val="009D0BB4"/>
    <w:rsid w:val="009D1004"/>
    <w:rsid w:val="009D163E"/>
    <w:rsid w:val="009D22FB"/>
    <w:rsid w:val="009D277E"/>
    <w:rsid w:val="009D282A"/>
    <w:rsid w:val="009D2FED"/>
    <w:rsid w:val="009D475F"/>
    <w:rsid w:val="009D4D68"/>
    <w:rsid w:val="009D4E60"/>
    <w:rsid w:val="009D514C"/>
    <w:rsid w:val="009D53FF"/>
    <w:rsid w:val="009D5E99"/>
    <w:rsid w:val="009D632F"/>
    <w:rsid w:val="009D690C"/>
    <w:rsid w:val="009D6F46"/>
    <w:rsid w:val="009D7A46"/>
    <w:rsid w:val="009E1F16"/>
    <w:rsid w:val="009E2105"/>
    <w:rsid w:val="009E25BD"/>
    <w:rsid w:val="009E2626"/>
    <w:rsid w:val="009E2D45"/>
    <w:rsid w:val="009E2F33"/>
    <w:rsid w:val="009E3C8F"/>
    <w:rsid w:val="009E3F14"/>
    <w:rsid w:val="009E4003"/>
    <w:rsid w:val="009E4BE2"/>
    <w:rsid w:val="009E59AE"/>
    <w:rsid w:val="009E5E9D"/>
    <w:rsid w:val="009E6C93"/>
    <w:rsid w:val="009E7075"/>
    <w:rsid w:val="009F0248"/>
    <w:rsid w:val="009F1280"/>
    <w:rsid w:val="009F1DD3"/>
    <w:rsid w:val="009F2BD1"/>
    <w:rsid w:val="009F402A"/>
    <w:rsid w:val="009F44B0"/>
    <w:rsid w:val="009F4728"/>
    <w:rsid w:val="009F5271"/>
    <w:rsid w:val="009F6D5D"/>
    <w:rsid w:val="009F718C"/>
    <w:rsid w:val="009F7F2B"/>
    <w:rsid w:val="00A001C7"/>
    <w:rsid w:val="00A007D4"/>
    <w:rsid w:val="00A00D5A"/>
    <w:rsid w:val="00A00FD7"/>
    <w:rsid w:val="00A02146"/>
    <w:rsid w:val="00A04A83"/>
    <w:rsid w:val="00A052EE"/>
    <w:rsid w:val="00A05A3A"/>
    <w:rsid w:val="00A06263"/>
    <w:rsid w:val="00A073DA"/>
    <w:rsid w:val="00A0748B"/>
    <w:rsid w:val="00A078A8"/>
    <w:rsid w:val="00A11B61"/>
    <w:rsid w:val="00A126EF"/>
    <w:rsid w:val="00A128CE"/>
    <w:rsid w:val="00A12A11"/>
    <w:rsid w:val="00A13215"/>
    <w:rsid w:val="00A13B78"/>
    <w:rsid w:val="00A14D0B"/>
    <w:rsid w:val="00A155DF"/>
    <w:rsid w:val="00A163BC"/>
    <w:rsid w:val="00A1762C"/>
    <w:rsid w:val="00A17834"/>
    <w:rsid w:val="00A201B6"/>
    <w:rsid w:val="00A22093"/>
    <w:rsid w:val="00A22761"/>
    <w:rsid w:val="00A22BEA"/>
    <w:rsid w:val="00A23EA3"/>
    <w:rsid w:val="00A2496B"/>
    <w:rsid w:val="00A2516B"/>
    <w:rsid w:val="00A25309"/>
    <w:rsid w:val="00A263A3"/>
    <w:rsid w:val="00A2792C"/>
    <w:rsid w:val="00A30C11"/>
    <w:rsid w:val="00A315EC"/>
    <w:rsid w:val="00A32185"/>
    <w:rsid w:val="00A32328"/>
    <w:rsid w:val="00A326ED"/>
    <w:rsid w:val="00A32BF9"/>
    <w:rsid w:val="00A32E4B"/>
    <w:rsid w:val="00A3371F"/>
    <w:rsid w:val="00A33C39"/>
    <w:rsid w:val="00A33F8A"/>
    <w:rsid w:val="00A3465D"/>
    <w:rsid w:val="00A34B49"/>
    <w:rsid w:val="00A35A21"/>
    <w:rsid w:val="00A36222"/>
    <w:rsid w:val="00A36945"/>
    <w:rsid w:val="00A36B66"/>
    <w:rsid w:val="00A36FCD"/>
    <w:rsid w:val="00A37416"/>
    <w:rsid w:val="00A37A6A"/>
    <w:rsid w:val="00A409CF"/>
    <w:rsid w:val="00A40C54"/>
    <w:rsid w:val="00A40FEA"/>
    <w:rsid w:val="00A41863"/>
    <w:rsid w:val="00A4201E"/>
    <w:rsid w:val="00A42578"/>
    <w:rsid w:val="00A43159"/>
    <w:rsid w:val="00A431C9"/>
    <w:rsid w:val="00A43CA2"/>
    <w:rsid w:val="00A441B1"/>
    <w:rsid w:val="00A44225"/>
    <w:rsid w:val="00A4496C"/>
    <w:rsid w:val="00A449E1"/>
    <w:rsid w:val="00A45336"/>
    <w:rsid w:val="00A4555C"/>
    <w:rsid w:val="00A4563A"/>
    <w:rsid w:val="00A45953"/>
    <w:rsid w:val="00A45AB3"/>
    <w:rsid w:val="00A467D9"/>
    <w:rsid w:val="00A477CC"/>
    <w:rsid w:val="00A47FCE"/>
    <w:rsid w:val="00A509C0"/>
    <w:rsid w:val="00A52210"/>
    <w:rsid w:val="00A52469"/>
    <w:rsid w:val="00A52880"/>
    <w:rsid w:val="00A543F0"/>
    <w:rsid w:val="00A544A1"/>
    <w:rsid w:val="00A54941"/>
    <w:rsid w:val="00A558A1"/>
    <w:rsid w:val="00A55F50"/>
    <w:rsid w:val="00A56666"/>
    <w:rsid w:val="00A5668D"/>
    <w:rsid w:val="00A56732"/>
    <w:rsid w:val="00A56E98"/>
    <w:rsid w:val="00A5750B"/>
    <w:rsid w:val="00A578AB"/>
    <w:rsid w:val="00A579CE"/>
    <w:rsid w:val="00A6082B"/>
    <w:rsid w:val="00A61293"/>
    <w:rsid w:val="00A61339"/>
    <w:rsid w:val="00A64446"/>
    <w:rsid w:val="00A65796"/>
    <w:rsid w:val="00A66010"/>
    <w:rsid w:val="00A66096"/>
    <w:rsid w:val="00A660FE"/>
    <w:rsid w:val="00A6618C"/>
    <w:rsid w:val="00A66734"/>
    <w:rsid w:val="00A66DDF"/>
    <w:rsid w:val="00A66E01"/>
    <w:rsid w:val="00A66E79"/>
    <w:rsid w:val="00A66EDC"/>
    <w:rsid w:val="00A71452"/>
    <w:rsid w:val="00A723C4"/>
    <w:rsid w:val="00A7331A"/>
    <w:rsid w:val="00A73F2B"/>
    <w:rsid w:val="00A74DB4"/>
    <w:rsid w:val="00A75333"/>
    <w:rsid w:val="00A75A23"/>
    <w:rsid w:val="00A76704"/>
    <w:rsid w:val="00A77DA0"/>
    <w:rsid w:val="00A77FAA"/>
    <w:rsid w:val="00A80A81"/>
    <w:rsid w:val="00A80AC7"/>
    <w:rsid w:val="00A80CF6"/>
    <w:rsid w:val="00A80F87"/>
    <w:rsid w:val="00A8120A"/>
    <w:rsid w:val="00A81B5B"/>
    <w:rsid w:val="00A820F0"/>
    <w:rsid w:val="00A82CD5"/>
    <w:rsid w:val="00A8357A"/>
    <w:rsid w:val="00A83A07"/>
    <w:rsid w:val="00A841E0"/>
    <w:rsid w:val="00A84638"/>
    <w:rsid w:val="00A85694"/>
    <w:rsid w:val="00A85B05"/>
    <w:rsid w:val="00A85F97"/>
    <w:rsid w:val="00A8635A"/>
    <w:rsid w:val="00A87454"/>
    <w:rsid w:val="00A87CAA"/>
    <w:rsid w:val="00A87D0A"/>
    <w:rsid w:val="00A90A0E"/>
    <w:rsid w:val="00A90F70"/>
    <w:rsid w:val="00A910F4"/>
    <w:rsid w:val="00A915F8"/>
    <w:rsid w:val="00A92122"/>
    <w:rsid w:val="00A92C58"/>
    <w:rsid w:val="00A92F1D"/>
    <w:rsid w:val="00A94592"/>
    <w:rsid w:val="00A94B2A"/>
    <w:rsid w:val="00A94F6D"/>
    <w:rsid w:val="00A951BC"/>
    <w:rsid w:val="00A95D4D"/>
    <w:rsid w:val="00A9604A"/>
    <w:rsid w:val="00A961D0"/>
    <w:rsid w:val="00A96B4B"/>
    <w:rsid w:val="00A970DF"/>
    <w:rsid w:val="00A97C90"/>
    <w:rsid w:val="00AA0561"/>
    <w:rsid w:val="00AA0C49"/>
    <w:rsid w:val="00AA0D26"/>
    <w:rsid w:val="00AA0FFE"/>
    <w:rsid w:val="00AA2A53"/>
    <w:rsid w:val="00AA303F"/>
    <w:rsid w:val="00AA3AC4"/>
    <w:rsid w:val="00AA3C2E"/>
    <w:rsid w:val="00AA484A"/>
    <w:rsid w:val="00AA4A75"/>
    <w:rsid w:val="00AA50D4"/>
    <w:rsid w:val="00AA526F"/>
    <w:rsid w:val="00AA5758"/>
    <w:rsid w:val="00AA60F7"/>
    <w:rsid w:val="00AA664B"/>
    <w:rsid w:val="00AA73EA"/>
    <w:rsid w:val="00AA7690"/>
    <w:rsid w:val="00AA77A9"/>
    <w:rsid w:val="00AA7F2C"/>
    <w:rsid w:val="00AB110D"/>
    <w:rsid w:val="00AB1755"/>
    <w:rsid w:val="00AB1DE9"/>
    <w:rsid w:val="00AB2242"/>
    <w:rsid w:val="00AB242F"/>
    <w:rsid w:val="00AB33D3"/>
    <w:rsid w:val="00AB41C8"/>
    <w:rsid w:val="00AB453F"/>
    <w:rsid w:val="00AB4F8C"/>
    <w:rsid w:val="00AB53CD"/>
    <w:rsid w:val="00AB5D96"/>
    <w:rsid w:val="00AB6438"/>
    <w:rsid w:val="00AB679A"/>
    <w:rsid w:val="00AB6E74"/>
    <w:rsid w:val="00AB6FCC"/>
    <w:rsid w:val="00AB73AB"/>
    <w:rsid w:val="00AC0195"/>
    <w:rsid w:val="00AC053E"/>
    <w:rsid w:val="00AC08AE"/>
    <w:rsid w:val="00AC0C0D"/>
    <w:rsid w:val="00AC143B"/>
    <w:rsid w:val="00AC1D39"/>
    <w:rsid w:val="00AC3295"/>
    <w:rsid w:val="00AC3592"/>
    <w:rsid w:val="00AC3764"/>
    <w:rsid w:val="00AC3E80"/>
    <w:rsid w:val="00AC4BE7"/>
    <w:rsid w:val="00AC6C47"/>
    <w:rsid w:val="00AC6D5D"/>
    <w:rsid w:val="00AC74DD"/>
    <w:rsid w:val="00AC75B8"/>
    <w:rsid w:val="00AC7696"/>
    <w:rsid w:val="00AC789F"/>
    <w:rsid w:val="00AD0072"/>
    <w:rsid w:val="00AD0579"/>
    <w:rsid w:val="00AD0BD5"/>
    <w:rsid w:val="00AD1213"/>
    <w:rsid w:val="00AD1F36"/>
    <w:rsid w:val="00AD2480"/>
    <w:rsid w:val="00AD289D"/>
    <w:rsid w:val="00AD2BEF"/>
    <w:rsid w:val="00AD3772"/>
    <w:rsid w:val="00AD3D12"/>
    <w:rsid w:val="00AD5373"/>
    <w:rsid w:val="00AD5E1C"/>
    <w:rsid w:val="00AD6EE5"/>
    <w:rsid w:val="00AD6F88"/>
    <w:rsid w:val="00AD73A0"/>
    <w:rsid w:val="00AE01C9"/>
    <w:rsid w:val="00AE0340"/>
    <w:rsid w:val="00AE0ACB"/>
    <w:rsid w:val="00AE0E60"/>
    <w:rsid w:val="00AE1016"/>
    <w:rsid w:val="00AE1390"/>
    <w:rsid w:val="00AE22A7"/>
    <w:rsid w:val="00AE29A4"/>
    <w:rsid w:val="00AE2CE9"/>
    <w:rsid w:val="00AE2EB2"/>
    <w:rsid w:val="00AE3AE7"/>
    <w:rsid w:val="00AE45FC"/>
    <w:rsid w:val="00AE4AF0"/>
    <w:rsid w:val="00AE576E"/>
    <w:rsid w:val="00AE6705"/>
    <w:rsid w:val="00AE7A3F"/>
    <w:rsid w:val="00AE7E24"/>
    <w:rsid w:val="00AF018B"/>
    <w:rsid w:val="00AF040D"/>
    <w:rsid w:val="00AF08BF"/>
    <w:rsid w:val="00AF0AFC"/>
    <w:rsid w:val="00AF148D"/>
    <w:rsid w:val="00AF15FB"/>
    <w:rsid w:val="00AF1C8E"/>
    <w:rsid w:val="00AF1F74"/>
    <w:rsid w:val="00AF355F"/>
    <w:rsid w:val="00AF364F"/>
    <w:rsid w:val="00AF408E"/>
    <w:rsid w:val="00AF4301"/>
    <w:rsid w:val="00AF53CE"/>
    <w:rsid w:val="00AF594F"/>
    <w:rsid w:val="00AF5F59"/>
    <w:rsid w:val="00AF685C"/>
    <w:rsid w:val="00B003AA"/>
    <w:rsid w:val="00B0069E"/>
    <w:rsid w:val="00B0071C"/>
    <w:rsid w:val="00B00960"/>
    <w:rsid w:val="00B00AF3"/>
    <w:rsid w:val="00B00EC0"/>
    <w:rsid w:val="00B011F5"/>
    <w:rsid w:val="00B01B24"/>
    <w:rsid w:val="00B02862"/>
    <w:rsid w:val="00B02BEC"/>
    <w:rsid w:val="00B032FD"/>
    <w:rsid w:val="00B03DB3"/>
    <w:rsid w:val="00B045D6"/>
    <w:rsid w:val="00B060C6"/>
    <w:rsid w:val="00B06318"/>
    <w:rsid w:val="00B063B0"/>
    <w:rsid w:val="00B06AFD"/>
    <w:rsid w:val="00B072E4"/>
    <w:rsid w:val="00B07D4C"/>
    <w:rsid w:val="00B10D56"/>
    <w:rsid w:val="00B10D8F"/>
    <w:rsid w:val="00B11003"/>
    <w:rsid w:val="00B11327"/>
    <w:rsid w:val="00B11CB4"/>
    <w:rsid w:val="00B126A0"/>
    <w:rsid w:val="00B128ED"/>
    <w:rsid w:val="00B12A73"/>
    <w:rsid w:val="00B12C45"/>
    <w:rsid w:val="00B13B76"/>
    <w:rsid w:val="00B14329"/>
    <w:rsid w:val="00B1484E"/>
    <w:rsid w:val="00B157E3"/>
    <w:rsid w:val="00B158F9"/>
    <w:rsid w:val="00B15C0C"/>
    <w:rsid w:val="00B15F20"/>
    <w:rsid w:val="00B162A1"/>
    <w:rsid w:val="00B16B3E"/>
    <w:rsid w:val="00B174E8"/>
    <w:rsid w:val="00B17A2F"/>
    <w:rsid w:val="00B2003B"/>
    <w:rsid w:val="00B20A51"/>
    <w:rsid w:val="00B20DEF"/>
    <w:rsid w:val="00B2268E"/>
    <w:rsid w:val="00B22867"/>
    <w:rsid w:val="00B2298F"/>
    <w:rsid w:val="00B22AB0"/>
    <w:rsid w:val="00B2366C"/>
    <w:rsid w:val="00B23AF7"/>
    <w:rsid w:val="00B24D5E"/>
    <w:rsid w:val="00B25BC9"/>
    <w:rsid w:val="00B25ECC"/>
    <w:rsid w:val="00B26498"/>
    <w:rsid w:val="00B27940"/>
    <w:rsid w:val="00B30FD0"/>
    <w:rsid w:val="00B31488"/>
    <w:rsid w:val="00B31BEC"/>
    <w:rsid w:val="00B31C2E"/>
    <w:rsid w:val="00B32838"/>
    <w:rsid w:val="00B333F6"/>
    <w:rsid w:val="00B3407A"/>
    <w:rsid w:val="00B34099"/>
    <w:rsid w:val="00B348BB"/>
    <w:rsid w:val="00B348FA"/>
    <w:rsid w:val="00B35204"/>
    <w:rsid w:val="00B36A4B"/>
    <w:rsid w:val="00B36DD1"/>
    <w:rsid w:val="00B37660"/>
    <w:rsid w:val="00B37DEA"/>
    <w:rsid w:val="00B40306"/>
    <w:rsid w:val="00B404CE"/>
    <w:rsid w:val="00B4078E"/>
    <w:rsid w:val="00B40804"/>
    <w:rsid w:val="00B40AD1"/>
    <w:rsid w:val="00B40AFC"/>
    <w:rsid w:val="00B40B1E"/>
    <w:rsid w:val="00B40CA8"/>
    <w:rsid w:val="00B411F2"/>
    <w:rsid w:val="00B4134F"/>
    <w:rsid w:val="00B416A4"/>
    <w:rsid w:val="00B41A47"/>
    <w:rsid w:val="00B41C36"/>
    <w:rsid w:val="00B42696"/>
    <w:rsid w:val="00B42E3E"/>
    <w:rsid w:val="00B42F09"/>
    <w:rsid w:val="00B43195"/>
    <w:rsid w:val="00B43499"/>
    <w:rsid w:val="00B43DFA"/>
    <w:rsid w:val="00B4409C"/>
    <w:rsid w:val="00B443DD"/>
    <w:rsid w:val="00B44EEA"/>
    <w:rsid w:val="00B45077"/>
    <w:rsid w:val="00B45246"/>
    <w:rsid w:val="00B47331"/>
    <w:rsid w:val="00B476DE"/>
    <w:rsid w:val="00B502E2"/>
    <w:rsid w:val="00B506F9"/>
    <w:rsid w:val="00B51F35"/>
    <w:rsid w:val="00B523E8"/>
    <w:rsid w:val="00B53788"/>
    <w:rsid w:val="00B54227"/>
    <w:rsid w:val="00B54AA5"/>
    <w:rsid w:val="00B55938"/>
    <w:rsid w:val="00B55987"/>
    <w:rsid w:val="00B55ACA"/>
    <w:rsid w:val="00B60083"/>
    <w:rsid w:val="00B60560"/>
    <w:rsid w:val="00B60594"/>
    <w:rsid w:val="00B60D5B"/>
    <w:rsid w:val="00B6141A"/>
    <w:rsid w:val="00B6162E"/>
    <w:rsid w:val="00B6400F"/>
    <w:rsid w:val="00B6492D"/>
    <w:rsid w:val="00B65A57"/>
    <w:rsid w:val="00B663AF"/>
    <w:rsid w:val="00B66B84"/>
    <w:rsid w:val="00B67027"/>
    <w:rsid w:val="00B67937"/>
    <w:rsid w:val="00B67FD5"/>
    <w:rsid w:val="00B70299"/>
    <w:rsid w:val="00B70E3B"/>
    <w:rsid w:val="00B71326"/>
    <w:rsid w:val="00B71ED9"/>
    <w:rsid w:val="00B720E0"/>
    <w:rsid w:val="00B72361"/>
    <w:rsid w:val="00B725B9"/>
    <w:rsid w:val="00B7296E"/>
    <w:rsid w:val="00B72DC9"/>
    <w:rsid w:val="00B72DF9"/>
    <w:rsid w:val="00B72E12"/>
    <w:rsid w:val="00B7325E"/>
    <w:rsid w:val="00B7519E"/>
    <w:rsid w:val="00B75939"/>
    <w:rsid w:val="00B75F6F"/>
    <w:rsid w:val="00B7643A"/>
    <w:rsid w:val="00B76510"/>
    <w:rsid w:val="00B7664E"/>
    <w:rsid w:val="00B7738A"/>
    <w:rsid w:val="00B774CB"/>
    <w:rsid w:val="00B775BF"/>
    <w:rsid w:val="00B807FE"/>
    <w:rsid w:val="00B809C6"/>
    <w:rsid w:val="00B80A56"/>
    <w:rsid w:val="00B81194"/>
    <w:rsid w:val="00B8173F"/>
    <w:rsid w:val="00B81CA0"/>
    <w:rsid w:val="00B826FA"/>
    <w:rsid w:val="00B82AD7"/>
    <w:rsid w:val="00B82C57"/>
    <w:rsid w:val="00B834B9"/>
    <w:rsid w:val="00B840F2"/>
    <w:rsid w:val="00B84C5D"/>
    <w:rsid w:val="00B85315"/>
    <w:rsid w:val="00B85581"/>
    <w:rsid w:val="00B85E26"/>
    <w:rsid w:val="00B85FAF"/>
    <w:rsid w:val="00B8620E"/>
    <w:rsid w:val="00B863DF"/>
    <w:rsid w:val="00B8681D"/>
    <w:rsid w:val="00B8719B"/>
    <w:rsid w:val="00B87291"/>
    <w:rsid w:val="00B87D19"/>
    <w:rsid w:val="00B9031A"/>
    <w:rsid w:val="00B90877"/>
    <w:rsid w:val="00B92AC2"/>
    <w:rsid w:val="00B92AD6"/>
    <w:rsid w:val="00B92D72"/>
    <w:rsid w:val="00B9310D"/>
    <w:rsid w:val="00B93433"/>
    <w:rsid w:val="00B95148"/>
    <w:rsid w:val="00B95234"/>
    <w:rsid w:val="00B95DCA"/>
    <w:rsid w:val="00B9671D"/>
    <w:rsid w:val="00B97126"/>
    <w:rsid w:val="00B97377"/>
    <w:rsid w:val="00B97588"/>
    <w:rsid w:val="00B97610"/>
    <w:rsid w:val="00B978B1"/>
    <w:rsid w:val="00B97951"/>
    <w:rsid w:val="00B97EBD"/>
    <w:rsid w:val="00BA03EC"/>
    <w:rsid w:val="00BA0829"/>
    <w:rsid w:val="00BA0A24"/>
    <w:rsid w:val="00BA0E0F"/>
    <w:rsid w:val="00BA1148"/>
    <w:rsid w:val="00BA1397"/>
    <w:rsid w:val="00BA1529"/>
    <w:rsid w:val="00BA1C94"/>
    <w:rsid w:val="00BA2290"/>
    <w:rsid w:val="00BA2D7D"/>
    <w:rsid w:val="00BA33A0"/>
    <w:rsid w:val="00BA3D2A"/>
    <w:rsid w:val="00BA445F"/>
    <w:rsid w:val="00BA4877"/>
    <w:rsid w:val="00BA4BF6"/>
    <w:rsid w:val="00BA557D"/>
    <w:rsid w:val="00BA5988"/>
    <w:rsid w:val="00BA5BFB"/>
    <w:rsid w:val="00BA6F38"/>
    <w:rsid w:val="00BA7366"/>
    <w:rsid w:val="00BA74DA"/>
    <w:rsid w:val="00BA7670"/>
    <w:rsid w:val="00BA7FD9"/>
    <w:rsid w:val="00BB00D7"/>
    <w:rsid w:val="00BB072D"/>
    <w:rsid w:val="00BB0C6F"/>
    <w:rsid w:val="00BB0E3B"/>
    <w:rsid w:val="00BB16B1"/>
    <w:rsid w:val="00BB1EC9"/>
    <w:rsid w:val="00BB2A6B"/>
    <w:rsid w:val="00BB2BA9"/>
    <w:rsid w:val="00BB2E93"/>
    <w:rsid w:val="00BB3445"/>
    <w:rsid w:val="00BB3BAE"/>
    <w:rsid w:val="00BB3DFF"/>
    <w:rsid w:val="00BB4342"/>
    <w:rsid w:val="00BB471D"/>
    <w:rsid w:val="00BB5213"/>
    <w:rsid w:val="00BB5766"/>
    <w:rsid w:val="00BB57E2"/>
    <w:rsid w:val="00BB666C"/>
    <w:rsid w:val="00BB6B7D"/>
    <w:rsid w:val="00BB70DF"/>
    <w:rsid w:val="00BC01E8"/>
    <w:rsid w:val="00BC0540"/>
    <w:rsid w:val="00BC0AE1"/>
    <w:rsid w:val="00BC2474"/>
    <w:rsid w:val="00BC31A6"/>
    <w:rsid w:val="00BC4003"/>
    <w:rsid w:val="00BC499D"/>
    <w:rsid w:val="00BC6F3F"/>
    <w:rsid w:val="00BC7CA4"/>
    <w:rsid w:val="00BD064E"/>
    <w:rsid w:val="00BD0651"/>
    <w:rsid w:val="00BD159C"/>
    <w:rsid w:val="00BD1C09"/>
    <w:rsid w:val="00BD2623"/>
    <w:rsid w:val="00BD383A"/>
    <w:rsid w:val="00BD3EBE"/>
    <w:rsid w:val="00BD5A8D"/>
    <w:rsid w:val="00BD6392"/>
    <w:rsid w:val="00BD66E2"/>
    <w:rsid w:val="00BD72AF"/>
    <w:rsid w:val="00BD7324"/>
    <w:rsid w:val="00BD7353"/>
    <w:rsid w:val="00BD74D4"/>
    <w:rsid w:val="00BE0104"/>
    <w:rsid w:val="00BE036D"/>
    <w:rsid w:val="00BE04CE"/>
    <w:rsid w:val="00BE0AB1"/>
    <w:rsid w:val="00BE1CE1"/>
    <w:rsid w:val="00BE255A"/>
    <w:rsid w:val="00BE256F"/>
    <w:rsid w:val="00BE2826"/>
    <w:rsid w:val="00BE2B96"/>
    <w:rsid w:val="00BE2D64"/>
    <w:rsid w:val="00BE33F3"/>
    <w:rsid w:val="00BE396C"/>
    <w:rsid w:val="00BE3D16"/>
    <w:rsid w:val="00BE3F7F"/>
    <w:rsid w:val="00BE4E5D"/>
    <w:rsid w:val="00BE50C6"/>
    <w:rsid w:val="00BE5296"/>
    <w:rsid w:val="00BE55E1"/>
    <w:rsid w:val="00BE59A3"/>
    <w:rsid w:val="00BE5BFC"/>
    <w:rsid w:val="00BE7D70"/>
    <w:rsid w:val="00BE7D75"/>
    <w:rsid w:val="00BF1257"/>
    <w:rsid w:val="00BF150A"/>
    <w:rsid w:val="00BF2297"/>
    <w:rsid w:val="00BF23F0"/>
    <w:rsid w:val="00BF2F44"/>
    <w:rsid w:val="00BF33A4"/>
    <w:rsid w:val="00BF4475"/>
    <w:rsid w:val="00BF4569"/>
    <w:rsid w:val="00BF49B1"/>
    <w:rsid w:val="00BF4D89"/>
    <w:rsid w:val="00BF507D"/>
    <w:rsid w:val="00BF584A"/>
    <w:rsid w:val="00BF5998"/>
    <w:rsid w:val="00BF5C7C"/>
    <w:rsid w:val="00BF6189"/>
    <w:rsid w:val="00BF65EB"/>
    <w:rsid w:val="00BF67AF"/>
    <w:rsid w:val="00BF6931"/>
    <w:rsid w:val="00BF6DEC"/>
    <w:rsid w:val="00BF6F6D"/>
    <w:rsid w:val="00BF6F89"/>
    <w:rsid w:val="00C02DBD"/>
    <w:rsid w:val="00C0338B"/>
    <w:rsid w:val="00C03F4B"/>
    <w:rsid w:val="00C040BF"/>
    <w:rsid w:val="00C05CD4"/>
    <w:rsid w:val="00C06F1D"/>
    <w:rsid w:val="00C06FE4"/>
    <w:rsid w:val="00C073D1"/>
    <w:rsid w:val="00C107D6"/>
    <w:rsid w:val="00C11156"/>
    <w:rsid w:val="00C11508"/>
    <w:rsid w:val="00C12330"/>
    <w:rsid w:val="00C1284D"/>
    <w:rsid w:val="00C13AD7"/>
    <w:rsid w:val="00C13C83"/>
    <w:rsid w:val="00C14002"/>
    <w:rsid w:val="00C1580B"/>
    <w:rsid w:val="00C15B69"/>
    <w:rsid w:val="00C15F98"/>
    <w:rsid w:val="00C1658A"/>
    <w:rsid w:val="00C17A74"/>
    <w:rsid w:val="00C17AD2"/>
    <w:rsid w:val="00C20E93"/>
    <w:rsid w:val="00C20EEC"/>
    <w:rsid w:val="00C21115"/>
    <w:rsid w:val="00C21244"/>
    <w:rsid w:val="00C2141E"/>
    <w:rsid w:val="00C21845"/>
    <w:rsid w:val="00C21A07"/>
    <w:rsid w:val="00C21C74"/>
    <w:rsid w:val="00C247BD"/>
    <w:rsid w:val="00C24AA1"/>
    <w:rsid w:val="00C25021"/>
    <w:rsid w:val="00C2606D"/>
    <w:rsid w:val="00C261F6"/>
    <w:rsid w:val="00C268D1"/>
    <w:rsid w:val="00C27C44"/>
    <w:rsid w:val="00C305D9"/>
    <w:rsid w:val="00C30D85"/>
    <w:rsid w:val="00C31239"/>
    <w:rsid w:val="00C31C5B"/>
    <w:rsid w:val="00C32687"/>
    <w:rsid w:val="00C32743"/>
    <w:rsid w:val="00C330DB"/>
    <w:rsid w:val="00C33E84"/>
    <w:rsid w:val="00C347CD"/>
    <w:rsid w:val="00C35114"/>
    <w:rsid w:val="00C35D01"/>
    <w:rsid w:val="00C36859"/>
    <w:rsid w:val="00C3753D"/>
    <w:rsid w:val="00C375ED"/>
    <w:rsid w:val="00C4052D"/>
    <w:rsid w:val="00C416E1"/>
    <w:rsid w:val="00C41D99"/>
    <w:rsid w:val="00C42D95"/>
    <w:rsid w:val="00C43064"/>
    <w:rsid w:val="00C43E94"/>
    <w:rsid w:val="00C44493"/>
    <w:rsid w:val="00C445B9"/>
    <w:rsid w:val="00C45CF9"/>
    <w:rsid w:val="00C46A25"/>
    <w:rsid w:val="00C47E76"/>
    <w:rsid w:val="00C5039F"/>
    <w:rsid w:val="00C5156B"/>
    <w:rsid w:val="00C51E7F"/>
    <w:rsid w:val="00C52281"/>
    <w:rsid w:val="00C52498"/>
    <w:rsid w:val="00C525D7"/>
    <w:rsid w:val="00C52776"/>
    <w:rsid w:val="00C52B86"/>
    <w:rsid w:val="00C52FDD"/>
    <w:rsid w:val="00C534B4"/>
    <w:rsid w:val="00C53DA2"/>
    <w:rsid w:val="00C53EE5"/>
    <w:rsid w:val="00C53F11"/>
    <w:rsid w:val="00C5572A"/>
    <w:rsid w:val="00C5583B"/>
    <w:rsid w:val="00C559B0"/>
    <w:rsid w:val="00C562B2"/>
    <w:rsid w:val="00C563B0"/>
    <w:rsid w:val="00C56FCA"/>
    <w:rsid w:val="00C56FEC"/>
    <w:rsid w:val="00C57B80"/>
    <w:rsid w:val="00C60075"/>
    <w:rsid w:val="00C604A9"/>
    <w:rsid w:val="00C607BA"/>
    <w:rsid w:val="00C6114F"/>
    <w:rsid w:val="00C6126E"/>
    <w:rsid w:val="00C61279"/>
    <w:rsid w:val="00C61522"/>
    <w:rsid w:val="00C61DCB"/>
    <w:rsid w:val="00C61E99"/>
    <w:rsid w:val="00C62D50"/>
    <w:rsid w:val="00C63202"/>
    <w:rsid w:val="00C633EC"/>
    <w:rsid w:val="00C63662"/>
    <w:rsid w:val="00C642C1"/>
    <w:rsid w:val="00C64AB6"/>
    <w:rsid w:val="00C64D3C"/>
    <w:rsid w:val="00C65974"/>
    <w:rsid w:val="00C65D3F"/>
    <w:rsid w:val="00C65D96"/>
    <w:rsid w:val="00C662BF"/>
    <w:rsid w:val="00C662D8"/>
    <w:rsid w:val="00C66396"/>
    <w:rsid w:val="00C668C8"/>
    <w:rsid w:val="00C66A06"/>
    <w:rsid w:val="00C66A9E"/>
    <w:rsid w:val="00C67664"/>
    <w:rsid w:val="00C67AA4"/>
    <w:rsid w:val="00C67EC7"/>
    <w:rsid w:val="00C71646"/>
    <w:rsid w:val="00C72471"/>
    <w:rsid w:val="00C72FA5"/>
    <w:rsid w:val="00C72FC0"/>
    <w:rsid w:val="00C731A8"/>
    <w:rsid w:val="00C73CA0"/>
    <w:rsid w:val="00C74056"/>
    <w:rsid w:val="00C743F8"/>
    <w:rsid w:val="00C748E2"/>
    <w:rsid w:val="00C74BC4"/>
    <w:rsid w:val="00C74BD4"/>
    <w:rsid w:val="00C74BE0"/>
    <w:rsid w:val="00C75B5F"/>
    <w:rsid w:val="00C760C3"/>
    <w:rsid w:val="00C76579"/>
    <w:rsid w:val="00C76B91"/>
    <w:rsid w:val="00C76EF1"/>
    <w:rsid w:val="00C77564"/>
    <w:rsid w:val="00C77E12"/>
    <w:rsid w:val="00C80152"/>
    <w:rsid w:val="00C8060D"/>
    <w:rsid w:val="00C80754"/>
    <w:rsid w:val="00C809B5"/>
    <w:rsid w:val="00C80D7A"/>
    <w:rsid w:val="00C8276E"/>
    <w:rsid w:val="00C83681"/>
    <w:rsid w:val="00C84021"/>
    <w:rsid w:val="00C841FD"/>
    <w:rsid w:val="00C86028"/>
    <w:rsid w:val="00C87030"/>
    <w:rsid w:val="00C87F0E"/>
    <w:rsid w:val="00C91FDA"/>
    <w:rsid w:val="00C932E9"/>
    <w:rsid w:val="00C93554"/>
    <w:rsid w:val="00C93E91"/>
    <w:rsid w:val="00C93F29"/>
    <w:rsid w:val="00C953EB"/>
    <w:rsid w:val="00C96E1E"/>
    <w:rsid w:val="00C97094"/>
    <w:rsid w:val="00C9718E"/>
    <w:rsid w:val="00C97AB0"/>
    <w:rsid w:val="00CA022B"/>
    <w:rsid w:val="00CA041A"/>
    <w:rsid w:val="00CA090C"/>
    <w:rsid w:val="00CA2015"/>
    <w:rsid w:val="00CA2426"/>
    <w:rsid w:val="00CA2B48"/>
    <w:rsid w:val="00CA4683"/>
    <w:rsid w:val="00CA4B75"/>
    <w:rsid w:val="00CA4C5D"/>
    <w:rsid w:val="00CA4C96"/>
    <w:rsid w:val="00CA5921"/>
    <w:rsid w:val="00CA61B5"/>
    <w:rsid w:val="00CA6479"/>
    <w:rsid w:val="00CA6693"/>
    <w:rsid w:val="00CA68F3"/>
    <w:rsid w:val="00CA7302"/>
    <w:rsid w:val="00CA7446"/>
    <w:rsid w:val="00CA7C05"/>
    <w:rsid w:val="00CB02D7"/>
    <w:rsid w:val="00CB065E"/>
    <w:rsid w:val="00CB06C1"/>
    <w:rsid w:val="00CB0861"/>
    <w:rsid w:val="00CB18B9"/>
    <w:rsid w:val="00CB1F8D"/>
    <w:rsid w:val="00CB2002"/>
    <w:rsid w:val="00CB202D"/>
    <w:rsid w:val="00CB26D5"/>
    <w:rsid w:val="00CB290D"/>
    <w:rsid w:val="00CB2BE1"/>
    <w:rsid w:val="00CB30DB"/>
    <w:rsid w:val="00CB3278"/>
    <w:rsid w:val="00CB32AA"/>
    <w:rsid w:val="00CB355B"/>
    <w:rsid w:val="00CB3C19"/>
    <w:rsid w:val="00CB5DC9"/>
    <w:rsid w:val="00CB79D3"/>
    <w:rsid w:val="00CC06E3"/>
    <w:rsid w:val="00CC09E7"/>
    <w:rsid w:val="00CC0C70"/>
    <w:rsid w:val="00CC0E48"/>
    <w:rsid w:val="00CC2034"/>
    <w:rsid w:val="00CC225E"/>
    <w:rsid w:val="00CC2607"/>
    <w:rsid w:val="00CC2CDF"/>
    <w:rsid w:val="00CC2F02"/>
    <w:rsid w:val="00CC5DEF"/>
    <w:rsid w:val="00CC7278"/>
    <w:rsid w:val="00CC7665"/>
    <w:rsid w:val="00CC7BAD"/>
    <w:rsid w:val="00CD00CD"/>
    <w:rsid w:val="00CD0349"/>
    <w:rsid w:val="00CD1972"/>
    <w:rsid w:val="00CD2776"/>
    <w:rsid w:val="00CD2A67"/>
    <w:rsid w:val="00CD2F17"/>
    <w:rsid w:val="00CD34E5"/>
    <w:rsid w:val="00CD39D7"/>
    <w:rsid w:val="00CD551D"/>
    <w:rsid w:val="00CD5E03"/>
    <w:rsid w:val="00CD5F25"/>
    <w:rsid w:val="00CD6030"/>
    <w:rsid w:val="00CD6CE1"/>
    <w:rsid w:val="00CD70C4"/>
    <w:rsid w:val="00CD754F"/>
    <w:rsid w:val="00CD7698"/>
    <w:rsid w:val="00CD7780"/>
    <w:rsid w:val="00CE0229"/>
    <w:rsid w:val="00CE0AF0"/>
    <w:rsid w:val="00CE1409"/>
    <w:rsid w:val="00CE1C68"/>
    <w:rsid w:val="00CE1D2D"/>
    <w:rsid w:val="00CE208B"/>
    <w:rsid w:val="00CE27A9"/>
    <w:rsid w:val="00CE2864"/>
    <w:rsid w:val="00CE3148"/>
    <w:rsid w:val="00CE390B"/>
    <w:rsid w:val="00CE4DF5"/>
    <w:rsid w:val="00CE5104"/>
    <w:rsid w:val="00CE52BA"/>
    <w:rsid w:val="00CE5599"/>
    <w:rsid w:val="00CE6037"/>
    <w:rsid w:val="00CE61ED"/>
    <w:rsid w:val="00CE6669"/>
    <w:rsid w:val="00CE6C87"/>
    <w:rsid w:val="00CE7750"/>
    <w:rsid w:val="00CE7D43"/>
    <w:rsid w:val="00CF0CA9"/>
    <w:rsid w:val="00CF0D07"/>
    <w:rsid w:val="00CF1059"/>
    <w:rsid w:val="00CF1A70"/>
    <w:rsid w:val="00CF1E4E"/>
    <w:rsid w:val="00CF298E"/>
    <w:rsid w:val="00CF3A9F"/>
    <w:rsid w:val="00CF4360"/>
    <w:rsid w:val="00CF4906"/>
    <w:rsid w:val="00CF4FE1"/>
    <w:rsid w:val="00CF504A"/>
    <w:rsid w:val="00CF67B6"/>
    <w:rsid w:val="00CF6D84"/>
    <w:rsid w:val="00CF73AA"/>
    <w:rsid w:val="00CF7DF3"/>
    <w:rsid w:val="00D01EA6"/>
    <w:rsid w:val="00D02FD2"/>
    <w:rsid w:val="00D0309A"/>
    <w:rsid w:val="00D035AD"/>
    <w:rsid w:val="00D0395F"/>
    <w:rsid w:val="00D03C83"/>
    <w:rsid w:val="00D04253"/>
    <w:rsid w:val="00D04F1A"/>
    <w:rsid w:val="00D050EA"/>
    <w:rsid w:val="00D05988"/>
    <w:rsid w:val="00D05A4F"/>
    <w:rsid w:val="00D05CD3"/>
    <w:rsid w:val="00D0634F"/>
    <w:rsid w:val="00D07333"/>
    <w:rsid w:val="00D075B7"/>
    <w:rsid w:val="00D079C3"/>
    <w:rsid w:val="00D07D4D"/>
    <w:rsid w:val="00D07E15"/>
    <w:rsid w:val="00D10658"/>
    <w:rsid w:val="00D10A5C"/>
    <w:rsid w:val="00D10A7D"/>
    <w:rsid w:val="00D11323"/>
    <w:rsid w:val="00D12727"/>
    <w:rsid w:val="00D12E62"/>
    <w:rsid w:val="00D13159"/>
    <w:rsid w:val="00D13168"/>
    <w:rsid w:val="00D1326A"/>
    <w:rsid w:val="00D138A6"/>
    <w:rsid w:val="00D13A9F"/>
    <w:rsid w:val="00D14419"/>
    <w:rsid w:val="00D15778"/>
    <w:rsid w:val="00D15B09"/>
    <w:rsid w:val="00D15F67"/>
    <w:rsid w:val="00D162E7"/>
    <w:rsid w:val="00D16740"/>
    <w:rsid w:val="00D16C5A"/>
    <w:rsid w:val="00D177B7"/>
    <w:rsid w:val="00D179F9"/>
    <w:rsid w:val="00D17D26"/>
    <w:rsid w:val="00D17F23"/>
    <w:rsid w:val="00D20896"/>
    <w:rsid w:val="00D21003"/>
    <w:rsid w:val="00D21208"/>
    <w:rsid w:val="00D21A0A"/>
    <w:rsid w:val="00D22313"/>
    <w:rsid w:val="00D2267C"/>
    <w:rsid w:val="00D228CD"/>
    <w:rsid w:val="00D23894"/>
    <w:rsid w:val="00D23BDB"/>
    <w:rsid w:val="00D2422F"/>
    <w:rsid w:val="00D2434A"/>
    <w:rsid w:val="00D2537F"/>
    <w:rsid w:val="00D255A8"/>
    <w:rsid w:val="00D25A24"/>
    <w:rsid w:val="00D26357"/>
    <w:rsid w:val="00D269D4"/>
    <w:rsid w:val="00D26A13"/>
    <w:rsid w:val="00D26C59"/>
    <w:rsid w:val="00D27CE4"/>
    <w:rsid w:val="00D30622"/>
    <w:rsid w:val="00D30841"/>
    <w:rsid w:val="00D319B8"/>
    <w:rsid w:val="00D3207B"/>
    <w:rsid w:val="00D32AA0"/>
    <w:rsid w:val="00D32F38"/>
    <w:rsid w:val="00D33C92"/>
    <w:rsid w:val="00D33E49"/>
    <w:rsid w:val="00D34B03"/>
    <w:rsid w:val="00D34B7D"/>
    <w:rsid w:val="00D34BE8"/>
    <w:rsid w:val="00D34CD1"/>
    <w:rsid w:val="00D363B1"/>
    <w:rsid w:val="00D36F90"/>
    <w:rsid w:val="00D37FDD"/>
    <w:rsid w:val="00D40436"/>
    <w:rsid w:val="00D406DC"/>
    <w:rsid w:val="00D42D7E"/>
    <w:rsid w:val="00D44761"/>
    <w:rsid w:val="00D44D70"/>
    <w:rsid w:val="00D44E2E"/>
    <w:rsid w:val="00D45A6D"/>
    <w:rsid w:val="00D478D2"/>
    <w:rsid w:val="00D503F1"/>
    <w:rsid w:val="00D51789"/>
    <w:rsid w:val="00D51B9C"/>
    <w:rsid w:val="00D52309"/>
    <w:rsid w:val="00D52349"/>
    <w:rsid w:val="00D53349"/>
    <w:rsid w:val="00D5336B"/>
    <w:rsid w:val="00D54539"/>
    <w:rsid w:val="00D548BA"/>
    <w:rsid w:val="00D54B9B"/>
    <w:rsid w:val="00D554A8"/>
    <w:rsid w:val="00D5581C"/>
    <w:rsid w:val="00D55E19"/>
    <w:rsid w:val="00D5657C"/>
    <w:rsid w:val="00D57E22"/>
    <w:rsid w:val="00D57EB6"/>
    <w:rsid w:val="00D603C0"/>
    <w:rsid w:val="00D608E7"/>
    <w:rsid w:val="00D60C8C"/>
    <w:rsid w:val="00D60DB5"/>
    <w:rsid w:val="00D61151"/>
    <w:rsid w:val="00D611CC"/>
    <w:rsid w:val="00D6129A"/>
    <w:rsid w:val="00D62D35"/>
    <w:rsid w:val="00D62FFF"/>
    <w:rsid w:val="00D63B86"/>
    <w:rsid w:val="00D642ED"/>
    <w:rsid w:val="00D64F52"/>
    <w:rsid w:val="00D65A6D"/>
    <w:rsid w:val="00D669EF"/>
    <w:rsid w:val="00D670B8"/>
    <w:rsid w:val="00D676E0"/>
    <w:rsid w:val="00D708BC"/>
    <w:rsid w:val="00D70A61"/>
    <w:rsid w:val="00D7196A"/>
    <w:rsid w:val="00D71BDD"/>
    <w:rsid w:val="00D71E3B"/>
    <w:rsid w:val="00D72568"/>
    <w:rsid w:val="00D72A7A"/>
    <w:rsid w:val="00D72B9C"/>
    <w:rsid w:val="00D730C9"/>
    <w:rsid w:val="00D73B53"/>
    <w:rsid w:val="00D746EE"/>
    <w:rsid w:val="00D74827"/>
    <w:rsid w:val="00D75FAF"/>
    <w:rsid w:val="00D76973"/>
    <w:rsid w:val="00D76B95"/>
    <w:rsid w:val="00D76E4C"/>
    <w:rsid w:val="00D77171"/>
    <w:rsid w:val="00D77C80"/>
    <w:rsid w:val="00D77D96"/>
    <w:rsid w:val="00D77E10"/>
    <w:rsid w:val="00D8085D"/>
    <w:rsid w:val="00D80A42"/>
    <w:rsid w:val="00D80DB6"/>
    <w:rsid w:val="00D80E57"/>
    <w:rsid w:val="00D813C9"/>
    <w:rsid w:val="00D81D9A"/>
    <w:rsid w:val="00D81FBE"/>
    <w:rsid w:val="00D822EA"/>
    <w:rsid w:val="00D824BE"/>
    <w:rsid w:val="00D82796"/>
    <w:rsid w:val="00D83321"/>
    <w:rsid w:val="00D834BF"/>
    <w:rsid w:val="00D8421B"/>
    <w:rsid w:val="00D8521A"/>
    <w:rsid w:val="00D85744"/>
    <w:rsid w:val="00D85E6F"/>
    <w:rsid w:val="00D865BA"/>
    <w:rsid w:val="00D86FF5"/>
    <w:rsid w:val="00D873C3"/>
    <w:rsid w:val="00D903E0"/>
    <w:rsid w:val="00D931C3"/>
    <w:rsid w:val="00D93A0E"/>
    <w:rsid w:val="00D9440B"/>
    <w:rsid w:val="00D94DE1"/>
    <w:rsid w:val="00D94ED8"/>
    <w:rsid w:val="00D94FAF"/>
    <w:rsid w:val="00D95138"/>
    <w:rsid w:val="00D9526D"/>
    <w:rsid w:val="00D955C0"/>
    <w:rsid w:val="00D958ED"/>
    <w:rsid w:val="00D96415"/>
    <w:rsid w:val="00D9649A"/>
    <w:rsid w:val="00D979D6"/>
    <w:rsid w:val="00DA0D48"/>
    <w:rsid w:val="00DA1659"/>
    <w:rsid w:val="00DA200A"/>
    <w:rsid w:val="00DA2D7D"/>
    <w:rsid w:val="00DA30C4"/>
    <w:rsid w:val="00DA498C"/>
    <w:rsid w:val="00DA4A70"/>
    <w:rsid w:val="00DA51C8"/>
    <w:rsid w:val="00DA5DEA"/>
    <w:rsid w:val="00DA605F"/>
    <w:rsid w:val="00DA6082"/>
    <w:rsid w:val="00DA7011"/>
    <w:rsid w:val="00DA7663"/>
    <w:rsid w:val="00DA7A4C"/>
    <w:rsid w:val="00DB02AE"/>
    <w:rsid w:val="00DB0E84"/>
    <w:rsid w:val="00DB0EE4"/>
    <w:rsid w:val="00DB1CB0"/>
    <w:rsid w:val="00DB1D1E"/>
    <w:rsid w:val="00DB1DCA"/>
    <w:rsid w:val="00DB236C"/>
    <w:rsid w:val="00DB285B"/>
    <w:rsid w:val="00DB321F"/>
    <w:rsid w:val="00DB3A57"/>
    <w:rsid w:val="00DB43FA"/>
    <w:rsid w:val="00DB4C88"/>
    <w:rsid w:val="00DB5234"/>
    <w:rsid w:val="00DB5450"/>
    <w:rsid w:val="00DB5818"/>
    <w:rsid w:val="00DB5CBE"/>
    <w:rsid w:val="00DB601A"/>
    <w:rsid w:val="00DB65B8"/>
    <w:rsid w:val="00DB6D56"/>
    <w:rsid w:val="00DB794E"/>
    <w:rsid w:val="00DC1B76"/>
    <w:rsid w:val="00DC1BEA"/>
    <w:rsid w:val="00DC24A9"/>
    <w:rsid w:val="00DC2874"/>
    <w:rsid w:val="00DC3D2D"/>
    <w:rsid w:val="00DC465B"/>
    <w:rsid w:val="00DC562D"/>
    <w:rsid w:val="00DC64C6"/>
    <w:rsid w:val="00DC71A7"/>
    <w:rsid w:val="00DC77D7"/>
    <w:rsid w:val="00DD0B36"/>
    <w:rsid w:val="00DD121B"/>
    <w:rsid w:val="00DD20E7"/>
    <w:rsid w:val="00DD29A5"/>
    <w:rsid w:val="00DD3094"/>
    <w:rsid w:val="00DD3308"/>
    <w:rsid w:val="00DD3480"/>
    <w:rsid w:val="00DD38E6"/>
    <w:rsid w:val="00DD3BFD"/>
    <w:rsid w:val="00DD3D7E"/>
    <w:rsid w:val="00DD4A22"/>
    <w:rsid w:val="00DD4C57"/>
    <w:rsid w:val="00DD6F0E"/>
    <w:rsid w:val="00DE009B"/>
    <w:rsid w:val="00DE0833"/>
    <w:rsid w:val="00DE0977"/>
    <w:rsid w:val="00DE09BC"/>
    <w:rsid w:val="00DE0A0A"/>
    <w:rsid w:val="00DE0F9C"/>
    <w:rsid w:val="00DE106B"/>
    <w:rsid w:val="00DE10FA"/>
    <w:rsid w:val="00DE1744"/>
    <w:rsid w:val="00DE2A83"/>
    <w:rsid w:val="00DE2A94"/>
    <w:rsid w:val="00DE32A3"/>
    <w:rsid w:val="00DE394E"/>
    <w:rsid w:val="00DE402B"/>
    <w:rsid w:val="00DE4593"/>
    <w:rsid w:val="00DE46D9"/>
    <w:rsid w:val="00DE4C8D"/>
    <w:rsid w:val="00DE5BDE"/>
    <w:rsid w:val="00DE6C3D"/>
    <w:rsid w:val="00DE6EE8"/>
    <w:rsid w:val="00DE7606"/>
    <w:rsid w:val="00DE779C"/>
    <w:rsid w:val="00DE7C32"/>
    <w:rsid w:val="00DE7FEB"/>
    <w:rsid w:val="00DF0F0B"/>
    <w:rsid w:val="00DF121F"/>
    <w:rsid w:val="00DF1AF0"/>
    <w:rsid w:val="00DF3895"/>
    <w:rsid w:val="00DF4661"/>
    <w:rsid w:val="00DF46CA"/>
    <w:rsid w:val="00DF46EF"/>
    <w:rsid w:val="00DF46F7"/>
    <w:rsid w:val="00DF5459"/>
    <w:rsid w:val="00DF58BA"/>
    <w:rsid w:val="00DF5A5F"/>
    <w:rsid w:val="00DF647F"/>
    <w:rsid w:val="00DF7A6F"/>
    <w:rsid w:val="00E00C80"/>
    <w:rsid w:val="00E01165"/>
    <w:rsid w:val="00E0202B"/>
    <w:rsid w:val="00E02133"/>
    <w:rsid w:val="00E0242D"/>
    <w:rsid w:val="00E02BC9"/>
    <w:rsid w:val="00E0330A"/>
    <w:rsid w:val="00E03321"/>
    <w:rsid w:val="00E0349C"/>
    <w:rsid w:val="00E040C3"/>
    <w:rsid w:val="00E0470B"/>
    <w:rsid w:val="00E04A5D"/>
    <w:rsid w:val="00E04EA9"/>
    <w:rsid w:val="00E05040"/>
    <w:rsid w:val="00E0531C"/>
    <w:rsid w:val="00E05818"/>
    <w:rsid w:val="00E05928"/>
    <w:rsid w:val="00E05E8D"/>
    <w:rsid w:val="00E06FCD"/>
    <w:rsid w:val="00E07EFC"/>
    <w:rsid w:val="00E1183C"/>
    <w:rsid w:val="00E11B32"/>
    <w:rsid w:val="00E11E12"/>
    <w:rsid w:val="00E13B28"/>
    <w:rsid w:val="00E1474C"/>
    <w:rsid w:val="00E14C7B"/>
    <w:rsid w:val="00E17043"/>
    <w:rsid w:val="00E17834"/>
    <w:rsid w:val="00E20EE1"/>
    <w:rsid w:val="00E218CA"/>
    <w:rsid w:val="00E220B2"/>
    <w:rsid w:val="00E23644"/>
    <w:rsid w:val="00E249C3"/>
    <w:rsid w:val="00E25293"/>
    <w:rsid w:val="00E261C4"/>
    <w:rsid w:val="00E26DC4"/>
    <w:rsid w:val="00E275AD"/>
    <w:rsid w:val="00E27BAA"/>
    <w:rsid w:val="00E30884"/>
    <w:rsid w:val="00E3109F"/>
    <w:rsid w:val="00E31B5A"/>
    <w:rsid w:val="00E3223E"/>
    <w:rsid w:val="00E32529"/>
    <w:rsid w:val="00E327C5"/>
    <w:rsid w:val="00E3284D"/>
    <w:rsid w:val="00E32DE4"/>
    <w:rsid w:val="00E33803"/>
    <w:rsid w:val="00E33E6D"/>
    <w:rsid w:val="00E34865"/>
    <w:rsid w:val="00E34CD7"/>
    <w:rsid w:val="00E3567B"/>
    <w:rsid w:val="00E35789"/>
    <w:rsid w:val="00E363F5"/>
    <w:rsid w:val="00E36E94"/>
    <w:rsid w:val="00E36F74"/>
    <w:rsid w:val="00E37181"/>
    <w:rsid w:val="00E373ED"/>
    <w:rsid w:val="00E37A18"/>
    <w:rsid w:val="00E41747"/>
    <w:rsid w:val="00E42321"/>
    <w:rsid w:val="00E4232E"/>
    <w:rsid w:val="00E42C64"/>
    <w:rsid w:val="00E43086"/>
    <w:rsid w:val="00E43963"/>
    <w:rsid w:val="00E43CED"/>
    <w:rsid w:val="00E43F10"/>
    <w:rsid w:val="00E44ECF"/>
    <w:rsid w:val="00E44EE3"/>
    <w:rsid w:val="00E450C1"/>
    <w:rsid w:val="00E458B5"/>
    <w:rsid w:val="00E45B76"/>
    <w:rsid w:val="00E45B87"/>
    <w:rsid w:val="00E45FE0"/>
    <w:rsid w:val="00E461DF"/>
    <w:rsid w:val="00E46C12"/>
    <w:rsid w:val="00E46F73"/>
    <w:rsid w:val="00E47DAB"/>
    <w:rsid w:val="00E50128"/>
    <w:rsid w:val="00E50825"/>
    <w:rsid w:val="00E514EF"/>
    <w:rsid w:val="00E51BA2"/>
    <w:rsid w:val="00E534DB"/>
    <w:rsid w:val="00E53600"/>
    <w:rsid w:val="00E546AF"/>
    <w:rsid w:val="00E55189"/>
    <w:rsid w:val="00E5546B"/>
    <w:rsid w:val="00E55984"/>
    <w:rsid w:val="00E55C8F"/>
    <w:rsid w:val="00E55DEA"/>
    <w:rsid w:val="00E5665D"/>
    <w:rsid w:val="00E56982"/>
    <w:rsid w:val="00E56BB2"/>
    <w:rsid w:val="00E56C90"/>
    <w:rsid w:val="00E57142"/>
    <w:rsid w:val="00E579ED"/>
    <w:rsid w:val="00E605AE"/>
    <w:rsid w:val="00E60F98"/>
    <w:rsid w:val="00E61333"/>
    <w:rsid w:val="00E616B3"/>
    <w:rsid w:val="00E61733"/>
    <w:rsid w:val="00E6208F"/>
    <w:rsid w:val="00E6218E"/>
    <w:rsid w:val="00E624D5"/>
    <w:rsid w:val="00E63085"/>
    <w:rsid w:val="00E635F6"/>
    <w:rsid w:val="00E637EB"/>
    <w:rsid w:val="00E63D04"/>
    <w:rsid w:val="00E63D5E"/>
    <w:rsid w:val="00E64F2C"/>
    <w:rsid w:val="00E6573F"/>
    <w:rsid w:val="00E65C2A"/>
    <w:rsid w:val="00E65E29"/>
    <w:rsid w:val="00E6652C"/>
    <w:rsid w:val="00E672A3"/>
    <w:rsid w:val="00E67814"/>
    <w:rsid w:val="00E67D35"/>
    <w:rsid w:val="00E7001B"/>
    <w:rsid w:val="00E7089B"/>
    <w:rsid w:val="00E719F6"/>
    <w:rsid w:val="00E723E3"/>
    <w:rsid w:val="00E72703"/>
    <w:rsid w:val="00E736C3"/>
    <w:rsid w:val="00E73713"/>
    <w:rsid w:val="00E7401E"/>
    <w:rsid w:val="00E74923"/>
    <w:rsid w:val="00E749A2"/>
    <w:rsid w:val="00E767C1"/>
    <w:rsid w:val="00E776F0"/>
    <w:rsid w:val="00E7778B"/>
    <w:rsid w:val="00E77D04"/>
    <w:rsid w:val="00E81456"/>
    <w:rsid w:val="00E815F6"/>
    <w:rsid w:val="00E81625"/>
    <w:rsid w:val="00E81839"/>
    <w:rsid w:val="00E81BD4"/>
    <w:rsid w:val="00E82472"/>
    <w:rsid w:val="00E824EF"/>
    <w:rsid w:val="00E826B8"/>
    <w:rsid w:val="00E8385E"/>
    <w:rsid w:val="00E838D2"/>
    <w:rsid w:val="00E83926"/>
    <w:rsid w:val="00E8520E"/>
    <w:rsid w:val="00E8545D"/>
    <w:rsid w:val="00E86278"/>
    <w:rsid w:val="00E8692B"/>
    <w:rsid w:val="00E86CBC"/>
    <w:rsid w:val="00E874CC"/>
    <w:rsid w:val="00E902C7"/>
    <w:rsid w:val="00E902F5"/>
    <w:rsid w:val="00E90989"/>
    <w:rsid w:val="00E90FE6"/>
    <w:rsid w:val="00E91060"/>
    <w:rsid w:val="00E9216C"/>
    <w:rsid w:val="00E921FA"/>
    <w:rsid w:val="00E923DA"/>
    <w:rsid w:val="00E923F8"/>
    <w:rsid w:val="00E934D7"/>
    <w:rsid w:val="00E9418E"/>
    <w:rsid w:val="00E94577"/>
    <w:rsid w:val="00E946E0"/>
    <w:rsid w:val="00E947FE"/>
    <w:rsid w:val="00E949D9"/>
    <w:rsid w:val="00E94A24"/>
    <w:rsid w:val="00E94B78"/>
    <w:rsid w:val="00E95158"/>
    <w:rsid w:val="00E9561C"/>
    <w:rsid w:val="00E970F1"/>
    <w:rsid w:val="00E9762B"/>
    <w:rsid w:val="00E978D2"/>
    <w:rsid w:val="00EA0860"/>
    <w:rsid w:val="00EA0A87"/>
    <w:rsid w:val="00EA133D"/>
    <w:rsid w:val="00EA16BA"/>
    <w:rsid w:val="00EA1CA7"/>
    <w:rsid w:val="00EA1DEB"/>
    <w:rsid w:val="00EA2502"/>
    <w:rsid w:val="00EA3EE7"/>
    <w:rsid w:val="00EA53A7"/>
    <w:rsid w:val="00EA55F0"/>
    <w:rsid w:val="00EA605A"/>
    <w:rsid w:val="00EA66D6"/>
    <w:rsid w:val="00EA684B"/>
    <w:rsid w:val="00EA6920"/>
    <w:rsid w:val="00EA6B00"/>
    <w:rsid w:val="00EA6D4E"/>
    <w:rsid w:val="00EA775C"/>
    <w:rsid w:val="00EA793C"/>
    <w:rsid w:val="00EB066C"/>
    <w:rsid w:val="00EB0BD0"/>
    <w:rsid w:val="00EB0F36"/>
    <w:rsid w:val="00EB1C44"/>
    <w:rsid w:val="00EB1FA9"/>
    <w:rsid w:val="00EB24FF"/>
    <w:rsid w:val="00EB37F2"/>
    <w:rsid w:val="00EB5409"/>
    <w:rsid w:val="00EB5FB8"/>
    <w:rsid w:val="00EB6411"/>
    <w:rsid w:val="00EB6453"/>
    <w:rsid w:val="00EB66C9"/>
    <w:rsid w:val="00EB67F3"/>
    <w:rsid w:val="00EB69D8"/>
    <w:rsid w:val="00EB7023"/>
    <w:rsid w:val="00EB737C"/>
    <w:rsid w:val="00EB7853"/>
    <w:rsid w:val="00EC02C3"/>
    <w:rsid w:val="00EC0393"/>
    <w:rsid w:val="00EC07E7"/>
    <w:rsid w:val="00EC087E"/>
    <w:rsid w:val="00EC1740"/>
    <w:rsid w:val="00EC2DAE"/>
    <w:rsid w:val="00EC3351"/>
    <w:rsid w:val="00EC37D8"/>
    <w:rsid w:val="00EC52BC"/>
    <w:rsid w:val="00EC661A"/>
    <w:rsid w:val="00EC6B08"/>
    <w:rsid w:val="00EC7260"/>
    <w:rsid w:val="00EC7457"/>
    <w:rsid w:val="00EC7DA8"/>
    <w:rsid w:val="00EC7F9F"/>
    <w:rsid w:val="00ED002E"/>
    <w:rsid w:val="00ED0B29"/>
    <w:rsid w:val="00ED16F5"/>
    <w:rsid w:val="00ED2C70"/>
    <w:rsid w:val="00ED3B7C"/>
    <w:rsid w:val="00ED428E"/>
    <w:rsid w:val="00ED4A10"/>
    <w:rsid w:val="00ED5C5D"/>
    <w:rsid w:val="00ED5F03"/>
    <w:rsid w:val="00ED6061"/>
    <w:rsid w:val="00ED6AC7"/>
    <w:rsid w:val="00ED7C07"/>
    <w:rsid w:val="00EE02D9"/>
    <w:rsid w:val="00EE0C7E"/>
    <w:rsid w:val="00EE1042"/>
    <w:rsid w:val="00EE1C89"/>
    <w:rsid w:val="00EE353E"/>
    <w:rsid w:val="00EE3D64"/>
    <w:rsid w:val="00EE40BA"/>
    <w:rsid w:val="00EE4197"/>
    <w:rsid w:val="00EE421A"/>
    <w:rsid w:val="00EE514D"/>
    <w:rsid w:val="00EE63B9"/>
    <w:rsid w:val="00EE70D2"/>
    <w:rsid w:val="00EE7169"/>
    <w:rsid w:val="00EE7DB8"/>
    <w:rsid w:val="00EF014E"/>
    <w:rsid w:val="00EF031F"/>
    <w:rsid w:val="00EF2454"/>
    <w:rsid w:val="00EF36AE"/>
    <w:rsid w:val="00EF37CF"/>
    <w:rsid w:val="00EF5F4F"/>
    <w:rsid w:val="00EF6C4F"/>
    <w:rsid w:val="00EF6D8C"/>
    <w:rsid w:val="00EF745B"/>
    <w:rsid w:val="00F015EF"/>
    <w:rsid w:val="00F02142"/>
    <w:rsid w:val="00F02AEA"/>
    <w:rsid w:val="00F03471"/>
    <w:rsid w:val="00F034A2"/>
    <w:rsid w:val="00F039FE"/>
    <w:rsid w:val="00F0473A"/>
    <w:rsid w:val="00F0523F"/>
    <w:rsid w:val="00F05D6E"/>
    <w:rsid w:val="00F0719A"/>
    <w:rsid w:val="00F076DC"/>
    <w:rsid w:val="00F07D71"/>
    <w:rsid w:val="00F10280"/>
    <w:rsid w:val="00F110C3"/>
    <w:rsid w:val="00F11C13"/>
    <w:rsid w:val="00F121E1"/>
    <w:rsid w:val="00F126A5"/>
    <w:rsid w:val="00F131BC"/>
    <w:rsid w:val="00F1379C"/>
    <w:rsid w:val="00F1559E"/>
    <w:rsid w:val="00F1579C"/>
    <w:rsid w:val="00F16137"/>
    <w:rsid w:val="00F1685C"/>
    <w:rsid w:val="00F16931"/>
    <w:rsid w:val="00F16BD5"/>
    <w:rsid w:val="00F16CAC"/>
    <w:rsid w:val="00F1792E"/>
    <w:rsid w:val="00F209DE"/>
    <w:rsid w:val="00F219C7"/>
    <w:rsid w:val="00F22E48"/>
    <w:rsid w:val="00F22E8E"/>
    <w:rsid w:val="00F23A3F"/>
    <w:rsid w:val="00F23CF4"/>
    <w:rsid w:val="00F24055"/>
    <w:rsid w:val="00F24A6B"/>
    <w:rsid w:val="00F24E61"/>
    <w:rsid w:val="00F25276"/>
    <w:rsid w:val="00F25C0F"/>
    <w:rsid w:val="00F26D25"/>
    <w:rsid w:val="00F26E75"/>
    <w:rsid w:val="00F306CF"/>
    <w:rsid w:val="00F30BAA"/>
    <w:rsid w:val="00F31975"/>
    <w:rsid w:val="00F32A6C"/>
    <w:rsid w:val="00F32D18"/>
    <w:rsid w:val="00F3311C"/>
    <w:rsid w:val="00F33D3F"/>
    <w:rsid w:val="00F349FA"/>
    <w:rsid w:val="00F3530F"/>
    <w:rsid w:val="00F355E7"/>
    <w:rsid w:val="00F36090"/>
    <w:rsid w:val="00F36843"/>
    <w:rsid w:val="00F36910"/>
    <w:rsid w:val="00F37177"/>
    <w:rsid w:val="00F37A1D"/>
    <w:rsid w:val="00F4043E"/>
    <w:rsid w:val="00F407F4"/>
    <w:rsid w:val="00F41AA2"/>
    <w:rsid w:val="00F41F07"/>
    <w:rsid w:val="00F423BA"/>
    <w:rsid w:val="00F42C1F"/>
    <w:rsid w:val="00F43148"/>
    <w:rsid w:val="00F433B6"/>
    <w:rsid w:val="00F4350C"/>
    <w:rsid w:val="00F442DF"/>
    <w:rsid w:val="00F44509"/>
    <w:rsid w:val="00F45322"/>
    <w:rsid w:val="00F45C32"/>
    <w:rsid w:val="00F45E73"/>
    <w:rsid w:val="00F46D6F"/>
    <w:rsid w:val="00F5033C"/>
    <w:rsid w:val="00F51D83"/>
    <w:rsid w:val="00F521DF"/>
    <w:rsid w:val="00F525B3"/>
    <w:rsid w:val="00F534C5"/>
    <w:rsid w:val="00F5505B"/>
    <w:rsid w:val="00F55725"/>
    <w:rsid w:val="00F55F0F"/>
    <w:rsid w:val="00F56FE4"/>
    <w:rsid w:val="00F60D60"/>
    <w:rsid w:val="00F60EE8"/>
    <w:rsid w:val="00F61A0C"/>
    <w:rsid w:val="00F61DEB"/>
    <w:rsid w:val="00F639D4"/>
    <w:rsid w:val="00F63D27"/>
    <w:rsid w:val="00F647FE"/>
    <w:rsid w:val="00F65143"/>
    <w:rsid w:val="00F65DA3"/>
    <w:rsid w:val="00F66861"/>
    <w:rsid w:val="00F668C5"/>
    <w:rsid w:val="00F668C7"/>
    <w:rsid w:val="00F6722A"/>
    <w:rsid w:val="00F67A2C"/>
    <w:rsid w:val="00F67EE6"/>
    <w:rsid w:val="00F70779"/>
    <w:rsid w:val="00F707A0"/>
    <w:rsid w:val="00F70E80"/>
    <w:rsid w:val="00F71ED9"/>
    <w:rsid w:val="00F72174"/>
    <w:rsid w:val="00F727E4"/>
    <w:rsid w:val="00F72E83"/>
    <w:rsid w:val="00F7300B"/>
    <w:rsid w:val="00F735A0"/>
    <w:rsid w:val="00F7375C"/>
    <w:rsid w:val="00F739A1"/>
    <w:rsid w:val="00F73B95"/>
    <w:rsid w:val="00F74422"/>
    <w:rsid w:val="00F74954"/>
    <w:rsid w:val="00F74A39"/>
    <w:rsid w:val="00F75B9B"/>
    <w:rsid w:val="00F77020"/>
    <w:rsid w:val="00F77887"/>
    <w:rsid w:val="00F77F43"/>
    <w:rsid w:val="00F80C67"/>
    <w:rsid w:val="00F80E53"/>
    <w:rsid w:val="00F81BF1"/>
    <w:rsid w:val="00F82399"/>
    <w:rsid w:val="00F82F51"/>
    <w:rsid w:val="00F8309F"/>
    <w:rsid w:val="00F835FE"/>
    <w:rsid w:val="00F836CA"/>
    <w:rsid w:val="00F837F9"/>
    <w:rsid w:val="00F83C30"/>
    <w:rsid w:val="00F83C85"/>
    <w:rsid w:val="00F83CE4"/>
    <w:rsid w:val="00F8489D"/>
    <w:rsid w:val="00F8506C"/>
    <w:rsid w:val="00F854FE"/>
    <w:rsid w:val="00F85E2E"/>
    <w:rsid w:val="00F85E8E"/>
    <w:rsid w:val="00F85F79"/>
    <w:rsid w:val="00F85FF2"/>
    <w:rsid w:val="00F861A2"/>
    <w:rsid w:val="00F90D77"/>
    <w:rsid w:val="00F90E9D"/>
    <w:rsid w:val="00F9128E"/>
    <w:rsid w:val="00F913B8"/>
    <w:rsid w:val="00F913C3"/>
    <w:rsid w:val="00F91C1E"/>
    <w:rsid w:val="00F92DF8"/>
    <w:rsid w:val="00F9325E"/>
    <w:rsid w:val="00F944F0"/>
    <w:rsid w:val="00F94BBE"/>
    <w:rsid w:val="00F95957"/>
    <w:rsid w:val="00F959CB"/>
    <w:rsid w:val="00F959E3"/>
    <w:rsid w:val="00F964BE"/>
    <w:rsid w:val="00F96732"/>
    <w:rsid w:val="00F96A3A"/>
    <w:rsid w:val="00F96B72"/>
    <w:rsid w:val="00F97948"/>
    <w:rsid w:val="00FA0867"/>
    <w:rsid w:val="00FA0CDE"/>
    <w:rsid w:val="00FA100B"/>
    <w:rsid w:val="00FA1436"/>
    <w:rsid w:val="00FA1DAB"/>
    <w:rsid w:val="00FA1E6B"/>
    <w:rsid w:val="00FA2611"/>
    <w:rsid w:val="00FA2CD9"/>
    <w:rsid w:val="00FA47C8"/>
    <w:rsid w:val="00FA4A26"/>
    <w:rsid w:val="00FA4B8F"/>
    <w:rsid w:val="00FA4D89"/>
    <w:rsid w:val="00FA5E75"/>
    <w:rsid w:val="00FA62E9"/>
    <w:rsid w:val="00FA6385"/>
    <w:rsid w:val="00FA7F41"/>
    <w:rsid w:val="00FB03C9"/>
    <w:rsid w:val="00FB0C75"/>
    <w:rsid w:val="00FB0C7A"/>
    <w:rsid w:val="00FB0F66"/>
    <w:rsid w:val="00FB1E35"/>
    <w:rsid w:val="00FB23AB"/>
    <w:rsid w:val="00FB28DE"/>
    <w:rsid w:val="00FB3501"/>
    <w:rsid w:val="00FB3685"/>
    <w:rsid w:val="00FB39A8"/>
    <w:rsid w:val="00FB3F7F"/>
    <w:rsid w:val="00FB517E"/>
    <w:rsid w:val="00FB54FF"/>
    <w:rsid w:val="00FB56D2"/>
    <w:rsid w:val="00FB5B1A"/>
    <w:rsid w:val="00FB6047"/>
    <w:rsid w:val="00FB6636"/>
    <w:rsid w:val="00FB7466"/>
    <w:rsid w:val="00FC0694"/>
    <w:rsid w:val="00FC172A"/>
    <w:rsid w:val="00FC1AE5"/>
    <w:rsid w:val="00FC2BA4"/>
    <w:rsid w:val="00FC3DB0"/>
    <w:rsid w:val="00FC3E1B"/>
    <w:rsid w:val="00FC4F38"/>
    <w:rsid w:val="00FC5490"/>
    <w:rsid w:val="00FC62B1"/>
    <w:rsid w:val="00FC64C2"/>
    <w:rsid w:val="00FC76A4"/>
    <w:rsid w:val="00FD00B6"/>
    <w:rsid w:val="00FD0521"/>
    <w:rsid w:val="00FD0DBD"/>
    <w:rsid w:val="00FD0DDB"/>
    <w:rsid w:val="00FD129B"/>
    <w:rsid w:val="00FD1400"/>
    <w:rsid w:val="00FD1DCB"/>
    <w:rsid w:val="00FD1DEC"/>
    <w:rsid w:val="00FD27BA"/>
    <w:rsid w:val="00FD37B2"/>
    <w:rsid w:val="00FD4387"/>
    <w:rsid w:val="00FD4540"/>
    <w:rsid w:val="00FD57B0"/>
    <w:rsid w:val="00FD66B7"/>
    <w:rsid w:val="00FD7B57"/>
    <w:rsid w:val="00FE0A52"/>
    <w:rsid w:val="00FE301F"/>
    <w:rsid w:val="00FE528C"/>
    <w:rsid w:val="00FE6B10"/>
    <w:rsid w:val="00FE719D"/>
    <w:rsid w:val="00FE77B5"/>
    <w:rsid w:val="00FE7B5F"/>
    <w:rsid w:val="00FE7DC6"/>
    <w:rsid w:val="00FF02CD"/>
    <w:rsid w:val="00FF0BEB"/>
    <w:rsid w:val="00FF1160"/>
    <w:rsid w:val="00FF1314"/>
    <w:rsid w:val="00FF1326"/>
    <w:rsid w:val="00FF18C7"/>
    <w:rsid w:val="00FF2583"/>
    <w:rsid w:val="00FF261F"/>
    <w:rsid w:val="00FF2CAB"/>
    <w:rsid w:val="00FF3395"/>
    <w:rsid w:val="00FF3547"/>
    <w:rsid w:val="00FF3BDE"/>
    <w:rsid w:val="00FF4EB1"/>
    <w:rsid w:val="00FF7454"/>
    <w:rsid w:val="00FF791C"/>
    <w:rsid w:val="00FF7EB3"/>
    <w:rsid w:val="010018CE"/>
    <w:rsid w:val="01161381"/>
    <w:rsid w:val="01181DD9"/>
    <w:rsid w:val="014035EB"/>
    <w:rsid w:val="014B5F51"/>
    <w:rsid w:val="015B71E8"/>
    <w:rsid w:val="01611D93"/>
    <w:rsid w:val="01641635"/>
    <w:rsid w:val="017D31AE"/>
    <w:rsid w:val="01851694"/>
    <w:rsid w:val="01930571"/>
    <w:rsid w:val="019D147D"/>
    <w:rsid w:val="01A108DC"/>
    <w:rsid w:val="01BA5672"/>
    <w:rsid w:val="01BE3C8E"/>
    <w:rsid w:val="01CF1530"/>
    <w:rsid w:val="01D45D8F"/>
    <w:rsid w:val="01D73353"/>
    <w:rsid w:val="01D84888"/>
    <w:rsid w:val="01DA2E72"/>
    <w:rsid w:val="01DC539A"/>
    <w:rsid w:val="01EB2D0A"/>
    <w:rsid w:val="01EF3980"/>
    <w:rsid w:val="01F01BD2"/>
    <w:rsid w:val="01F571E8"/>
    <w:rsid w:val="0202112B"/>
    <w:rsid w:val="02072A78"/>
    <w:rsid w:val="02085203"/>
    <w:rsid w:val="020F5CF5"/>
    <w:rsid w:val="0224187C"/>
    <w:rsid w:val="02336B3B"/>
    <w:rsid w:val="023B0C37"/>
    <w:rsid w:val="0241242E"/>
    <w:rsid w:val="0261487E"/>
    <w:rsid w:val="026F58EE"/>
    <w:rsid w:val="027503C9"/>
    <w:rsid w:val="027653AF"/>
    <w:rsid w:val="027F0426"/>
    <w:rsid w:val="02857A70"/>
    <w:rsid w:val="02864DCE"/>
    <w:rsid w:val="028975AE"/>
    <w:rsid w:val="028C1F3F"/>
    <w:rsid w:val="029E5443"/>
    <w:rsid w:val="02A0095B"/>
    <w:rsid w:val="02A06C41"/>
    <w:rsid w:val="02A1710F"/>
    <w:rsid w:val="02AE478C"/>
    <w:rsid w:val="02B240F8"/>
    <w:rsid w:val="02B37C3D"/>
    <w:rsid w:val="02B6136E"/>
    <w:rsid w:val="02B8347C"/>
    <w:rsid w:val="02C91C2D"/>
    <w:rsid w:val="02DF21EF"/>
    <w:rsid w:val="02EE1D5F"/>
    <w:rsid w:val="02F900F0"/>
    <w:rsid w:val="02FA5B72"/>
    <w:rsid w:val="03082909"/>
    <w:rsid w:val="0308368E"/>
    <w:rsid w:val="030E7907"/>
    <w:rsid w:val="03121B0D"/>
    <w:rsid w:val="03137677"/>
    <w:rsid w:val="0329503C"/>
    <w:rsid w:val="034659BC"/>
    <w:rsid w:val="034C7850"/>
    <w:rsid w:val="034F2928"/>
    <w:rsid w:val="0356048A"/>
    <w:rsid w:val="03597303"/>
    <w:rsid w:val="035A360D"/>
    <w:rsid w:val="035A48A6"/>
    <w:rsid w:val="03634626"/>
    <w:rsid w:val="036A7363"/>
    <w:rsid w:val="036B5288"/>
    <w:rsid w:val="036E20CA"/>
    <w:rsid w:val="036F653B"/>
    <w:rsid w:val="037554BB"/>
    <w:rsid w:val="037A1943"/>
    <w:rsid w:val="037E6BB8"/>
    <w:rsid w:val="037F787D"/>
    <w:rsid w:val="038469C2"/>
    <w:rsid w:val="038A3960"/>
    <w:rsid w:val="039667A9"/>
    <w:rsid w:val="0397607D"/>
    <w:rsid w:val="03A10E4B"/>
    <w:rsid w:val="03B56DB1"/>
    <w:rsid w:val="03BC7892"/>
    <w:rsid w:val="03CD73B1"/>
    <w:rsid w:val="03CE5F43"/>
    <w:rsid w:val="03CF34E3"/>
    <w:rsid w:val="03F81439"/>
    <w:rsid w:val="03F92894"/>
    <w:rsid w:val="04021749"/>
    <w:rsid w:val="04163446"/>
    <w:rsid w:val="041B653B"/>
    <w:rsid w:val="042D4C6A"/>
    <w:rsid w:val="042E7504"/>
    <w:rsid w:val="04447FB3"/>
    <w:rsid w:val="04460E6B"/>
    <w:rsid w:val="0462603D"/>
    <w:rsid w:val="04654DC4"/>
    <w:rsid w:val="046B0929"/>
    <w:rsid w:val="04716995"/>
    <w:rsid w:val="04870534"/>
    <w:rsid w:val="04914B02"/>
    <w:rsid w:val="04A36EB7"/>
    <w:rsid w:val="04AE7FF9"/>
    <w:rsid w:val="04BB1F4F"/>
    <w:rsid w:val="04CD1839"/>
    <w:rsid w:val="04E0470D"/>
    <w:rsid w:val="04E357F7"/>
    <w:rsid w:val="04EA2152"/>
    <w:rsid w:val="04EC501C"/>
    <w:rsid w:val="04ED4785"/>
    <w:rsid w:val="04F574FF"/>
    <w:rsid w:val="04F97836"/>
    <w:rsid w:val="050068DC"/>
    <w:rsid w:val="05017C52"/>
    <w:rsid w:val="05382B9E"/>
    <w:rsid w:val="05410997"/>
    <w:rsid w:val="054753B6"/>
    <w:rsid w:val="05504736"/>
    <w:rsid w:val="055C7B56"/>
    <w:rsid w:val="056D1C26"/>
    <w:rsid w:val="056D4888"/>
    <w:rsid w:val="05772978"/>
    <w:rsid w:val="05790131"/>
    <w:rsid w:val="058938A1"/>
    <w:rsid w:val="058D14E6"/>
    <w:rsid w:val="059B4E40"/>
    <w:rsid w:val="05AC50B9"/>
    <w:rsid w:val="05AF3E04"/>
    <w:rsid w:val="05BB3177"/>
    <w:rsid w:val="05C36382"/>
    <w:rsid w:val="05C374EE"/>
    <w:rsid w:val="05D8381C"/>
    <w:rsid w:val="05DA35BA"/>
    <w:rsid w:val="05DE61E6"/>
    <w:rsid w:val="05E17EE5"/>
    <w:rsid w:val="05E30AB8"/>
    <w:rsid w:val="05E53ECA"/>
    <w:rsid w:val="05F544D3"/>
    <w:rsid w:val="05F60ADE"/>
    <w:rsid w:val="05FC035D"/>
    <w:rsid w:val="060C3ECA"/>
    <w:rsid w:val="060E11DB"/>
    <w:rsid w:val="061D2A41"/>
    <w:rsid w:val="06224324"/>
    <w:rsid w:val="06382740"/>
    <w:rsid w:val="063F547A"/>
    <w:rsid w:val="064321EB"/>
    <w:rsid w:val="06441DE0"/>
    <w:rsid w:val="06514C09"/>
    <w:rsid w:val="065331DA"/>
    <w:rsid w:val="065C7F61"/>
    <w:rsid w:val="065E6A20"/>
    <w:rsid w:val="066237F9"/>
    <w:rsid w:val="0664493D"/>
    <w:rsid w:val="066E55CF"/>
    <w:rsid w:val="068A254B"/>
    <w:rsid w:val="068E7B23"/>
    <w:rsid w:val="068F09AB"/>
    <w:rsid w:val="06911AC5"/>
    <w:rsid w:val="069D376A"/>
    <w:rsid w:val="06A35673"/>
    <w:rsid w:val="06AC3FE2"/>
    <w:rsid w:val="06AD3A04"/>
    <w:rsid w:val="06BB5876"/>
    <w:rsid w:val="06C35752"/>
    <w:rsid w:val="06D505D2"/>
    <w:rsid w:val="06DC2744"/>
    <w:rsid w:val="06DF2215"/>
    <w:rsid w:val="06E23AB3"/>
    <w:rsid w:val="06ED5344"/>
    <w:rsid w:val="06F53E3D"/>
    <w:rsid w:val="06F6179A"/>
    <w:rsid w:val="07031F5F"/>
    <w:rsid w:val="07081F73"/>
    <w:rsid w:val="070C181F"/>
    <w:rsid w:val="07195F0C"/>
    <w:rsid w:val="071D4D23"/>
    <w:rsid w:val="07246E25"/>
    <w:rsid w:val="072B0FB7"/>
    <w:rsid w:val="07311F4D"/>
    <w:rsid w:val="07351E35"/>
    <w:rsid w:val="073A4B0E"/>
    <w:rsid w:val="074E358D"/>
    <w:rsid w:val="0755664B"/>
    <w:rsid w:val="0757640C"/>
    <w:rsid w:val="0759609B"/>
    <w:rsid w:val="075B7F9A"/>
    <w:rsid w:val="07627EB4"/>
    <w:rsid w:val="076538AC"/>
    <w:rsid w:val="07667F1E"/>
    <w:rsid w:val="07771AE7"/>
    <w:rsid w:val="078311DD"/>
    <w:rsid w:val="078D3072"/>
    <w:rsid w:val="07940115"/>
    <w:rsid w:val="079E43F1"/>
    <w:rsid w:val="07AA20A0"/>
    <w:rsid w:val="07D00C50"/>
    <w:rsid w:val="07ED4390"/>
    <w:rsid w:val="07EF6488"/>
    <w:rsid w:val="07F910B5"/>
    <w:rsid w:val="07FD6DF7"/>
    <w:rsid w:val="08042CA2"/>
    <w:rsid w:val="080E48C5"/>
    <w:rsid w:val="081A2D68"/>
    <w:rsid w:val="081C165C"/>
    <w:rsid w:val="082D7F7E"/>
    <w:rsid w:val="08326375"/>
    <w:rsid w:val="08534F1E"/>
    <w:rsid w:val="085C0BFC"/>
    <w:rsid w:val="085F0FBF"/>
    <w:rsid w:val="086C7996"/>
    <w:rsid w:val="087F53D8"/>
    <w:rsid w:val="089B1EDA"/>
    <w:rsid w:val="08A118B5"/>
    <w:rsid w:val="08A54E0A"/>
    <w:rsid w:val="08BA69F7"/>
    <w:rsid w:val="08BB5CE2"/>
    <w:rsid w:val="08C448BE"/>
    <w:rsid w:val="08D631A4"/>
    <w:rsid w:val="08DB3B5A"/>
    <w:rsid w:val="08DF02AB"/>
    <w:rsid w:val="08E8202A"/>
    <w:rsid w:val="08F74842"/>
    <w:rsid w:val="08F85B28"/>
    <w:rsid w:val="090076D0"/>
    <w:rsid w:val="09023F99"/>
    <w:rsid w:val="090B6D66"/>
    <w:rsid w:val="091C7130"/>
    <w:rsid w:val="091D0537"/>
    <w:rsid w:val="09225DD5"/>
    <w:rsid w:val="09276A6D"/>
    <w:rsid w:val="093648A8"/>
    <w:rsid w:val="093916BA"/>
    <w:rsid w:val="0946657C"/>
    <w:rsid w:val="0952160E"/>
    <w:rsid w:val="09597809"/>
    <w:rsid w:val="095C0DC4"/>
    <w:rsid w:val="095F390F"/>
    <w:rsid w:val="09630EDC"/>
    <w:rsid w:val="096E162E"/>
    <w:rsid w:val="0971670A"/>
    <w:rsid w:val="097F55EA"/>
    <w:rsid w:val="09810F23"/>
    <w:rsid w:val="098C48BA"/>
    <w:rsid w:val="0992531D"/>
    <w:rsid w:val="09AA7B69"/>
    <w:rsid w:val="09D467AF"/>
    <w:rsid w:val="09DF48E1"/>
    <w:rsid w:val="09E35B78"/>
    <w:rsid w:val="09E87633"/>
    <w:rsid w:val="09F24920"/>
    <w:rsid w:val="09F50D92"/>
    <w:rsid w:val="09FC40F0"/>
    <w:rsid w:val="0A012384"/>
    <w:rsid w:val="0A073F5D"/>
    <w:rsid w:val="0A1200CE"/>
    <w:rsid w:val="0A140428"/>
    <w:rsid w:val="0A152D56"/>
    <w:rsid w:val="0A4679E7"/>
    <w:rsid w:val="0A490536"/>
    <w:rsid w:val="0A5078F9"/>
    <w:rsid w:val="0A595E3B"/>
    <w:rsid w:val="0A671DCB"/>
    <w:rsid w:val="0A78588D"/>
    <w:rsid w:val="0A8235E3"/>
    <w:rsid w:val="0A921402"/>
    <w:rsid w:val="0A9B5C26"/>
    <w:rsid w:val="0AA97A8C"/>
    <w:rsid w:val="0AB22B63"/>
    <w:rsid w:val="0AB63A17"/>
    <w:rsid w:val="0AC47CD7"/>
    <w:rsid w:val="0AC7549A"/>
    <w:rsid w:val="0AD45840"/>
    <w:rsid w:val="0AD508F4"/>
    <w:rsid w:val="0ADB7197"/>
    <w:rsid w:val="0AE12395"/>
    <w:rsid w:val="0AE251D4"/>
    <w:rsid w:val="0AEC39F9"/>
    <w:rsid w:val="0AEF28D0"/>
    <w:rsid w:val="0AF40E05"/>
    <w:rsid w:val="0AFD1FFD"/>
    <w:rsid w:val="0B00615D"/>
    <w:rsid w:val="0B083329"/>
    <w:rsid w:val="0B0B5EA1"/>
    <w:rsid w:val="0B0D0CF5"/>
    <w:rsid w:val="0B0F75B1"/>
    <w:rsid w:val="0B270E5D"/>
    <w:rsid w:val="0B45008E"/>
    <w:rsid w:val="0B546D35"/>
    <w:rsid w:val="0B5B1AAE"/>
    <w:rsid w:val="0B6B7F48"/>
    <w:rsid w:val="0B7329D8"/>
    <w:rsid w:val="0B75067A"/>
    <w:rsid w:val="0B822967"/>
    <w:rsid w:val="0B826F71"/>
    <w:rsid w:val="0B845139"/>
    <w:rsid w:val="0B87399B"/>
    <w:rsid w:val="0B8B0032"/>
    <w:rsid w:val="0B9A1E6F"/>
    <w:rsid w:val="0BA53A2D"/>
    <w:rsid w:val="0BA65ED5"/>
    <w:rsid w:val="0BBF1DEA"/>
    <w:rsid w:val="0BC570D4"/>
    <w:rsid w:val="0BCE727D"/>
    <w:rsid w:val="0BD30A22"/>
    <w:rsid w:val="0BD31788"/>
    <w:rsid w:val="0BD5503F"/>
    <w:rsid w:val="0BD81707"/>
    <w:rsid w:val="0BDA6F9B"/>
    <w:rsid w:val="0BE51091"/>
    <w:rsid w:val="0BF16EB1"/>
    <w:rsid w:val="0C004E10"/>
    <w:rsid w:val="0C1C4FDC"/>
    <w:rsid w:val="0C277EFD"/>
    <w:rsid w:val="0C372BB3"/>
    <w:rsid w:val="0C3D6637"/>
    <w:rsid w:val="0C5C04B1"/>
    <w:rsid w:val="0C5D0644"/>
    <w:rsid w:val="0C6A76ED"/>
    <w:rsid w:val="0C6E02C3"/>
    <w:rsid w:val="0C811890"/>
    <w:rsid w:val="0C96783C"/>
    <w:rsid w:val="0CA6624D"/>
    <w:rsid w:val="0CAD0FDF"/>
    <w:rsid w:val="0CCD48BE"/>
    <w:rsid w:val="0CCF6888"/>
    <w:rsid w:val="0CDD7C7C"/>
    <w:rsid w:val="0CE16828"/>
    <w:rsid w:val="0CE31935"/>
    <w:rsid w:val="0CEE4F60"/>
    <w:rsid w:val="0CEF6BD7"/>
    <w:rsid w:val="0CF343DB"/>
    <w:rsid w:val="0CF3634C"/>
    <w:rsid w:val="0CF705BD"/>
    <w:rsid w:val="0CF76D88"/>
    <w:rsid w:val="0CF832CA"/>
    <w:rsid w:val="0CFD6C5C"/>
    <w:rsid w:val="0D0520DE"/>
    <w:rsid w:val="0D074FED"/>
    <w:rsid w:val="0D0F5C7C"/>
    <w:rsid w:val="0D2216EC"/>
    <w:rsid w:val="0D242282"/>
    <w:rsid w:val="0D2546FA"/>
    <w:rsid w:val="0D256B12"/>
    <w:rsid w:val="0D2C7836"/>
    <w:rsid w:val="0D2D33FB"/>
    <w:rsid w:val="0D3F04B7"/>
    <w:rsid w:val="0D4B47DC"/>
    <w:rsid w:val="0D4E28CF"/>
    <w:rsid w:val="0D620272"/>
    <w:rsid w:val="0D66199D"/>
    <w:rsid w:val="0D6A7E67"/>
    <w:rsid w:val="0D6B5490"/>
    <w:rsid w:val="0D703943"/>
    <w:rsid w:val="0D755621"/>
    <w:rsid w:val="0D8164E3"/>
    <w:rsid w:val="0D842293"/>
    <w:rsid w:val="0D8544BC"/>
    <w:rsid w:val="0D874243"/>
    <w:rsid w:val="0DA65D93"/>
    <w:rsid w:val="0DC566A4"/>
    <w:rsid w:val="0DD81429"/>
    <w:rsid w:val="0DE55ABA"/>
    <w:rsid w:val="0DEA3D5B"/>
    <w:rsid w:val="0DF6420E"/>
    <w:rsid w:val="0DFA331F"/>
    <w:rsid w:val="0E0F3277"/>
    <w:rsid w:val="0E160A2D"/>
    <w:rsid w:val="0E2600AF"/>
    <w:rsid w:val="0E2F5167"/>
    <w:rsid w:val="0E302B72"/>
    <w:rsid w:val="0E344BF5"/>
    <w:rsid w:val="0E37455A"/>
    <w:rsid w:val="0E39045D"/>
    <w:rsid w:val="0E411871"/>
    <w:rsid w:val="0E4312DC"/>
    <w:rsid w:val="0E4759D0"/>
    <w:rsid w:val="0E4E0B87"/>
    <w:rsid w:val="0E515952"/>
    <w:rsid w:val="0E571FCE"/>
    <w:rsid w:val="0E5D7B1D"/>
    <w:rsid w:val="0E5E7EC3"/>
    <w:rsid w:val="0E6C41AF"/>
    <w:rsid w:val="0E860CE1"/>
    <w:rsid w:val="0E8B3DC2"/>
    <w:rsid w:val="0E8F4991"/>
    <w:rsid w:val="0E990930"/>
    <w:rsid w:val="0EA12B90"/>
    <w:rsid w:val="0EA50E1D"/>
    <w:rsid w:val="0EA53D44"/>
    <w:rsid w:val="0EC60290"/>
    <w:rsid w:val="0EC87A33"/>
    <w:rsid w:val="0ECE329B"/>
    <w:rsid w:val="0EE35454"/>
    <w:rsid w:val="0EE53E88"/>
    <w:rsid w:val="0EFA2A3F"/>
    <w:rsid w:val="0F023FFF"/>
    <w:rsid w:val="0F113EB6"/>
    <w:rsid w:val="0F116CAF"/>
    <w:rsid w:val="0F1326F9"/>
    <w:rsid w:val="0F2354BA"/>
    <w:rsid w:val="0F3B1FB3"/>
    <w:rsid w:val="0F3F5F11"/>
    <w:rsid w:val="0F476BA1"/>
    <w:rsid w:val="0F4B602A"/>
    <w:rsid w:val="0F566DED"/>
    <w:rsid w:val="0F615C2F"/>
    <w:rsid w:val="0F64150A"/>
    <w:rsid w:val="0F6458A6"/>
    <w:rsid w:val="0F6A005A"/>
    <w:rsid w:val="0F6D1704"/>
    <w:rsid w:val="0F702753"/>
    <w:rsid w:val="0F736CB4"/>
    <w:rsid w:val="0F75527C"/>
    <w:rsid w:val="0F825E34"/>
    <w:rsid w:val="0F826CDC"/>
    <w:rsid w:val="0F8C146F"/>
    <w:rsid w:val="0FA83CF6"/>
    <w:rsid w:val="0FAB538A"/>
    <w:rsid w:val="0FAC4C5F"/>
    <w:rsid w:val="0FB308F7"/>
    <w:rsid w:val="0FB7012C"/>
    <w:rsid w:val="0FBA4303"/>
    <w:rsid w:val="0FC15199"/>
    <w:rsid w:val="0FCB2FF8"/>
    <w:rsid w:val="0FCE15E5"/>
    <w:rsid w:val="0FCF1F7D"/>
    <w:rsid w:val="0FD10D03"/>
    <w:rsid w:val="0FD416B1"/>
    <w:rsid w:val="0FD541B5"/>
    <w:rsid w:val="0FDC3811"/>
    <w:rsid w:val="10061FFB"/>
    <w:rsid w:val="100D434D"/>
    <w:rsid w:val="100D7863"/>
    <w:rsid w:val="101A2BA5"/>
    <w:rsid w:val="101C7E7E"/>
    <w:rsid w:val="103C7780"/>
    <w:rsid w:val="10637A13"/>
    <w:rsid w:val="1071082F"/>
    <w:rsid w:val="1074577C"/>
    <w:rsid w:val="107A2416"/>
    <w:rsid w:val="10817E99"/>
    <w:rsid w:val="10A94BB8"/>
    <w:rsid w:val="10AB2BE5"/>
    <w:rsid w:val="10B93AD7"/>
    <w:rsid w:val="10BE25F8"/>
    <w:rsid w:val="10C26667"/>
    <w:rsid w:val="10E00821"/>
    <w:rsid w:val="10E0563D"/>
    <w:rsid w:val="10E365C2"/>
    <w:rsid w:val="10E67546"/>
    <w:rsid w:val="110F1949"/>
    <w:rsid w:val="1110186D"/>
    <w:rsid w:val="11102465"/>
    <w:rsid w:val="11286E77"/>
    <w:rsid w:val="11347E65"/>
    <w:rsid w:val="114B6706"/>
    <w:rsid w:val="114D632E"/>
    <w:rsid w:val="11602B72"/>
    <w:rsid w:val="116A55A1"/>
    <w:rsid w:val="116D6526"/>
    <w:rsid w:val="116F5173"/>
    <w:rsid w:val="117513B4"/>
    <w:rsid w:val="117B6FDE"/>
    <w:rsid w:val="11875983"/>
    <w:rsid w:val="118A0054"/>
    <w:rsid w:val="118D1FB4"/>
    <w:rsid w:val="119079DF"/>
    <w:rsid w:val="11AC41C2"/>
    <w:rsid w:val="11B524F0"/>
    <w:rsid w:val="11C51A51"/>
    <w:rsid w:val="11D4749D"/>
    <w:rsid w:val="11E83C75"/>
    <w:rsid w:val="11FA4BEA"/>
    <w:rsid w:val="11FC1ECD"/>
    <w:rsid w:val="120D5505"/>
    <w:rsid w:val="121360EF"/>
    <w:rsid w:val="121F5966"/>
    <w:rsid w:val="122D0B62"/>
    <w:rsid w:val="123A23F6"/>
    <w:rsid w:val="123E2FFB"/>
    <w:rsid w:val="12411D81"/>
    <w:rsid w:val="124670B3"/>
    <w:rsid w:val="12604832"/>
    <w:rsid w:val="12604834"/>
    <w:rsid w:val="12611808"/>
    <w:rsid w:val="12696E37"/>
    <w:rsid w:val="126D6197"/>
    <w:rsid w:val="12724A88"/>
    <w:rsid w:val="1283614B"/>
    <w:rsid w:val="128B0EFC"/>
    <w:rsid w:val="128F7902"/>
    <w:rsid w:val="129413B7"/>
    <w:rsid w:val="1298498E"/>
    <w:rsid w:val="12A67527"/>
    <w:rsid w:val="12B87441"/>
    <w:rsid w:val="12BE716A"/>
    <w:rsid w:val="12C07B00"/>
    <w:rsid w:val="12CB18A0"/>
    <w:rsid w:val="12D62275"/>
    <w:rsid w:val="12D76496"/>
    <w:rsid w:val="12E22503"/>
    <w:rsid w:val="12F21BA5"/>
    <w:rsid w:val="12F72695"/>
    <w:rsid w:val="130A23C8"/>
    <w:rsid w:val="130F1CC1"/>
    <w:rsid w:val="13175E40"/>
    <w:rsid w:val="131B4645"/>
    <w:rsid w:val="131D659F"/>
    <w:rsid w:val="13205B09"/>
    <w:rsid w:val="13396A5E"/>
    <w:rsid w:val="1346162F"/>
    <w:rsid w:val="13465DAC"/>
    <w:rsid w:val="13484B32"/>
    <w:rsid w:val="134947B2"/>
    <w:rsid w:val="134B408F"/>
    <w:rsid w:val="13584016"/>
    <w:rsid w:val="136564CA"/>
    <w:rsid w:val="1379754E"/>
    <w:rsid w:val="139A7B4E"/>
    <w:rsid w:val="139D77BD"/>
    <w:rsid w:val="13A938D2"/>
    <w:rsid w:val="13B03DB3"/>
    <w:rsid w:val="13C37E0F"/>
    <w:rsid w:val="13D36F63"/>
    <w:rsid w:val="13D80718"/>
    <w:rsid w:val="13F41A5D"/>
    <w:rsid w:val="13F856F3"/>
    <w:rsid w:val="13FC4AFF"/>
    <w:rsid w:val="140B1C7C"/>
    <w:rsid w:val="140D5ACB"/>
    <w:rsid w:val="14101C60"/>
    <w:rsid w:val="14147860"/>
    <w:rsid w:val="142640A0"/>
    <w:rsid w:val="1434150D"/>
    <w:rsid w:val="143D5AD8"/>
    <w:rsid w:val="144114C7"/>
    <w:rsid w:val="14462E4D"/>
    <w:rsid w:val="144E5EA3"/>
    <w:rsid w:val="1457788F"/>
    <w:rsid w:val="145923F1"/>
    <w:rsid w:val="146F0633"/>
    <w:rsid w:val="14741DE5"/>
    <w:rsid w:val="14831A1F"/>
    <w:rsid w:val="14900FF3"/>
    <w:rsid w:val="14946D53"/>
    <w:rsid w:val="14961874"/>
    <w:rsid w:val="14A04D63"/>
    <w:rsid w:val="14A511EB"/>
    <w:rsid w:val="14BC0362"/>
    <w:rsid w:val="14E06A3C"/>
    <w:rsid w:val="14F645EC"/>
    <w:rsid w:val="14F72B52"/>
    <w:rsid w:val="150B17BD"/>
    <w:rsid w:val="150F26CC"/>
    <w:rsid w:val="151352B3"/>
    <w:rsid w:val="15202377"/>
    <w:rsid w:val="15243815"/>
    <w:rsid w:val="152C5229"/>
    <w:rsid w:val="15302182"/>
    <w:rsid w:val="15473F56"/>
    <w:rsid w:val="1559294C"/>
    <w:rsid w:val="155A5817"/>
    <w:rsid w:val="15650BB8"/>
    <w:rsid w:val="15695ACC"/>
    <w:rsid w:val="156B0D20"/>
    <w:rsid w:val="156C4AD1"/>
    <w:rsid w:val="15774DC7"/>
    <w:rsid w:val="157D48DE"/>
    <w:rsid w:val="15864BF7"/>
    <w:rsid w:val="15881228"/>
    <w:rsid w:val="158B01E4"/>
    <w:rsid w:val="15973CBB"/>
    <w:rsid w:val="159A569D"/>
    <w:rsid w:val="15A52832"/>
    <w:rsid w:val="15A543F6"/>
    <w:rsid w:val="15A63E23"/>
    <w:rsid w:val="15A8661F"/>
    <w:rsid w:val="15AB7BBF"/>
    <w:rsid w:val="15B41FA8"/>
    <w:rsid w:val="15B44C2C"/>
    <w:rsid w:val="15BE749A"/>
    <w:rsid w:val="15C23F41"/>
    <w:rsid w:val="15C40BB9"/>
    <w:rsid w:val="15C47445"/>
    <w:rsid w:val="15D243FC"/>
    <w:rsid w:val="15E07C15"/>
    <w:rsid w:val="15E31EF8"/>
    <w:rsid w:val="15F63117"/>
    <w:rsid w:val="15F73C82"/>
    <w:rsid w:val="160A4336"/>
    <w:rsid w:val="161D68B6"/>
    <w:rsid w:val="161F409A"/>
    <w:rsid w:val="162639BD"/>
    <w:rsid w:val="16371982"/>
    <w:rsid w:val="163A2906"/>
    <w:rsid w:val="163C5679"/>
    <w:rsid w:val="163E130D"/>
    <w:rsid w:val="166A6898"/>
    <w:rsid w:val="16916965"/>
    <w:rsid w:val="16A67A37"/>
    <w:rsid w:val="16B0768E"/>
    <w:rsid w:val="16BA66D8"/>
    <w:rsid w:val="16C64858"/>
    <w:rsid w:val="16CB1563"/>
    <w:rsid w:val="16CB43F4"/>
    <w:rsid w:val="16CD47FE"/>
    <w:rsid w:val="16DE6045"/>
    <w:rsid w:val="16E06917"/>
    <w:rsid w:val="16E53537"/>
    <w:rsid w:val="16EB0762"/>
    <w:rsid w:val="16FE00C6"/>
    <w:rsid w:val="16FE0D17"/>
    <w:rsid w:val="17011D34"/>
    <w:rsid w:val="1708651B"/>
    <w:rsid w:val="170A508C"/>
    <w:rsid w:val="171A4BA4"/>
    <w:rsid w:val="171C7676"/>
    <w:rsid w:val="172779EC"/>
    <w:rsid w:val="1729524F"/>
    <w:rsid w:val="172B1AAA"/>
    <w:rsid w:val="17312619"/>
    <w:rsid w:val="173D5F29"/>
    <w:rsid w:val="1745083A"/>
    <w:rsid w:val="17485A33"/>
    <w:rsid w:val="1754216A"/>
    <w:rsid w:val="175E3962"/>
    <w:rsid w:val="17681825"/>
    <w:rsid w:val="176C18A3"/>
    <w:rsid w:val="17776A8B"/>
    <w:rsid w:val="177D3B7D"/>
    <w:rsid w:val="177E15D6"/>
    <w:rsid w:val="17AF2468"/>
    <w:rsid w:val="17B20944"/>
    <w:rsid w:val="17BC155D"/>
    <w:rsid w:val="17BD2A82"/>
    <w:rsid w:val="17C349C7"/>
    <w:rsid w:val="17C65910"/>
    <w:rsid w:val="17C85590"/>
    <w:rsid w:val="17CC22DD"/>
    <w:rsid w:val="17CF3D95"/>
    <w:rsid w:val="17CF5975"/>
    <w:rsid w:val="17D365AD"/>
    <w:rsid w:val="17DC5EA9"/>
    <w:rsid w:val="17E46D4F"/>
    <w:rsid w:val="17E470BF"/>
    <w:rsid w:val="17EA27C8"/>
    <w:rsid w:val="18024339"/>
    <w:rsid w:val="180C6BDB"/>
    <w:rsid w:val="18143491"/>
    <w:rsid w:val="18187B97"/>
    <w:rsid w:val="18332E0E"/>
    <w:rsid w:val="183710C7"/>
    <w:rsid w:val="18553EFB"/>
    <w:rsid w:val="18573B7A"/>
    <w:rsid w:val="186A2B9B"/>
    <w:rsid w:val="18700536"/>
    <w:rsid w:val="18775734"/>
    <w:rsid w:val="187F2B40"/>
    <w:rsid w:val="18856328"/>
    <w:rsid w:val="18866995"/>
    <w:rsid w:val="18986835"/>
    <w:rsid w:val="189F153D"/>
    <w:rsid w:val="18A6291F"/>
    <w:rsid w:val="18AB2207"/>
    <w:rsid w:val="18AC668D"/>
    <w:rsid w:val="18B105F4"/>
    <w:rsid w:val="18C253A6"/>
    <w:rsid w:val="18CB31CF"/>
    <w:rsid w:val="18DA5F66"/>
    <w:rsid w:val="18EA390D"/>
    <w:rsid w:val="18EC14F0"/>
    <w:rsid w:val="18ED5373"/>
    <w:rsid w:val="19037516"/>
    <w:rsid w:val="19053D5D"/>
    <w:rsid w:val="190B4AAB"/>
    <w:rsid w:val="190C23A4"/>
    <w:rsid w:val="19151A93"/>
    <w:rsid w:val="192148C8"/>
    <w:rsid w:val="1927785E"/>
    <w:rsid w:val="19293D5C"/>
    <w:rsid w:val="192E3DA6"/>
    <w:rsid w:val="192F4830"/>
    <w:rsid w:val="19412BFE"/>
    <w:rsid w:val="19441605"/>
    <w:rsid w:val="19453803"/>
    <w:rsid w:val="194B7296"/>
    <w:rsid w:val="195720DF"/>
    <w:rsid w:val="1965472C"/>
    <w:rsid w:val="1968518A"/>
    <w:rsid w:val="198274E1"/>
    <w:rsid w:val="198E4EFC"/>
    <w:rsid w:val="198F229E"/>
    <w:rsid w:val="19A76BC3"/>
    <w:rsid w:val="19AD282F"/>
    <w:rsid w:val="19AF1F1B"/>
    <w:rsid w:val="19B802BF"/>
    <w:rsid w:val="19BA24E8"/>
    <w:rsid w:val="19BB6B1D"/>
    <w:rsid w:val="19BD4746"/>
    <w:rsid w:val="19CA72DF"/>
    <w:rsid w:val="19D11434"/>
    <w:rsid w:val="19D7484B"/>
    <w:rsid w:val="1A081343"/>
    <w:rsid w:val="1A0B5B4A"/>
    <w:rsid w:val="1A1865A8"/>
    <w:rsid w:val="1A406F1E"/>
    <w:rsid w:val="1A4D0094"/>
    <w:rsid w:val="1A50308A"/>
    <w:rsid w:val="1A556618"/>
    <w:rsid w:val="1A5F2D7D"/>
    <w:rsid w:val="1A681E40"/>
    <w:rsid w:val="1A7265D3"/>
    <w:rsid w:val="1A765CC7"/>
    <w:rsid w:val="1A7E62DA"/>
    <w:rsid w:val="1A7F083F"/>
    <w:rsid w:val="1A86266A"/>
    <w:rsid w:val="1A880997"/>
    <w:rsid w:val="1A93570A"/>
    <w:rsid w:val="1A961EAB"/>
    <w:rsid w:val="1AA438C3"/>
    <w:rsid w:val="1AB62E35"/>
    <w:rsid w:val="1AB958E3"/>
    <w:rsid w:val="1AC2439C"/>
    <w:rsid w:val="1AD05732"/>
    <w:rsid w:val="1AD75AC7"/>
    <w:rsid w:val="1AE74F30"/>
    <w:rsid w:val="1AEE6CA4"/>
    <w:rsid w:val="1AF112C0"/>
    <w:rsid w:val="1AF241FD"/>
    <w:rsid w:val="1AFA79D1"/>
    <w:rsid w:val="1AFE47B7"/>
    <w:rsid w:val="1B0A2006"/>
    <w:rsid w:val="1B1068CC"/>
    <w:rsid w:val="1B1117F5"/>
    <w:rsid w:val="1B1C6F45"/>
    <w:rsid w:val="1B1D07A3"/>
    <w:rsid w:val="1B2B1202"/>
    <w:rsid w:val="1B344713"/>
    <w:rsid w:val="1B3B7456"/>
    <w:rsid w:val="1B3D7E07"/>
    <w:rsid w:val="1B3F6702"/>
    <w:rsid w:val="1B48552F"/>
    <w:rsid w:val="1B5A4718"/>
    <w:rsid w:val="1B5E3E72"/>
    <w:rsid w:val="1B61318B"/>
    <w:rsid w:val="1B777889"/>
    <w:rsid w:val="1B7C407F"/>
    <w:rsid w:val="1B7E5D06"/>
    <w:rsid w:val="1B8076CB"/>
    <w:rsid w:val="1B966DB4"/>
    <w:rsid w:val="1B994819"/>
    <w:rsid w:val="1B9E44CE"/>
    <w:rsid w:val="1B9F7CA6"/>
    <w:rsid w:val="1BA323E9"/>
    <w:rsid w:val="1BB46657"/>
    <w:rsid w:val="1BCD6688"/>
    <w:rsid w:val="1BDD1DDE"/>
    <w:rsid w:val="1BE3196F"/>
    <w:rsid w:val="1BEA3B45"/>
    <w:rsid w:val="1BF41E67"/>
    <w:rsid w:val="1C077205"/>
    <w:rsid w:val="1C0876C1"/>
    <w:rsid w:val="1C11163B"/>
    <w:rsid w:val="1C116575"/>
    <w:rsid w:val="1C163621"/>
    <w:rsid w:val="1C177904"/>
    <w:rsid w:val="1C1918CE"/>
    <w:rsid w:val="1C212CA9"/>
    <w:rsid w:val="1C2344FA"/>
    <w:rsid w:val="1C26713F"/>
    <w:rsid w:val="1C3715D7"/>
    <w:rsid w:val="1C3D4A2E"/>
    <w:rsid w:val="1C3E4A09"/>
    <w:rsid w:val="1C4B0278"/>
    <w:rsid w:val="1C4D37C9"/>
    <w:rsid w:val="1C5A0A58"/>
    <w:rsid w:val="1C666884"/>
    <w:rsid w:val="1C695629"/>
    <w:rsid w:val="1C716FA4"/>
    <w:rsid w:val="1C756EBE"/>
    <w:rsid w:val="1C7603E0"/>
    <w:rsid w:val="1C7D5B40"/>
    <w:rsid w:val="1C80524F"/>
    <w:rsid w:val="1C883072"/>
    <w:rsid w:val="1C884FC2"/>
    <w:rsid w:val="1CA03585"/>
    <w:rsid w:val="1CB731AA"/>
    <w:rsid w:val="1CC7757C"/>
    <w:rsid w:val="1CCD21A9"/>
    <w:rsid w:val="1CDF206E"/>
    <w:rsid w:val="1CE11716"/>
    <w:rsid w:val="1CFE5B1D"/>
    <w:rsid w:val="1D03740A"/>
    <w:rsid w:val="1D075501"/>
    <w:rsid w:val="1D1744C9"/>
    <w:rsid w:val="1D26064A"/>
    <w:rsid w:val="1D2912B5"/>
    <w:rsid w:val="1D2B3169"/>
    <w:rsid w:val="1D3764AF"/>
    <w:rsid w:val="1D404361"/>
    <w:rsid w:val="1D441B15"/>
    <w:rsid w:val="1D4576F2"/>
    <w:rsid w:val="1D4823EC"/>
    <w:rsid w:val="1D4F4622"/>
    <w:rsid w:val="1D5133A9"/>
    <w:rsid w:val="1D525431"/>
    <w:rsid w:val="1D5C71BB"/>
    <w:rsid w:val="1D601FCC"/>
    <w:rsid w:val="1D650714"/>
    <w:rsid w:val="1D7025D9"/>
    <w:rsid w:val="1D70551D"/>
    <w:rsid w:val="1D7D3E6D"/>
    <w:rsid w:val="1D807B0D"/>
    <w:rsid w:val="1D8A0F84"/>
    <w:rsid w:val="1D94745E"/>
    <w:rsid w:val="1DAA4ED3"/>
    <w:rsid w:val="1DAE32E8"/>
    <w:rsid w:val="1DE2466D"/>
    <w:rsid w:val="1DED79A4"/>
    <w:rsid w:val="1DF276AF"/>
    <w:rsid w:val="1DFF75E6"/>
    <w:rsid w:val="1E2533E9"/>
    <w:rsid w:val="1E29229C"/>
    <w:rsid w:val="1E297809"/>
    <w:rsid w:val="1E2C0FC6"/>
    <w:rsid w:val="1E2D43B2"/>
    <w:rsid w:val="1E302F11"/>
    <w:rsid w:val="1E392382"/>
    <w:rsid w:val="1E4C5F8A"/>
    <w:rsid w:val="1E4D16C6"/>
    <w:rsid w:val="1E5873CD"/>
    <w:rsid w:val="1E5A2FB0"/>
    <w:rsid w:val="1E61744B"/>
    <w:rsid w:val="1E673D11"/>
    <w:rsid w:val="1E6A4663"/>
    <w:rsid w:val="1E716229"/>
    <w:rsid w:val="1E827BFE"/>
    <w:rsid w:val="1E922995"/>
    <w:rsid w:val="1E95493A"/>
    <w:rsid w:val="1E992ED1"/>
    <w:rsid w:val="1EA71413"/>
    <w:rsid w:val="1EAA1045"/>
    <w:rsid w:val="1EB563CE"/>
    <w:rsid w:val="1ECD0FFF"/>
    <w:rsid w:val="1ECF2831"/>
    <w:rsid w:val="1ED23F48"/>
    <w:rsid w:val="1ED929D1"/>
    <w:rsid w:val="1EDB2E6A"/>
    <w:rsid w:val="1EDC68B5"/>
    <w:rsid w:val="1EE5468C"/>
    <w:rsid w:val="1EF143DF"/>
    <w:rsid w:val="1EFB7B61"/>
    <w:rsid w:val="1F0D1100"/>
    <w:rsid w:val="1F16618C"/>
    <w:rsid w:val="1F1C3919"/>
    <w:rsid w:val="1F2669A0"/>
    <w:rsid w:val="1F2F00AB"/>
    <w:rsid w:val="1F356A41"/>
    <w:rsid w:val="1F366694"/>
    <w:rsid w:val="1F3C1C4F"/>
    <w:rsid w:val="1F427E7B"/>
    <w:rsid w:val="1F4437CF"/>
    <w:rsid w:val="1F4A0F65"/>
    <w:rsid w:val="1F513FC7"/>
    <w:rsid w:val="1F604DA3"/>
    <w:rsid w:val="1F7D61BA"/>
    <w:rsid w:val="1F886296"/>
    <w:rsid w:val="1F8964CB"/>
    <w:rsid w:val="1F9F7E8A"/>
    <w:rsid w:val="1FA26921"/>
    <w:rsid w:val="1FA44319"/>
    <w:rsid w:val="1FAB177D"/>
    <w:rsid w:val="1FAB7D05"/>
    <w:rsid w:val="1FB35111"/>
    <w:rsid w:val="1FB97650"/>
    <w:rsid w:val="1FC13C36"/>
    <w:rsid w:val="1FC81833"/>
    <w:rsid w:val="1FC84D61"/>
    <w:rsid w:val="1FCF33BD"/>
    <w:rsid w:val="1FD52AA5"/>
    <w:rsid w:val="1FE16BA6"/>
    <w:rsid w:val="1FFD5F54"/>
    <w:rsid w:val="2000254E"/>
    <w:rsid w:val="200F101E"/>
    <w:rsid w:val="20180F77"/>
    <w:rsid w:val="203C5F6F"/>
    <w:rsid w:val="20452AC6"/>
    <w:rsid w:val="20497803"/>
    <w:rsid w:val="20505F62"/>
    <w:rsid w:val="20577E1E"/>
    <w:rsid w:val="206241B8"/>
    <w:rsid w:val="20670E5A"/>
    <w:rsid w:val="206A21AB"/>
    <w:rsid w:val="207A7D16"/>
    <w:rsid w:val="207C6812"/>
    <w:rsid w:val="208C1FCB"/>
    <w:rsid w:val="20976FE5"/>
    <w:rsid w:val="209971E9"/>
    <w:rsid w:val="209D2B10"/>
    <w:rsid w:val="20A210C9"/>
    <w:rsid w:val="20AB4024"/>
    <w:rsid w:val="20AD0A3C"/>
    <w:rsid w:val="20AD23D3"/>
    <w:rsid w:val="20BB11A5"/>
    <w:rsid w:val="20BB73F7"/>
    <w:rsid w:val="20D451E9"/>
    <w:rsid w:val="20EE1616"/>
    <w:rsid w:val="20EE3814"/>
    <w:rsid w:val="20F213E7"/>
    <w:rsid w:val="20F34833"/>
    <w:rsid w:val="20FF64CA"/>
    <w:rsid w:val="211D4C6B"/>
    <w:rsid w:val="21263E0F"/>
    <w:rsid w:val="212F26E9"/>
    <w:rsid w:val="2130305C"/>
    <w:rsid w:val="213276BA"/>
    <w:rsid w:val="21431F4D"/>
    <w:rsid w:val="21442F49"/>
    <w:rsid w:val="2146128B"/>
    <w:rsid w:val="21464F73"/>
    <w:rsid w:val="215653CF"/>
    <w:rsid w:val="215F0EF2"/>
    <w:rsid w:val="217A2E0F"/>
    <w:rsid w:val="217B0E7A"/>
    <w:rsid w:val="217B34D9"/>
    <w:rsid w:val="218905AF"/>
    <w:rsid w:val="2197576F"/>
    <w:rsid w:val="219F1439"/>
    <w:rsid w:val="21A97250"/>
    <w:rsid w:val="21AA5E85"/>
    <w:rsid w:val="21BB1804"/>
    <w:rsid w:val="21CA447C"/>
    <w:rsid w:val="21CC0891"/>
    <w:rsid w:val="21CD095B"/>
    <w:rsid w:val="21CD3B10"/>
    <w:rsid w:val="21D11372"/>
    <w:rsid w:val="21EC462B"/>
    <w:rsid w:val="21FA56F9"/>
    <w:rsid w:val="21FB78FD"/>
    <w:rsid w:val="220B1CB9"/>
    <w:rsid w:val="220E16ED"/>
    <w:rsid w:val="22156E7A"/>
    <w:rsid w:val="22190165"/>
    <w:rsid w:val="222059D5"/>
    <w:rsid w:val="222C0C9D"/>
    <w:rsid w:val="22316A02"/>
    <w:rsid w:val="22355531"/>
    <w:rsid w:val="223A4BE5"/>
    <w:rsid w:val="223B3EF0"/>
    <w:rsid w:val="22437E3E"/>
    <w:rsid w:val="22636AE2"/>
    <w:rsid w:val="22705A00"/>
    <w:rsid w:val="2278111D"/>
    <w:rsid w:val="22854BAF"/>
    <w:rsid w:val="229C7ED7"/>
    <w:rsid w:val="22AB75E9"/>
    <w:rsid w:val="22B12860"/>
    <w:rsid w:val="22BC2C2B"/>
    <w:rsid w:val="22CA4CF5"/>
    <w:rsid w:val="22DE1C31"/>
    <w:rsid w:val="22E272A0"/>
    <w:rsid w:val="22E91FFA"/>
    <w:rsid w:val="22EB7DD7"/>
    <w:rsid w:val="22EF47D8"/>
    <w:rsid w:val="22F0425E"/>
    <w:rsid w:val="22F83EE6"/>
    <w:rsid w:val="22FE5B52"/>
    <w:rsid w:val="23042EFF"/>
    <w:rsid w:val="2305410A"/>
    <w:rsid w:val="232A616E"/>
    <w:rsid w:val="23360FB7"/>
    <w:rsid w:val="233E2BD7"/>
    <w:rsid w:val="23404BDF"/>
    <w:rsid w:val="23435D44"/>
    <w:rsid w:val="23563407"/>
    <w:rsid w:val="235A6A54"/>
    <w:rsid w:val="235E5C65"/>
    <w:rsid w:val="23766D83"/>
    <w:rsid w:val="23767783"/>
    <w:rsid w:val="237A41C3"/>
    <w:rsid w:val="237D11EE"/>
    <w:rsid w:val="238476EC"/>
    <w:rsid w:val="238C0BD7"/>
    <w:rsid w:val="238D058C"/>
    <w:rsid w:val="238D25B8"/>
    <w:rsid w:val="23912487"/>
    <w:rsid w:val="23A30EBB"/>
    <w:rsid w:val="23AF6015"/>
    <w:rsid w:val="23B26485"/>
    <w:rsid w:val="23BE0314"/>
    <w:rsid w:val="23CE5E4B"/>
    <w:rsid w:val="23F10D3D"/>
    <w:rsid w:val="23FA3853"/>
    <w:rsid w:val="23FE538C"/>
    <w:rsid w:val="240C39B1"/>
    <w:rsid w:val="240D7F6A"/>
    <w:rsid w:val="24102138"/>
    <w:rsid w:val="2413693F"/>
    <w:rsid w:val="241428A8"/>
    <w:rsid w:val="24171AC2"/>
    <w:rsid w:val="242258D5"/>
    <w:rsid w:val="24236BDA"/>
    <w:rsid w:val="24257655"/>
    <w:rsid w:val="242B4A09"/>
    <w:rsid w:val="24305B60"/>
    <w:rsid w:val="24381196"/>
    <w:rsid w:val="244B0E6B"/>
    <w:rsid w:val="244D0366"/>
    <w:rsid w:val="24557D0B"/>
    <w:rsid w:val="245C67FB"/>
    <w:rsid w:val="246650C5"/>
    <w:rsid w:val="24743B5F"/>
    <w:rsid w:val="247614B8"/>
    <w:rsid w:val="248014F2"/>
    <w:rsid w:val="24857B00"/>
    <w:rsid w:val="24924C8F"/>
    <w:rsid w:val="249617A8"/>
    <w:rsid w:val="249D3020"/>
    <w:rsid w:val="24B71279"/>
    <w:rsid w:val="24B777C4"/>
    <w:rsid w:val="24BD78F8"/>
    <w:rsid w:val="24C73E65"/>
    <w:rsid w:val="24C862FD"/>
    <w:rsid w:val="24CD5D6E"/>
    <w:rsid w:val="24D33BBD"/>
    <w:rsid w:val="24E05421"/>
    <w:rsid w:val="24F05FA0"/>
    <w:rsid w:val="25007ACF"/>
    <w:rsid w:val="25016986"/>
    <w:rsid w:val="250A6257"/>
    <w:rsid w:val="25110FBE"/>
    <w:rsid w:val="251A70CA"/>
    <w:rsid w:val="251B5A92"/>
    <w:rsid w:val="251E582B"/>
    <w:rsid w:val="252A68FA"/>
    <w:rsid w:val="25477C36"/>
    <w:rsid w:val="254E25E8"/>
    <w:rsid w:val="255549CD"/>
    <w:rsid w:val="25595E5A"/>
    <w:rsid w:val="25633CE3"/>
    <w:rsid w:val="25664C67"/>
    <w:rsid w:val="25741764"/>
    <w:rsid w:val="25776824"/>
    <w:rsid w:val="257C4719"/>
    <w:rsid w:val="258B7398"/>
    <w:rsid w:val="25965D3D"/>
    <w:rsid w:val="25A25407"/>
    <w:rsid w:val="25A53853"/>
    <w:rsid w:val="25AE2A87"/>
    <w:rsid w:val="25BD1BDD"/>
    <w:rsid w:val="25C25453"/>
    <w:rsid w:val="25E60A39"/>
    <w:rsid w:val="25F27954"/>
    <w:rsid w:val="25FD5DBC"/>
    <w:rsid w:val="26025AEB"/>
    <w:rsid w:val="26192D78"/>
    <w:rsid w:val="262E235B"/>
    <w:rsid w:val="263377A7"/>
    <w:rsid w:val="26392A41"/>
    <w:rsid w:val="265D5BF8"/>
    <w:rsid w:val="26614BD2"/>
    <w:rsid w:val="26647BE9"/>
    <w:rsid w:val="266A3452"/>
    <w:rsid w:val="267C14B4"/>
    <w:rsid w:val="26833001"/>
    <w:rsid w:val="268705C2"/>
    <w:rsid w:val="26A56238"/>
    <w:rsid w:val="26AB74FD"/>
    <w:rsid w:val="26B020F7"/>
    <w:rsid w:val="26B45C0E"/>
    <w:rsid w:val="26BE31A3"/>
    <w:rsid w:val="26C94E3C"/>
    <w:rsid w:val="26DD6DD3"/>
    <w:rsid w:val="26EC0876"/>
    <w:rsid w:val="26ED7791"/>
    <w:rsid w:val="26EF378B"/>
    <w:rsid w:val="26FD1886"/>
    <w:rsid w:val="27065257"/>
    <w:rsid w:val="2709311A"/>
    <w:rsid w:val="270E3D1E"/>
    <w:rsid w:val="2712017D"/>
    <w:rsid w:val="27217E53"/>
    <w:rsid w:val="2723736A"/>
    <w:rsid w:val="27272739"/>
    <w:rsid w:val="272A42CB"/>
    <w:rsid w:val="272C2223"/>
    <w:rsid w:val="273F7D71"/>
    <w:rsid w:val="27490680"/>
    <w:rsid w:val="274968EC"/>
    <w:rsid w:val="275A1718"/>
    <w:rsid w:val="27602C90"/>
    <w:rsid w:val="277125BE"/>
    <w:rsid w:val="27737BD1"/>
    <w:rsid w:val="27784A86"/>
    <w:rsid w:val="27820787"/>
    <w:rsid w:val="27837101"/>
    <w:rsid w:val="27851EF2"/>
    <w:rsid w:val="27853A48"/>
    <w:rsid w:val="27854A50"/>
    <w:rsid w:val="27945391"/>
    <w:rsid w:val="279544FE"/>
    <w:rsid w:val="279660CA"/>
    <w:rsid w:val="279A5643"/>
    <w:rsid w:val="27A878B1"/>
    <w:rsid w:val="27AA33F7"/>
    <w:rsid w:val="27C11148"/>
    <w:rsid w:val="27C748D4"/>
    <w:rsid w:val="27CD257E"/>
    <w:rsid w:val="27CE415D"/>
    <w:rsid w:val="27E77285"/>
    <w:rsid w:val="280D7987"/>
    <w:rsid w:val="28163D05"/>
    <w:rsid w:val="28164551"/>
    <w:rsid w:val="281C077C"/>
    <w:rsid w:val="281C1CDD"/>
    <w:rsid w:val="281E729C"/>
    <w:rsid w:val="28316D0D"/>
    <w:rsid w:val="28362887"/>
    <w:rsid w:val="284877C3"/>
    <w:rsid w:val="284B3726"/>
    <w:rsid w:val="28553C8E"/>
    <w:rsid w:val="28567521"/>
    <w:rsid w:val="285B7244"/>
    <w:rsid w:val="28665E9B"/>
    <w:rsid w:val="286B1DEC"/>
    <w:rsid w:val="287C444F"/>
    <w:rsid w:val="2881465B"/>
    <w:rsid w:val="28982C84"/>
    <w:rsid w:val="289C222B"/>
    <w:rsid w:val="28A013AD"/>
    <w:rsid w:val="28A615AA"/>
    <w:rsid w:val="28B14C22"/>
    <w:rsid w:val="28B2052F"/>
    <w:rsid w:val="28C36649"/>
    <w:rsid w:val="28CD2D8F"/>
    <w:rsid w:val="28D65C3B"/>
    <w:rsid w:val="28DC6898"/>
    <w:rsid w:val="28F96D0F"/>
    <w:rsid w:val="29004B53"/>
    <w:rsid w:val="291021EA"/>
    <w:rsid w:val="291D2345"/>
    <w:rsid w:val="292A7C00"/>
    <w:rsid w:val="293215BB"/>
    <w:rsid w:val="2932352C"/>
    <w:rsid w:val="293905BA"/>
    <w:rsid w:val="293E7C15"/>
    <w:rsid w:val="29452A44"/>
    <w:rsid w:val="295761E2"/>
    <w:rsid w:val="295B01BA"/>
    <w:rsid w:val="295D49CD"/>
    <w:rsid w:val="295F5795"/>
    <w:rsid w:val="296609FB"/>
    <w:rsid w:val="297C0335"/>
    <w:rsid w:val="297E0959"/>
    <w:rsid w:val="29801F7E"/>
    <w:rsid w:val="29A462E1"/>
    <w:rsid w:val="29AA6921"/>
    <w:rsid w:val="29B52641"/>
    <w:rsid w:val="29CA08BF"/>
    <w:rsid w:val="29D357B2"/>
    <w:rsid w:val="29F115CD"/>
    <w:rsid w:val="29FD22B4"/>
    <w:rsid w:val="2A0F210D"/>
    <w:rsid w:val="2A120B13"/>
    <w:rsid w:val="2A15789A"/>
    <w:rsid w:val="2A182A1D"/>
    <w:rsid w:val="2A1A17A3"/>
    <w:rsid w:val="2A1B0F3E"/>
    <w:rsid w:val="2A24157B"/>
    <w:rsid w:val="2A24680D"/>
    <w:rsid w:val="2A2A61BA"/>
    <w:rsid w:val="2A2E79BA"/>
    <w:rsid w:val="2A35268B"/>
    <w:rsid w:val="2A35590C"/>
    <w:rsid w:val="2A3A09D3"/>
    <w:rsid w:val="2A53244F"/>
    <w:rsid w:val="2A571E58"/>
    <w:rsid w:val="2A581813"/>
    <w:rsid w:val="2A727C33"/>
    <w:rsid w:val="2A764D30"/>
    <w:rsid w:val="2A7E571E"/>
    <w:rsid w:val="2A8D1B1F"/>
    <w:rsid w:val="2A944F41"/>
    <w:rsid w:val="2A9D413D"/>
    <w:rsid w:val="2AAA39A9"/>
    <w:rsid w:val="2AAC6F46"/>
    <w:rsid w:val="2AAE213C"/>
    <w:rsid w:val="2AD22CF3"/>
    <w:rsid w:val="2AD435FD"/>
    <w:rsid w:val="2AD6555A"/>
    <w:rsid w:val="2ADE7F6A"/>
    <w:rsid w:val="2AE01F34"/>
    <w:rsid w:val="2AE142A2"/>
    <w:rsid w:val="2B0E7AB2"/>
    <w:rsid w:val="2B1610F7"/>
    <w:rsid w:val="2B1F57CD"/>
    <w:rsid w:val="2B232A0B"/>
    <w:rsid w:val="2B245BA8"/>
    <w:rsid w:val="2B2473DC"/>
    <w:rsid w:val="2B2B6DA0"/>
    <w:rsid w:val="2B2F07C6"/>
    <w:rsid w:val="2B3631F4"/>
    <w:rsid w:val="2B37157F"/>
    <w:rsid w:val="2B3B66E0"/>
    <w:rsid w:val="2B503D9E"/>
    <w:rsid w:val="2B6371BC"/>
    <w:rsid w:val="2B852ADC"/>
    <w:rsid w:val="2B964433"/>
    <w:rsid w:val="2B984085"/>
    <w:rsid w:val="2BA07294"/>
    <w:rsid w:val="2BA524BA"/>
    <w:rsid w:val="2BA557CB"/>
    <w:rsid w:val="2BAB58C0"/>
    <w:rsid w:val="2BBC30CD"/>
    <w:rsid w:val="2BBD0B4F"/>
    <w:rsid w:val="2BBE1B4A"/>
    <w:rsid w:val="2BCC766D"/>
    <w:rsid w:val="2BD13FEC"/>
    <w:rsid w:val="2BD17ACF"/>
    <w:rsid w:val="2BD27F42"/>
    <w:rsid w:val="2BD9042B"/>
    <w:rsid w:val="2BDD744C"/>
    <w:rsid w:val="2BF21662"/>
    <w:rsid w:val="2BFD7A45"/>
    <w:rsid w:val="2BFE7BC6"/>
    <w:rsid w:val="2BFF4499"/>
    <w:rsid w:val="2C02219A"/>
    <w:rsid w:val="2C2A7A9E"/>
    <w:rsid w:val="2C2E4F21"/>
    <w:rsid w:val="2C3906DA"/>
    <w:rsid w:val="2C466F57"/>
    <w:rsid w:val="2C475230"/>
    <w:rsid w:val="2C490FEF"/>
    <w:rsid w:val="2C4E42D3"/>
    <w:rsid w:val="2C5205B5"/>
    <w:rsid w:val="2C55425C"/>
    <w:rsid w:val="2C554743"/>
    <w:rsid w:val="2C555457"/>
    <w:rsid w:val="2C6F63F4"/>
    <w:rsid w:val="2C764DFA"/>
    <w:rsid w:val="2C784B05"/>
    <w:rsid w:val="2C825415"/>
    <w:rsid w:val="2C835E6C"/>
    <w:rsid w:val="2C8763E0"/>
    <w:rsid w:val="2C940BB2"/>
    <w:rsid w:val="2C9D241C"/>
    <w:rsid w:val="2CA46F92"/>
    <w:rsid w:val="2CB25B52"/>
    <w:rsid w:val="2CC77CA3"/>
    <w:rsid w:val="2CD7605E"/>
    <w:rsid w:val="2CD77AF7"/>
    <w:rsid w:val="2CD90022"/>
    <w:rsid w:val="2CDE7D2D"/>
    <w:rsid w:val="2CE576B8"/>
    <w:rsid w:val="2D0E7225"/>
    <w:rsid w:val="2D1B4474"/>
    <w:rsid w:val="2D39401C"/>
    <w:rsid w:val="2D4D7629"/>
    <w:rsid w:val="2D52226A"/>
    <w:rsid w:val="2D522C15"/>
    <w:rsid w:val="2D593DF3"/>
    <w:rsid w:val="2D610A5B"/>
    <w:rsid w:val="2D627A2F"/>
    <w:rsid w:val="2D680B8A"/>
    <w:rsid w:val="2D894942"/>
    <w:rsid w:val="2D8C591B"/>
    <w:rsid w:val="2DB96A54"/>
    <w:rsid w:val="2DCF4051"/>
    <w:rsid w:val="2DD12008"/>
    <w:rsid w:val="2DD35D80"/>
    <w:rsid w:val="2DDC4904"/>
    <w:rsid w:val="2DDD60A8"/>
    <w:rsid w:val="2DE12513"/>
    <w:rsid w:val="2DFA177E"/>
    <w:rsid w:val="2E11657A"/>
    <w:rsid w:val="2E2634D8"/>
    <w:rsid w:val="2E560813"/>
    <w:rsid w:val="2E613A80"/>
    <w:rsid w:val="2E7C28D5"/>
    <w:rsid w:val="2E8956B3"/>
    <w:rsid w:val="2E923C5F"/>
    <w:rsid w:val="2E936607"/>
    <w:rsid w:val="2E9F6689"/>
    <w:rsid w:val="2EA50EA1"/>
    <w:rsid w:val="2EA65704"/>
    <w:rsid w:val="2EBA361B"/>
    <w:rsid w:val="2EC75444"/>
    <w:rsid w:val="2EDB14C6"/>
    <w:rsid w:val="2EEE38E7"/>
    <w:rsid w:val="2EF534D9"/>
    <w:rsid w:val="2EFF3B7B"/>
    <w:rsid w:val="2F130EE9"/>
    <w:rsid w:val="2F202595"/>
    <w:rsid w:val="2F46399F"/>
    <w:rsid w:val="2F48106C"/>
    <w:rsid w:val="2F4B6E71"/>
    <w:rsid w:val="2F663C08"/>
    <w:rsid w:val="2F6D7FDB"/>
    <w:rsid w:val="2F740E9D"/>
    <w:rsid w:val="2F776B5E"/>
    <w:rsid w:val="2F89665E"/>
    <w:rsid w:val="2F8C54E6"/>
    <w:rsid w:val="2F9358EA"/>
    <w:rsid w:val="2F956542"/>
    <w:rsid w:val="2F9F2CDF"/>
    <w:rsid w:val="2FAE4480"/>
    <w:rsid w:val="2FB92D54"/>
    <w:rsid w:val="2FCD5708"/>
    <w:rsid w:val="2FD23E6C"/>
    <w:rsid w:val="2FD31004"/>
    <w:rsid w:val="2FDD2E6F"/>
    <w:rsid w:val="2FE30B18"/>
    <w:rsid w:val="2FE4776C"/>
    <w:rsid w:val="2FE813FF"/>
    <w:rsid w:val="2FE902F2"/>
    <w:rsid w:val="2FF13E66"/>
    <w:rsid w:val="2FF81244"/>
    <w:rsid w:val="2FFA3500"/>
    <w:rsid w:val="30007685"/>
    <w:rsid w:val="300631C6"/>
    <w:rsid w:val="30103B57"/>
    <w:rsid w:val="301545BA"/>
    <w:rsid w:val="301D22B7"/>
    <w:rsid w:val="302867DE"/>
    <w:rsid w:val="30291A13"/>
    <w:rsid w:val="30671293"/>
    <w:rsid w:val="30740B8E"/>
    <w:rsid w:val="3074574B"/>
    <w:rsid w:val="3075080D"/>
    <w:rsid w:val="308E42BC"/>
    <w:rsid w:val="309148BA"/>
    <w:rsid w:val="30991CC7"/>
    <w:rsid w:val="30AA21A4"/>
    <w:rsid w:val="30BA4D03"/>
    <w:rsid w:val="30BD2991"/>
    <w:rsid w:val="30BF439A"/>
    <w:rsid w:val="30C23924"/>
    <w:rsid w:val="30C3138C"/>
    <w:rsid w:val="30D6434A"/>
    <w:rsid w:val="30E459D5"/>
    <w:rsid w:val="30E85977"/>
    <w:rsid w:val="30F32296"/>
    <w:rsid w:val="30F41A67"/>
    <w:rsid w:val="30FC500D"/>
    <w:rsid w:val="31021D86"/>
    <w:rsid w:val="310857FE"/>
    <w:rsid w:val="312C4917"/>
    <w:rsid w:val="31305298"/>
    <w:rsid w:val="314E49B7"/>
    <w:rsid w:val="315D170E"/>
    <w:rsid w:val="316164CC"/>
    <w:rsid w:val="31677002"/>
    <w:rsid w:val="317119AA"/>
    <w:rsid w:val="3176145F"/>
    <w:rsid w:val="317751AA"/>
    <w:rsid w:val="31796EC9"/>
    <w:rsid w:val="318254C8"/>
    <w:rsid w:val="3184468C"/>
    <w:rsid w:val="31914FA8"/>
    <w:rsid w:val="319F4868"/>
    <w:rsid w:val="31A54783"/>
    <w:rsid w:val="31B935FE"/>
    <w:rsid w:val="31BE403B"/>
    <w:rsid w:val="31D200FD"/>
    <w:rsid w:val="31D43E75"/>
    <w:rsid w:val="31E16795"/>
    <w:rsid w:val="31E52A0A"/>
    <w:rsid w:val="31E82A28"/>
    <w:rsid w:val="31EF4A25"/>
    <w:rsid w:val="31F80989"/>
    <w:rsid w:val="32075721"/>
    <w:rsid w:val="320A5DA8"/>
    <w:rsid w:val="320C0650"/>
    <w:rsid w:val="32121533"/>
    <w:rsid w:val="322512EF"/>
    <w:rsid w:val="3226688B"/>
    <w:rsid w:val="32296F5A"/>
    <w:rsid w:val="32323FE6"/>
    <w:rsid w:val="323D63E4"/>
    <w:rsid w:val="32473F7A"/>
    <w:rsid w:val="32483335"/>
    <w:rsid w:val="325250B2"/>
    <w:rsid w:val="32564176"/>
    <w:rsid w:val="32591785"/>
    <w:rsid w:val="327909B1"/>
    <w:rsid w:val="329D61C5"/>
    <w:rsid w:val="32A037F2"/>
    <w:rsid w:val="32A92119"/>
    <w:rsid w:val="32AF6BD3"/>
    <w:rsid w:val="32C055F3"/>
    <w:rsid w:val="32C44BD2"/>
    <w:rsid w:val="32C75B5F"/>
    <w:rsid w:val="32CE54EA"/>
    <w:rsid w:val="32D216CC"/>
    <w:rsid w:val="32DD144F"/>
    <w:rsid w:val="32EE71E8"/>
    <w:rsid w:val="32F82AAB"/>
    <w:rsid w:val="3301513E"/>
    <w:rsid w:val="330410FD"/>
    <w:rsid w:val="330A175A"/>
    <w:rsid w:val="330E67C6"/>
    <w:rsid w:val="331A05EC"/>
    <w:rsid w:val="33287766"/>
    <w:rsid w:val="332B4269"/>
    <w:rsid w:val="3336416A"/>
    <w:rsid w:val="33401494"/>
    <w:rsid w:val="33450928"/>
    <w:rsid w:val="33472563"/>
    <w:rsid w:val="33522B6B"/>
    <w:rsid w:val="335A65FC"/>
    <w:rsid w:val="33705C39"/>
    <w:rsid w:val="33716EF1"/>
    <w:rsid w:val="337525CB"/>
    <w:rsid w:val="337A5602"/>
    <w:rsid w:val="337B5316"/>
    <w:rsid w:val="33855315"/>
    <w:rsid w:val="33874918"/>
    <w:rsid w:val="338C31D7"/>
    <w:rsid w:val="3392223A"/>
    <w:rsid w:val="339461AC"/>
    <w:rsid w:val="33992789"/>
    <w:rsid w:val="339B0B0D"/>
    <w:rsid w:val="339C103A"/>
    <w:rsid w:val="33A03224"/>
    <w:rsid w:val="33BC7371"/>
    <w:rsid w:val="33C75702"/>
    <w:rsid w:val="33CA09CB"/>
    <w:rsid w:val="33CB483C"/>
    <w:rsid w:val="33CD3EE8"/>
    <w:rsid w:val="33D20872"/>
    <w:rsid w:val="33D46F96"/>
    <w:rsid w:val="33DE5327"/>
    <w:rsid w:val="33E162AB"/>
    <w:rsid w:val="33EA5BD2"/>
    <w:rsid w:val="33F23FC7"/>
    <w:rsid w:val="33F629CD"/>
    <w:rsid w:val="33FF585B"/>
    <w:rsid w:val="34001470"/>
    <w:rsid w:val="34085823"/>
    <w:rsid w:val="340E2E3E"/>
    <w:rsid w:val="34126A7A"/>
    <w:rsid w:val="34181EC4"/>
    <w:rsid w:val="341B4186"/>
    <w:rsid w:val="34224418"/>
    <w:rsid w:val="342350D2"/>
    <w:rsid w:val="342F7AA3"/>
    <w:rsid w:val="34311634"/>
    <w:rsid w:val="343D4DD9"/>
    <w:rsid w:val="34427ED3"/>
    <w:rsid w:val="34544100"/>
    <w:rsid w:val="345735B0"/>
    <w:rsid w:val="345920CE"/>
    <w:rsid w:val="345F6432"/>
    <w:rsid w:val="345F6CD7"/>
    <w:rsid w:val="346C7733"/>
    <w:rsid w:val="346F60D7"/>
    <w:rsid w:val="34732D57"/>
    <w:rsid w:val="3473361C"/>
    <w:rsid w:val="34887D3E"/>
    <w:rsid w:val="34A36369"/>
    <w:rsid w:val="34A95BA8"/>
    <w:rsid w:val="34B0194F"/>
    <w:rsid w:val="34B8182C"/>
    <w:rsid w:val="34BB4F72"/>
    <w:rsid w:val="34BE2B18"/>
    <w:rsid w:val="34C04B85"/>
    <w:rsid w:val="34CA4252"/>
    <w:rsid w:val="34CC2AB5"/>
    <w:rsid w:val="34D545CF"/>
    <w:rsid w:val="34D96D32"/>
    <w:rsid w:val="34DA64C3"/>
    <w:rsid w:val="34DB1D47"/>
    <w:rsid w:val="34E622D6"/>
    <w:rsid w:val="34F373ED"/>
    <w:rsid w:val="34F45C71"/>
    <w:rsid w:val="34FD2B33"/>
    <w:rsid w:val="34FF56AD"/>
    <w:rsid w:val="35027E93"/>
    <w:rsid w:val="35034475"/>
    <w:rsid w:val="350C4714"/>
    <w:rsid w:val="3523213B"/>
    <w:rsid w:val="352D7F4C"/>
    <w:rsid w:val="353D300A"/>
    <w:rsid w:val="353E0766"/>
    <w:rsid w:val="3541482A"/>
    <w:rsid w:val="35466DBB"/>
    <w:rsid w:val="355359F9"/>
    <w:rsid w:val="3555351F"/>
    <w:rsid w:val="355C6F55"/>
    <w:rsid w:val="356A4AAD"/>
    <w:rsid w:val="3589141A"/>
    <w:rsid w:val="358A766C"/>
    <w:rsid w:val="359C6581"/>
    <w:rsid w:val="35B70430"/>
    <w:rsid w:val="35BE4538"/>
    <w:rsid w:val="35CF5AD7"/>
    <w:rsid w:val="35D06417"/>
    <w:rsid w:val="35D5640E"/>
    <w:rsid w:val="35D77660"/>
    <w:rsid w:val="35DF14FE"/>
    <w:rsid w:val="35DF46B8"/>
    <w:rsid w:val="35E461A2"/>
    <w:rsid w:val="35F010D5"/>
    <w:rsid w:val="35FC62B1"/>
    <w:rsid w:val="35FD5321"/>
    <w:rsid w:val="35FF2902"/>
    <w:rsid w:val="360C1F8B"/>
    <w:rsid w:val="360D204B"/>
    <w:rsid w:val="361913CE"/>
    <w:rsid w:val="362058DB"/>
    <w:rsid w:val="36374201"/>
    <w:rsid w:val="363F160E"/>
    <w:rsid w:val="364835DC"/>
    <w:rsid w:val="36491F1D"/>
    <w:rsid w:val="36576300"/>
    <w:rsid w:val="366A4151"/>
    <w:rsid w:val="366B2458"/>
    <w:rsid w:val="366C59F2"/>
    <w:rsid w:val="36785889"/>
    <w:rsid w:val="367E4976"/>
    <w:rsid w:val="36813FAE"/>
    <w:rsid w:val="3696421B"/>
    <w:rsid w:val="36AA5455"/>
    <w:rsid w:val="36AC41C0"/>
    <w:rsid w:val="36AE6E7F"/>
    <w:rsid w:val="36B14685"/>
    <w:rsid w:val="36CC6606"/>
    <w:rsid w:val="36D24400"/>
    <w:rsid w:val="36D44917"/>
    <w:rsid w:val="36E0150E"/>
    <w:rsid w:val="36EE5F2E"/>
    <w:rsid w:val="36F23901"/>
    <w:rsid w:val="36F36B33"/>
    <w:rsid w:val="36F77A9E"/>
    <w:rsid w:val="3702210D"/>
    <w:rsid w:val="370276D6"/>
    <w:rsid w:val="37041678"/>
    <w:rsid w:val="3704484F"/>
    <w:rsid w:val="37152F66"/>
    <w:rsid w:val="371812F1"/>
    <w:rsid w:val="371D31FA"/>
    <w:rsid w:val="372B21B9"/>
    <w:rsid w:val="37350624"/>
    <w:rsid w:val="37363961"/>
    <w:rsid w:val="373667D4"/>
    <w:rsid w:val="373759C7"/>
    <w:rsid w:val="373A29CC"/>
    <w:rsid w:val="37406C32"/>
    <w:rsid w:val="3747215A"/>
    <w:rsid w:val="3747231F"/>
    <w:rsid w:val="374F724D"/>
    <w:rsid w:val="375021F0"/>
    <w:rsid w:val="375872F6"/>
    <w:rsid w:val="375B0AC3"/>
    <w:rsid w:val="375B253A"/>
    <w:rsid w:val="376318F3"/>
    <w:rsid w:val="376F6EDF"/>
    <w:rsid w:val="377D260F"/>
    <w:rsid w:val="3786163D"/>
    <w:rsid w:val="378F7F72"/>
    <w:rsid w:val="379A7E45"/>
    <w:rsid w:val="379C0FAF"/>
    <w:rsid w:val="379D6FCC"/>
    <w:rsid w:val="37A266EF"/>
    <w:rsid w:val="37AC319E"/>
    <w:rsid w:val="37AC3842"/>
    <w:rsid w:val="37C60704"/>
    <w:rsid w:val="37CA36FF"/>
    <w:rsid w:val="37D72629"/>
    <w:rsid w:val="37D75CA1"/>
    <w:rsid w:val="37DB05D7"/>
    <w:rsid w:val="37DC3A83"/>
    <w:rsid w:val="37EA1649"/>
    <w:rsid w:val="37F81C64"/>
    <w:rsid w:val="37F963E3"/>
    <w:rsid w:val="380A6E07"/>
    <w:rsid w:val="380F4E21"/>
    <w:rsid w:val="38166C00"/>
    <w:rsid w:val="38231C7C"/>
    <w:rsid w:val="382464AA"/>
    <w:rsid w:val="38262F51"/>
    <w:rsid w:val="3826386B"/>
    <w:rsid w:val="38277224"/>
    <w:rsid w:val="38292433"/>
    <w:rsid w:val="383218F5"/>
    <w:rsid w:val="38494E73"/>
    <w:rsid w:val="38615E10"/>
    <w:rsid w:val="38623892"/>
    <w:rsid w:val="38644565"/>
    <w:rsid w:val="38717930"/>
    <w:rsid w:val="38787C50"/>
    <w:rsid w:val="387A611D"/>
    <w:rsid w:val="387F7C4B"/>
    <w:rsid w:val="38886865"/>
    <w:rsid w:val="388A26D2"/>
    <w:rsid w:val="388C0703"/>
    <w:rsid w:val="389F4A2A"/>
    <w:rsid w:val="38A041DC"/>
    <w:rsid w:val="38A6160E"/>
    <w:rsid w:val="38A94B7B"/>
    <w:rsid w:val="38AA7772"/>
    <w:rsid w:val="38B85B09"/>
    <w:rsid w:val="38C01839"/>
    <w:rsid w:val="38CA7D80"/>
    <w:rsid w:val="38CB22D7"/>
    <w:rsid w:val="38DC7CD8"/>
    <w:rsid w:val="38E5044C"/>
    <w:rsid w:val="38EC0F67"/>
    <w:rsid w:val="38EE7BF2"/>
    <w:rsid w:val="38F42DE1"/>
    <w:rsid w:val="38F84824"/>
    <w:rsid w:val="39091AA1"/>
    <w:rsid w:val="391E2591"/>
    <w:rsid w:val="392A2847"/>
    <w:rsid w:val="393F1F7B"/>
    <w:rsid w:val="394A3CE5"/>
    <w:rsid w:val="39621A02"/>
    <w:rsid w:val="39651F02"/>
    <w:rsid w:val="3972314B"/>
    <w:rsid w:val="39761451"/>
    <w:rsid w:val="39914201"/>
    <w:rsid w:val="3995059C"/>
    <w:rsid w:val="39982FC9"/>
    <w:rsid w:val="39AD25AF"/>
    <w:rsid w:val="39AF5AB2"/>
    <w:rsid w:val="39B56B07"/>
    <w:rsid w:val="39BA1E92"/>
    <w:rsid w:val="39C42A21"/>
    <w:rsid w:val="39E13D03"/>
    <w:rsid w:val="39F374A0"/>
    <w:rsid w:val="39F83C57"/>
    <w:rsid w:val="39FF0D34"/>
    <w:rsid w:val="3A026202"/>
    <w:rsid w:val="3A127C30"/>
    <w:rsid w:val="3A1763DB"/>
    <w:rsid w:val="3A231B61"/>
    <w:rsid w:val="3A301FB3"/>
    <w:rsid w:val="3A307305"/>
    <w:rsid w:val="3A324913"/>
    <w:rsid w:val="3A560363"/>
    <w:rsid w:val="3A5C6ECF"/>
    <w:rsid w:val="3A6457AA"/>
    <w:rsid w:val="3A653F5C"/>
    <w:rsid w:val="3A691377"/>
    <w:rsid w:val="3A6B582A"/>
    <w:rsid w:val="3A744576"/>
    <w:rsid w:val="3A7829E1"/>
    <w:rsid w:val="3A7A067E"/>
    <w:rsid w:val="3A7E4E86"/>
    <w:rsid w:val="3A813937"/>
    <w:rsid w:val="3A847105"/>
    <w:rsid w:val="3A9E7716"/>
    <w:rsid w:val="3AA0348E"/>
    <w:rsid w:val="3AA666F2"/>
    <w:rsid w:val="3AAA7E69"/>
    <w:rsid w:val="3AAC5FCE"/>
    <w:rsid w:val="3AB4755E"/>
    <w:rsid w:val="3ABB0FB6"/>
    <w:rsid w:val="3AC054DD"/>
    <w:rsid w:val="3AD53316"/>
    <w:rsid w:val="3ADE1E32"/>
    <w:rsid w:val="3AE16F6F"/>
    <w:rsid w:val="3AE71EB9"/>
    <w:rsid w:val="3AEF2E86"/>
    <w:rsid w:val="3AF13613"/>
    <w:rsid w:val="3B042005"/>
    <w:rsid w:val="3B0911E6"/>
    <w:rsid w:val="3B0D1B9B"/>
    <w:rsid w:val="3B135118"/>
    <w:rsid w:val="3B194449"/>
    <w:rsid w:val="3B306EA8"/>
    <w:rsid w:val="3B425EC8"/>
    <w:rsid w:val="3B4400CC"/>
    <w:rsid w:val="3B4B1314"/>
    <w:rsid w:val="3B6D0F0B"/>
    <w:rsid w:val="3B7164C1"/>
    <w:rsid w:val="3B786B02"/>
    <w:rsid w:val="3B7A4A8C"/>
    <w:rsid w:val="3B7D0E45"/>
    <w:rsid w:val="3B822B94"/>
    <w:rsid w:val="3B827442"/>
    <w:rsid w:val="3B8830C4"/>
    <w:rsid w:val="3B8C17C0"/>
    <w:rsid w:val="3B976591"/>
    <w:rsid w:val="3BB149FB"/>
    <w:rsid w:val="3BB62604"/>
    <w:rsid w:val="3BBC4A80"/>
    <w:rsid w:val="3BD242BB"/>
    <w:rsid w:val="3C027F5C"/>
    <w:rsid w:val="3C0A01B1"/>
    <w:rsid w:val="3C0A5FE9"/>
    <w:rsid w:val="3C100ED6"/>
    <w:rsid w:val="3C153E8E"/>
    <w:rsid w:val="3C1A012A"/>
    <w:rsid w:val="3C217365"/>
    <w:rsid w:val="3C361BC3"/>
    <w:rsid w:val="3C3C71E7"/>
    <w:rsid w:val="3C4125DB"/>
    <w:rsid w:val="3C583A0B"/>
    <w:rsid w:val="3C5B008C"/>
    <w:rsid w:val="3C666F24"/>
    <w:rsid w:val="3C677BC4"/>
    <w:rsid w:val="3C6A0DE8"/>
    <w:rsid w:val="3C7A4FBF"/>
    <w:rsid w:val="3C8961DF"/>
    <w:rsid w:val="3CA05E05"/>
    <w:rsid w:val="3CAD3514"/>
    <w:rsid w:val="3CBB4F2E"/>
    <w:rsid w:val="3CC0413B"/>
    <w:rsid w:val="3CC52D38"/>
    <w:rsid w:val="3CE21B3C"/>
    <w:rsid w:val="3CE358B4"/>
    <w:rsid w:val="3CF37E0D"/>
    <w:rsid w:val="3CF96461"/>
    <w:rsid w:val="3CFA5349"/>
    <w:rsid w:val="3CFB7418"/>
    <w:rsid w:val="3CFC5A39"/>
    <w:rsid w:val="3D0E250E"/>
    <w:rsid w:val="3D346110"/>
    <w:rsid w:val="3D3A4EC2"/>
    <w:rsid w:val="3D3B64CB"/>
    <w:rsid w:val="3D485319"/>
    <w:rsid w:val="3D5508B2"/>
    <w:rsid w:val="3D5B6538"/>
    <w:rsid w:val="3D632551"/>
    <w:rsid w:val="3D745150"/>
    <w:rsid w:val="3D795AE8"/>
    <w:rsid w:val="3D87287F"/>
    <w:rsid w:val="3D932E36"/>
    <w:rsid w:val="3DB7359E"/>
    <w:rsid w:val="3DB86B6E"/>
    <w:rsid w:val="3DCA206F"/>
    <w:rsid w:val="3DCC6348"/>
    <w:rsid w:val="3DD749CD"/>
    <w:rsid w:val="3DDC0EBC"/>
    <w:rsid w:val="3DF9513C"/>
    <w:rsid w:val="3DFE15C4"/>
    <w:rsid w:val="3E016A21"/>
    <w:rsid w:val="3E113008"/>
    <w:rsid w:val="3E1164A2"/>
    <w:rsid w:val="3E1B045D"/>
    <w:rsid w:val="3E216694"/>
    <w:rsid w:val="3E35213F"/>
    <w:rsid w:val="3E38578C"/>
    <w:rsid w:val="3E421CF8"/>
    <w:rsid w:val="3E432AAE"/>
    <w:rsid w:val="3E614D2C"/>
    <w:rsid w:val="3E6432A1"/>
    <w:rsid w:val="3E6622F9"/>
    <w:rsid w:val="3E6E2B7D"/>
    <w:rsid w:val="3E737D50"/>
    <w:rsid w:val="3E7D1B12"/>
    <w:rsid w:val="3E800899"/>
    <w:rsid w:val="3E865145"/>
    <w:rsid w:val="3E9A1443"/>
    <w:rsid w:val="3EA81114"/>
    <w:rsid w:val="3EAD1914"/>
    <w:rsid w:val="3EBA43F3"/>
    <w:rsid w:val="3EC42287"/>
    <w:rsid w:val="3EC924E2"/>
    <w:rsid w:val="3ED30323"/>
    <w:rsid w:val="3EDA7CAE"/>
    <w:rsid w:val="3EDE0147"/>
    <w:rsid w:val="3EF709D8"/>
    <w:rsid w:val="3F277DAD"/>
    <w:rsid w:val="3F345DBE"/>
    <w:rsid w:val="3F395AC9"/>
    <w:rsid w:val="3F3B6B38"/>
    <w:rsid w:val="3F3D1329"/>
    <w:rsid w:val="3F4D7AF3"/>
    <w:rsid w:val="3F6F01A1"/>
    <w:rsid w:val="3F7D74B7"/>
    <w:rsid w:val="3F985D71"/>
    <w:rsid w:val="3F996DE7"/>
    <w:rsid w:val="3FAF3F62"/>
    <w:rsid w:val="3FB53069"/>
    <w:rsid w:val="3FC372B1"/>
    <w:rsid w:val="3FCC6219"/>
    <w:rsid w:val="3FD37D6E"/>
    <w:rsid w:val="3FDA11F0"/>
    <w:rsid w:val="3FF17476"/>
    <w:rsid w:val="400C0C7E"/>
    <w:rsid w:val="4012261E"/>
    <w:rsid w:val="40176116"/>
    <w:rsid w:val="40280651"/>
    <w:rsid w:val="40281B4E"/>
    <w:rsid w:val="403A57EB"/>
    <w:rsid w:val="404B1083"/>
    <w:rsid w:val="406A5E3B"/>
    <w:rsid w:val="407231D7"/>
    <w:rsid w:val="409014E1"/>
    <w:rsid w:val="409A2000"/>
    <w:rsid w:val="40A23390"/>
    <w:rsid w:val="40A47108"/>
    <w:rsid w:val="40A81AF0"/>
    <w:rsid w:val="40B21825"/>
    <w:rsid w:val="40B97B0A"/>
    <w:rsid w:val="40C120CD"/>
    <w:rsid w:val="40C72A04"/>
    <w:rsid w:val="40CA1D70"/>
    <w:rsid w:val="40D31FE7"/>
    <w:rsid w:val="40E63206"/>
    <w:rsid w:val="40EF6094"/>
    <w:rsid w:val="410427B6"/>
    <w:rsid w:val="410D73A4"/>
    <w:rsid w:val="410E2FA0"/>
    <w:rsid w:val="41414FFE"/>
    <w:rsid w:val="414B422F"/>
    <w:rsid w:val="41524DB6"/>
    <w:rsid w:val="415B3C6B"/>
    <w:rsid w:val="415C66C8"/>
    <w:rsid w:val="416C0DC4"/>
    <w:rsid w:val="417B557F"/>
    <w:rsid w:val="4184568E"/>
    <w:rsid w:val="418869E6"/>
    <w:rsid w:val="418C7217"/>
    <w:rsid w:val="41911120"/>
    <w:rsid w:val="41932425"/>
    <w:rsid w:val="419B2CA3"/>
    <w:rsid w:val="419E3712"/>
    <w:rsid w:val="41A84176"/>
    <w:rsid w:val="41AC2CD4"/>
    <w:rsid w:val="41B06152"/>
    <w:rsid w:val="41B6005B"/>
    <w:rsid w:val="41B80080"/>
    <w:rsid w:val="41C852A6"/>
    <w:rsid w:val="41CC5A82"/>
    <w:rsid w:val="41D50910"/>
    <w:rsid w:val="41E1607C"/>
    <w:rsid w:val="41E77BF5"/>
    <w:rsid w:val="41FA0DF5"/>
    <w:rsid w:val="41FA2085"/>
    <w:rsid w:val="41FB6D0A"/>
    <w:rsid w:val="42023204"/>
    <w:rsid w:val="42087E65"/>
    <w:rsid w:val="42124EF1"/>
    <w:rsid w:val="42132798"/>
    <w:rsid w:val="42143977"/>
    <w:rsid w:val="421D7172"/>
    <w:rsid w:val="42425F4A"/>
    <w:rsid w:val="42470660"/>
    <w:rsid w:val="42492E4D"/>
    <w:rsid w:val="425C5EED"/>
    <w:rsid w:val="42664FBD"/>
    <w:rsid w:val="42786A9F"/>
    <w:rsid w:val="427D5E63"/>
    <w:rsid w:val="428803B3"/>
    <w:rsid w:val="429554CB"/>
    <w:rsid w:val="429D3550"/>
    <w:rsid w:val="429F385C"/>
    <w:rsid w:val="42BE088D"/>
    <w:rsid w:val="42DE6BC4"/>
    <w:rsid w:val="42DF08CC"/>
    <w:rsid w:val="42F9198D"/>
    <w:rsid w:val="43034564"/>
    <w:rsid w:val="43036DF2"/>
    <w:rsid w:val="43086074"/>
    <w:rsid w:val="430B346F"/>
    <w:rsid w:val="43115615"/>
    <w:rsid w:val="43166D40"/>
    <w:rsid w:val="431B1B9B"/>
    <w:rsid w:val="43252CC7"/>
    <w:rsid w:val="433751CB"/>
    <w:rsid w:val="433A3D54"/>
    <w:rsid w:val="433C0DD2"/>
    <w:rsid w:val="434E26FB"/>
    <w:rsid w:val="43524832"/>
    <w:rsid w:val="435C54A2"/>
    <w:rsid w:val="437159C8"/>
    <w:rsid w:val="437325EB"/>
    <w:rsid w:val="43811983"/>
    <w:rsid w:val="43866F99"/>
    <w:rsid w:val="43904815"/>
    <w:rsid w:val="43A15B81"/>
    <w:rsid w:val="43B3461E"/>
    <w:rsid w:val="43B93FA8"/>
    <w:rsid w:val="43BB2D3C"/>
    <w:rsid w:val="43BB57E7"/>
    <w:rsid w:val="43C52AF9"/>
    <w:rsid w:val="43C7484A"/>
    <w:rsid w:val="43CC05E0"/>
    <w:rsid w:val="43CE1136"/>
    <w:rsid w:val="43D9356D"/>
    <w:rsid w:val="43E45A1B"/>
    <w:rsid w:val="43E715F4"/>
    <w:rsid w:val="43F7188F"/>
    <w:rsid w:val="43FB3B18"/>
    <w:rsid w:val="43FD2DAF"/>
    <w:rsid w:val="43FD74A5"/>
    <w:rsid w:val="441743AC"/>
    <w:rsid w:val="441D6EDE"/>
    <w:rsid w:val="442422EE"/>
    <w:rsid w:val="4426495C"/>
    <w:rsid w:val="44277E60"/>
    <w:rsid w:val="44305883"/>
    <w:rsid w:val="44336610"/>
    <w:rsid w:val="44394E23"/>
    <w:rsid w:val="443E588E"/>
    <w:rsid w:val="443E724F"/>
    <w:rsid w:val="44420495"/>
    <w:rsid w:val="4447309F"/>
    <w:rsid w:val="444810E7"/>
    <w:rsid w:val="444C6D9A"/>
    <w:rsid w:val="444E59D6"/>
    <w:rsid w:val="445A46AE"/>
    <w:rsid w:val="446C02E2"/>
    <w:rsid w:val="446D7D29"/>
    <w:rsid w:val="447A7A51"/>
    <w:rsid w:val="44881986"/>
    <w:rsid w:val="448C6831"/>
    <w:rsid w:val="448E3087"/>
    <w:rsid w:val="449F0DA3"/>
    <w:rsid w:val="44A816B2"/>
    <w:rsid w:val="44B71CCD"/>
    <w:rsid w:val="44CC407B"/>
    <w:rsid w:val="44DD0888"/>
    <w:rsid w:val="44EB3421"/>
    <w:rsid w:val="44EC1534"/>
    <w:rsid w:val="44EE4DF6"/>
    <w:rsid w:val="44F04944"/>
    <w:rsid w:val="44F53D30"/>
    <w:rsid w:val="45032ACF"/>
    <w:rsid w:val="45084F4F"/>
    <w:rsid w:val="45211B84"/>
    <w:rsid w:val="452A4B48"/>
    <w:rsid w:val="45306F6D"/>
    <w:rsid w:val="453A0CA2"/>
    <w:rsid w:val="453F1CAB"/>
    <w:rsid w:val="45524604"/>
    <w:rsid w:val="45616F96"/>
    <w:rsid w:val="45623936"/>
    <w:rsid w:val="456841C6"/>
    <w:rsid w:val="45790B64"/>
    <w:rsid w:val="457A49AD"/>
    <w:rsid w:val="457B2F71"/>
    <w:rsid w:val="457D4828"/>
    <w:rsid w:val="458614D2"/>
    <w:rsid w:val="458978FD"/>
    <w:rsid w:val="4593785F"/>
    <w:rsid w:val="459528B4"/>
    <w:rsid w:val="45A044AD"/>
    <w:rsid w:val="45AA09C5"/>
    <w:rsid w:val="45AF0BE0"/>
    <w:rsid w:val="45C30031"/>
    <w:rsid w:val="45C951A4"/>
    <w:rsid w:val="45D21188"/>
    <w:rsid w:val="45DB368C"/>
    <w:rsid w:val="45F33FF4"/>
    <w:rsid w:val="45F428E0"/>
    <w:rsid w:val="45F61354"/>
    <w:rsid w:val="460F447D"/>
    <w:rsid w:val="46217C1A"/>
    <w:rsid w:val="462A540E"/>
    <w:rsid w:val="462E594E"/>
    <w:rsid w:val="463852B9"/>
    <w:rsid w:val="464153DE"/>
    <w:rsid w:val="4642189D"/>
    <w:rsid w:val="465161EB"/>
    <w:rsid w:val="46524241"/>
    <w:rsid w:val="466424D4"/>
    <w:rsid w:val="466D449F"/>
    <w:rsid w:val="466E1504"/>
    <w:rsid w:val="46765B52"/>
    <w:rsid w:val="46773EAE"/>
    <w:rsid w:val="468A6779"/>
    <w:rsid w:val="468D226A"/>
    <w:rsid w:val="468F0A5F"/>
    <w:rsid w:val="469733AB"/>
    <w:rsid w:val="469F41B9"/>
    <w:rsid w:val="46A0283F"/>
    <w:rsid w:val="46A40A91"/>
    <w:rsid w:val="46A71700"/>
    <w:rsid w:val="46AE05D8"/>
    <w:rsid w:val="46BB5C1A"/>
    <w:rsid w:val="46C410F2"/>
    <w:rsid w:val="46C42CA7"/>
    <w:rsid w:val="46D44BA4"/>
    <w:rsid w:val="46DD18E6"/>
    <w:rsid w:val="46DF1D2C"/>
    <w:rsid w:val="46F514D2"/>
    <w:rsid w:val="4708063B"/>
    <w:rsid w:val="470809A7"/>
    <w:rsid w:val="47120827"/>
    <w:rsid w:val="47147820"/>
    <w:rsid w:val="47185634"/>
    <w:rsid w:val="471901B2"/>
    <w:rsid w:val="471C1137"/>
    <w:rsid w:val="47236543"/>
    <w:rsid w:val="47255730"/>
    <w:rsid w:val="47262FC9"/>
    <w:rsid w:val="47266580"/>
    <w:rsid w:val="473D551C"/>
    <w:rsid w:val="47520EB1"/>
    <w:rsid w:val="47564260"/>
    <w:rsid w:val="476118AC"/>
    <w:rsid w:val="47775FCD"/>
    <w:rsid w:val="47842AA8"/>
    <w:rsid w:val="47843480"/>
    <w:rsid w:val="47862927"/>
    <w:rsid w:val="4786435B"/>
    <w:rsid w:val="478E5BF3"/>
    <w:rsid w:val="47AB6FCE"/>
    <w:rsid w:val="47C46827"/>
    <w:rsid w:val="47C932CD"/>
    <w:rsid w:val="47D14D37"/>
    <w:rsid w:val="47E7539D"/>
    <w:rsid w:val="47F47DC1"/>
    <w:rsid w:val="47F90B25"/>
    <w:rsid w:val="480D3F42"/>
    <w:rsid w:val="48112E05"/>
    <w:rsid w:val="481316CF"/>
    <w:rsid w:val="48152260"/>
    <w:rsid w:val="4829517C"/>
    <w:rsid w:val="48335D86"/>
    <w:rsid w:val="48457423"/>
    <w:rsid w:val="4849316A"/>
    <w:rsid w:val="485760FA"/>
    <w:rsid w:val="485B747D"/>
    <w:rsid w:val="485F7FEA"/>
    <w:rsid w:val="48613938"/>
    <w:rsid w:val="48686272"/>
    <w:rsid w:val="48783354"/>
    <w:rsid w:val="487E032C"/>
    <w:rsid w:val="488C64E1"/>
    <w:rsid w:val="489049D5"/>
    <w:rsid w:val="48955BB2"/>
    <w:rsid w:val="489C64B8"/>
    <w:rsid w:val="489E1E6C"/>
    <w:rsid w:val="48A91E45"/>
    <w:rsid w:val="48AB2B47"/>
    <w:rsid w:val="48AC5C4C"/>
    <w:rsid w:val="48B2721C"/>
    <w:rsid w:val="48B843DB"/>
    <w:rsid w:val="48B9571B"/>
    <w:rsid w:val="48C017E8"/>
    <w:rsid w:val="48C63077"/>
    <w:rsid w:val="48CA33FC"/>
    <w:rsid w:val="48D9732C"/>
    <w:rsid w:val="48DE5A18"/>
    <w:rsid w:val="48E37354"/>
    <w:rsid w:val="48E85E85"/>
    <w:rsid w:val="48EC789E"/>
    <w:rsid w:val="48EF379A"/>
    <w:rsid w:val="48EF57BE"/>
    <w:rsid w:val="48F94ED4"/>
    <w:rsid w:val="48FF3A76"/>
    <w:rsid w:val="490C3E65"/>
    <w:rsid w:val="490D58BF"/>
    <w:rsid w:val="49135467"/>
    <w:rsid w:val="491929A4"/>
    <w:rsid w:val="49310822"/>
    <w:rsid w:val="4933398C"/>
    <w:rsid w:val="493C25D4"/>
    <w:rsid w:val="494D2A33"/>
    <w:rsid w:val="495D6F47"/>
    <w:rsid w:val="49614633"/>
    <w:rsid w:val="49636A72"/>
    <w:rsid w:val="496B2C2B"/>
    <w:rsid w:val="498334B4"/>
    <w:rsid w:val="499917D4"/>
    <w:rsid w:val="499C358C"/>
    <w:rsid w:val="499F0E56"/>
    <w:rsid w:val="49B16F8D"/>
    <w:rsid w:val="49B764FC"/>
    <w:rsid w:val="49BA0FA4"/>
    <w:rsid w:val="49BC3715"/>
    <w:rsid w:val="49D8310C"/>
    <w:rsid w:val="49DA19EA"/>
    <w:rsid w:val="49E24AA9"/>
    <w:rsid w:val="49E27FD0"/>
    <w:rsid w:val="49E45B25"/>
    <w:rsid w:val="4A0F5F3A"/>
    <w:rsid w:val="4A1248C6"/>
    <w:rsid w:val="4A1E5D46"/>
    <w:rsid w:val="4A244932"/>
    <w:rsid w:val="4A285AF5"/>
    <w:rsid w:val="4A4628E8"/>
    <w:rsid w:val="4A5108EE"/>
    <w:rsid w:val="4A633B90"/>
    <w:rsid w:val="4A895743"/>
    <w:rsid w:val="4A8C42D3"/>
    <w:rsid w:val="4A8D0CA1"/>
    <w:rsid w:val="4A8E3303"/>
    <w:rsid w:val="4A950670"/>
    <w:rsid w:val="4A99498B"/>
    <w:rsid w:val="4A9B272E"/>
    <w:rsid w:val="4A9C2F1A"/>
    <w:rsid w:val="4AA11AE6"/>
    <w:rsid w:val="4AB24F9B"/>
    <w:rsid w:val="4AB640C6"/>
    <w:rsid w:val="4AB651B1"/>
    <w:rsid w:val="4ABB0329"/>
    <w:rsid w:val="4AC11FBB"/>
    <w:rsid w:val="4AC7413B"/>
    <w:rsid w:val="4AD20798"/>
    <w:rsid w:val="4ADD195B"/>
    <w:rsid w:val="4AEF1E37"/>
    <w:rsid w:val="4AF33D06"/>
    <w:rsid w:val="4AFE16D1"/>
    <w:rsid w:val="4B064F25"/>
    <w:rsid w:val="4B0E78FD"/>
    <w:rsid w:val="4B0F1793"/>
    <w:rsid w:val="4B15132F"/>
    <w:rsid w:val="4B1B26BD"/>
    <w:rsid w:val="4B1B3B59"/>
    <w:rsid w:val="4B1F5D09"/>
    <w:rsid w:val="4B230849"/>
    <w:rsid w:val="4B313C8F"/>
    <w:rsid w:val="4B34391F"/>
    <w:rsid w:val="4B3E2E80"/>
    <w:rsid w:val="4B3E33A3"/>
    <w:rsid w:val="4B425E9C"/>
    <w:rsid w:val="4B496C93"/>
    <w:rsid w:val="4B4F4276"/>
    <w:rsid w:val="4B576212"/>
    <w:rsid w:val="4B6630EB"/>
    <w:rsid w:val="4B7122DD"/>
    <w:rsid w:val="4B7C3C7C"/>
    <w:rsid w:val="4B816014"/>
    <w:rsid w:val="4B8B517E"/>
    <w:rsid w:val="4B8C0DC3"/>
    <w:rsid w:val="4B92472D"/>
    <w:rsid w:val="4B9B03F0"/>
    <w:rsid w:val="4BA018A0"/>
    <w:rsid w:val="4BA9404F"/>
    <w:rsid w:val="4BB4033C"/>
    <w:rsid w:val="4BCB5F67"/>
    <w:rsid w:val="4BD50E28"/>
    <w:rsid w:val="4BDF1395"/>
    <w:rsid w:val="4BE73050"/>
    <w:rsid w:val="4BE965B6"/>
    <w:rsid w:val="4BEB4463"/>
    <w:rsid w:val="4C033D8E"/>
    <w:rsid w:val="4C112C04"/>
    <w:rsid w:val="4C161882"/>
    <w:rsid w:val="4C1A5A61"/>
    <w:rsid w:val="4C1D2A3A"/>
    <w:rsid w:val="4C2130F3"/>
    <w:rsid w:val="4C303F46"/>
    <w:rsid w:val="4C31118F"/>
    <w:rsid w:val="4C346E5D"/>
    <w:rsid w:val="4C383A1F"/>
    <w:rsid w:val="4C462956"/>
    <w:rsid w:val="4C4707AB"/>
    <w:rsid w:val="4C526272"/>
    <w:rsid w:val="4C6406E4"/>
    <w:rsid w:val="4C6D5C2A"/>
    <w:rsid w:val="4C7105EB"/>
    <w:rsid w:val="4C8B4D21"/>
    <w:rsid w:val="4C992D1A"/>
    <w:rsid w:val="4CA465B6"/>
    <w:rsid w:val="4CAA1E07"/>
    <w:rsid w:val="4CB12D62"/>
    <w:rsid w:val="4CB608EF"/>
    <w:rsid w:val="4CC529EA"/>
    <w:rsid w:val="4CC90989"/>
    <w:rsid w:val="4CD20D18"/>
    <w:rsid w:val="4CD21B5F"/>
    <w:rsid w:val="4CDD7C2A"/>
    <w:rsid w:val="4CE331B1"/>
    <w:rsid w:val="4CF56350"/>
    <w:rsid w:val="4D043409"/>
    <w:rsid w:val="4D137AF0"/>
    <w:rsid w:val="4D1A110D"/>
    <w:rsid w:val="4D211C43"/>
    <w:rsid w:val="4D23781E"/>
    <w:rsid w:val="4D274EBE"/>
    <w:rsid w:val="4D2E7DAD"/>
    <w:rsid w:val="4D323CAC"/>
    <w:rsid w:val="4D337AB8"/>
    <w:rsid w:val="4D34553A"/>
    <w:rsid w:val="4D460574"/>
    <w:rsid w:val="4D4D3247"/>
    <w:rsid w:val="4D7B242B"/>
    <w:rsid w:val="4D884FC4"/>
    <w:rsid w:val="4D9132F9"/>
    <w:rsid w:val="4D941E7D"/>
    <w:rsid w:val="4D9463EC"/>
    <w:rsid w:val="4D9549A9"/>
    <w:rsid w:val="4D973F59"/>
    <w:rsid w:val="4D992041"/>
    <w:rsid w:val="4D9E59CC"/>
    <w:rsid w:val="4DA64EC2"/>
    <w:rsid w:val="4DA83375"/>
    <w:rsid w:val="4DA97163"/>
    <w:rsid w:val="4DAF745E"/>
    <w:rsid w:val="4DC360A2"/>
    <w:rsid w:val="4DCD38CD"/>
    <w:rsid w:val="4DDA7481"/>
    <w:rsid w:val="4DDF59CF"/>
    <w:rsid w:val="4DE0542E"/>
    <w:rsid w:val="4DED6FEE"/>
    <w:rsid w:val="4DF23BA9"/>
    <w:rsid w:val="4DF42E70"/>
    <w:rsid w:val="4DF93351"/>
    <w:rsid w:val="4DFC0584"/>
    <w:rsid w:val="4E03108A"/>
    <w:rsid w:val="4E065892"/>
    <w:rsid w:val="4E08517B"/>
    <w:rsid w:val="4E0D453F"/>
    <w:rsid w:val="4E102281"/>
    <w:rsid w:val="4E1315AB"/>
    <w:rsid w:val="4E1347B4"/>
    <w:rsid w:val="4E334165"/>
    <w:rsid w:val="4E353A59"/>
    <w:rsid w:val="4E3A13EF"/>
    <w:rsid w:val="4E3F065B"/>
    <w:rsid w:val="4E590016"/>
    <w:rsid w:val="4E593C28"/>
    <w:rsid w:val="4E5A24F2"/>
    <w:rsid w:val="4E5A531C"/>
    <w:rsid w:val="4E7858B4"/>
    <w:rsid w:val="4E7C32D2"/>
    <w:rsid w:val="4E824704"/>
    <w:rsid w:val="4E986765"/>
    <w:rsid w:val="4EA0220D"/>
    <w:rsid w:val="4EA215B1"/>
    <w:rsid w:val="4EA355D2"/>
    <w:rsid w:val="4EA74993"/>
    <w:rsid w:val="4EB15812"/>
    <w:rsid w:val="4EBB39A2"/>
    <w:rsid w:val="4EBF2EE2"/>
    <w:rsid w:val="4EC4477A"/>
    <w:rsid w:val="4EC84CAE"/>
    <w:rsid w:val="4ECC6563"/>
    <w:rsid w:val="4ECE6928"/>
    <w:rsid w:val="4EE01C53"/>
    <w:rsid w:val="4EFD24B4"/>
    <w:rsid w:val="4F0A54F9"/>
    <w:rsid w:val="4F22401A"/>
    <w:rsid w:val="4F272BAB"/>
    <w:rsid w:val="4F5824AA"/>
    <w:rsid w:val="4F6B3C13"/>
    <w:rsid w:val="4F6D2D16"/>
    <w:rsid w:val="4F7505EE"/>
    <w:rsid w:val="4F7D5C10"/>
    <w:rsid w:val="4F801DF4"/>
    <w:rsid w:val="4F862C20"/>
    <w:rsid w:val="4F8C3B89"/>
    <w:rsid w:val="4F8D5534"/>
    <w:rsid w:val="4F8E14E4"/>
    <w:rsid w:val="4F920F57"/>
    <w:rsid w:val="4F9819C1"/>
    <w:rsid w:val="4F9F68AD"/>
    <w:rsid w:val="4FC60E49"/>
    <w:rsid w:val="4FDA66A3"/>
    <w:rsid w:val="4FE14704"/>
    <w:rsid w:val="4FE77892"/>
    <w:rsid w:val="4FF260E2"/>
    <w:rsid w:val="4FF652DA"/>
    <w:rsid w:val="4FF80BDD"/>
    <w:rsid w:val="4FFC0D0F"/>
    <w:rsid w:val="50006B82"/>
    <w:rsid w:val="50056F78"/>
    <w:rsid w:val="500D2F23"/>
    <w:rsid w:val="500E0D76"/>
    <w:rsid w:val="50196029"/>
    <w:rsid w:val="501D30CA"/>
    <w:rsid w:val="501D55AD"/>
    <w:rsid w:val="502369AB"/>
    <w:rsid w:val="502F4C40"/>
    <w:rsid w:val="5044508F"/>
    <w:rsid w:val="50494A56"/>
    <w:rsid w:val="504E4B13"/>
    <w:rsid w:val="50587233"/>
    <w:rsid w:val="50776590"/>
    <w:rsid w:val="507C02A9"/>
    <w:rsid w:val="50903205"/>
    <w:rsid w:val="509151BA"/>
    <w:rsid w:val="50922A67"/>
    <w:rsid w:val="509946DA"/>
    <w:rsid w:val="509B0528"/>
    <w:rsid w:val="509B4D1B"/>
    <w:rsid w:val="50B079EF"/>
    <w:rsid w:val="50BA0BE5"/>
    <w:rsid w:val="50D13030"/>
    <w:rsid w:val="50D43A3A"/>
    <w:rsid w:val="50D71E2D"/>
    <w:rsid w:val="50E5117C"/>
    <w:rsid w:val="50E833CC"/>
    <w:rsid w:val="50F129D7"/>
    <w:rsid w:val="50F20458"/>
    <w:rsid w:val="50F471DE"/>
    <w:rsid w:val="5109070F"/>
    <w:rsid w:val="510C6D30"/>
    <w:rsid w:val="51162C16"/>
    <w:rsid w:val="511F2F07"/>
    <w:rsid w:val="51324D93"/>
    <w:rsid w:val="51376FE9"/>
    <w:rsid w:val="51545631"/>
    <w:rsid w:val="51571481"/>
    <w:rsid w:val="51585608"/>
    <w:rsid w:val="515C3A4F"/>
    <w:rsid w:val="516B5D29"/>
    <w:rsid w:val="517040EB"/>
    <w:rsid w:val="517A0438"/>
    <w:rsid w:val="51887140"/>
    <w:rsid w:val="51A4340C"/>
    <w:rsid w:val="51AA7C07"/>
    <w:rsid w:val="51AE1D36"/>
    <w:rsid w:val="51B15013"/>
    <w:rsid w:val="51B95364"/>
    <w:rsid w:val="51BA5AB7"/>
    <w:rsid w:val="51CB3390"/>
    <w:rsid w:val="51CB5002"/>
    <w:rsid w:val="51DC4954"/>
    <w:rsid w:val="51DE153A"/>
    <w:rsid w:val="51E82F6F"/>
    <w:rsid w:val="51EA0C38"/>
    <w:rsid w:val="51F438BB"/>
    <w:rsid w:val="51FF2B94"/>
    <w:rsid w:val="521C7F46"/>
    <w:rsid w:val="521F0E9F"/>
    <w:rsid w:val="52264794"/>
    <w:rsid w:val="52284B4C"/>
    <w:rsid w:val="52350508"/>
    <w:rsid w:val="524A409B"/>
    <w:rsid w:val="52533B5A"/>
    <w:rsid w:val="52567E20"/>
    <w:rsid w:val="525A6304"/>
    <w:rsid w:val="525D073D"/>
    <w:rsid w:val="527505D4"/>
    <w:rsid w:val="528662F0"/>
    <w:rsid w:val="528D5C4E"/>
    <w:rsid w:val="529717E5"/>
    <w:rsid w:val="5298788F"/>
    <w:rsid w:val="52A70F48"/>
    <w:rsid w:val="52A86F2C"/>
    <w:rsid w:val="52B30BA8"/>
    <w:rsid w:val="52B7075D"/>
    <w:rsid w:val="52BE2CB0"/>
    <w:rsid w:val="52C059E7"/>
    <w:rsid w:val="52C664D9"/>
    <w:rsid w:val="52D86862"/>
    <w:rsid w:val="52E57838"/>
    <w:rsid w:val="52E5798E"/>
    <w:rsid w:val="52EE4A1B"/>
    <w:rsid w:val="53141034"/>
    <w:rsid w:val="53147604"/>
    <w:rsid w:val="531574C8"/>
    <w:rsid w:val="53193986"/>
    <w:rsid w:val="531B76FE"/>
    <w:rsid w:val="531E71EE"/>
    <w:rsid w:val="53213F70"/>
    <w:rsid w:val="5328717E"/>
    <w:rsid w:val="533407C0"/>
    <w:rsid w:val="53404483"/>
    <w:rsid w:val="534474E1"/>
    <w:rsid w:val="53480807"/>
    <w:rsid w:val="53486019"/>
    <w:rsid w:val="53516D2C"/>
    <w:rsid w:val="537570DD"/>
    <w:rsid w:val="537C0F42"/>
    <w:rsid w:val="538440C0"/>
    <w:rsid w:val="53851A96"/>
    <w:rsid w:val="53867518"/>
    <w:rsid w:val="53940A2C"/>
    <w:rsid w:val="53981060"/>
    <w:rsid w:val="53A304DF"/>
    <w:rsid w:val="53A5521A"/>
    <w:rsid w:val="53C03989"/>
    <w:rsid w:val="53D26312"/>
    <w:rsid w:val="53DC46A3"/>
    <w:rsid w:val="53DD2EB9"/>
    <w:rsid w:val="53F577CC"/>
    <w:rsid w:val="53FE0149"/>
    <w:rsid w:val="53FF3EAD"/>
    <w:rsid w:val="540003BA"/>
    <w:rsid w:val="54093406"/>
    <w:rsid w:val="540957A8"/>
    <w:rsid w:val="5409646C"/>
    <w:rsid w:val="54136627"/>
    <w:rsid w:val="5418149D"/>
    <w:rsid w:val="54197134"/>
    <w:rsid w:val="541D1254"/>
    <w:rsid w:val="54224ABC"/>
    <w:rsid w:val="54262873"/>
    <w:rsid w:val="542B775A"/>
    <w:rsid w:val="54327630"/>
    <w:rsid w:val="54373AB8"/>
    <w:rsid w:val="54431726"/>
    <w:rsid w:val="545E3D46"/>
    <w:rsid w:val="5474061F"/>
    <w:rsid w:val="54771E12"/>
    <w:rsid w:val="548F6884"/>
    <w:rsid w:val="549F1A4F"/>
    <w:rsid w:val="54A97595"/>
    <w:rsid w:val="54AD677F"/>
    <w:rsid w:val="54B12D96"/>
    <w:rsid w:val="54B716A8"/>
    <w:rsid w:val="54C449A1"/>
    <w:rsid w:val="54C67EA4"/>
    <w:rsid w:val="54CF6E42"/>
    <w:rsid w:val="54D41AC8"/>
    <w:rsid w:val="54DC2048"/>
    <w:rsid w:val="54DC2EBD"/>
    <w:rsid w:val="54E00A4E"/>
    <w:rsid w:val="54E712AB"/>
    <w:rsid w:val="54ED555D"/>
    <w:rsid w:val="54EF229B"/>
    <w:rsid w:val="54F35804"/>
    <w:rsid w:val="54F93EBC"/>
    <w:rsid w:val="550B1D72"/>
    <w:rsid w:val="552503C0"/>
    <w:rsid w:val="552C443B"/>
    <w:rsid w:val="553304D8"/>
    <w:rsid w:val="55392EE2"/>
    <w:rsid w:val="553936F8"/>
    <w:rsid w:val="553F2324"/>
    <w:rsid w:val="5572144D"/>
    <w:rsid w:val="55750F41"/>
    <w:rsid w:val="557C08CC"/>
    <w:rsid w:val="557E071B"/>
    <w:rsid w:val="558C7D49"/>
    <w:rsid w:val="55943798"/>
    <w:rsid w:val="55A321C1"/>
    <w:rsid w:val="55A7171D"/>
    <w:rsid w:val="55B506B8"/>
    <w:rsid w:val="55B6370E"/>
    <w:rsid w:val="55C10535"/>
    <w:rsid w:val="55C93441"/>
    <w:rsid w:val="55CD616E"/>
    <w:rsid w:val="55D342C0"/>
    <w:rsid w:val="55DB4F23"/>
    <w:rsid w:val="55E23AF4"/>
    <w:rsid w:val="55EE646E"/>
    <w:rsid w:val="55F304BE"/>
    <w:rsid w:val="55F5449E"/>
    <w:rsid w:val="55FB5E70"/>
    <w:rsid w:val="56105467"/>
    <w:rsid w:val="56141D44"/>
    <w:rsid w:val="5621105A"/>
    <w:rsid w:val="56310FE7"/>
    <w:rsid w:val="563C1E65"/>
    <w:rsid w:val="56576C9F"/>
    <w:rsid w:val="565F5B54"/>
    <w:rsid w:val="56695472"/>
    <w:rsid w:val="566A242D"/>
    <w:rsid w:val="568420B9"/>
    <w:rsid w:val="56885586"/>
    <w:rsid w:val="569216C3"/>
    <w:rsid w:val="569644F9"/>
    <w:rsid w:val="56A901D0"/>
    <w:rsid w:val="56BB705A"/>
    <w:rsid w:val="56BC6CDA"/>
    <w:rsid w:val="56C93A38"/>
    <w:rsid w:val="56D17126"/>
    <w:rsid w:val="56D36A74"/>
    <w:rsid w:val="56FC0043"/>
    <w:rsid w:val="56FE210A"/>
    <w:rsid w:val="5708289B"/>
    <w:rsid w:val="5711443D"/>
    <w:rsid w:val="57134EAE"/>
    <w:rsid w:val="57152BEC"/>
    <w:rsid w:val="571A7074"/>
    <w:rsid w:val="572F5526"/>
    <w:rsid w:val="57303F87"/>
    <w:rsid w:val="57462612"/>
    <w:rsid w:val="577949F3"/>
    <w:rsid w:val="57880101"/>
    <w:rsid w:val="57971EC0"/>
    <w:rsid w:val="57972248"/>
    <w:rsid w:val="579D3DCA"/>
    <w:rsid w:val="57A31556"/>
    <w:rsid w:val="57AF3A2D"/>
    <w:rsid w:val="57B61CC3"/>
    <w:rsid w:val="57C63965"/>
    <w:rsid w:val="57C9767E"/>
    <w:rsid w:val="57CA2B3B"/>
    <w:rsid w:val="57D144D8"/>
    <w:rsid w:val="57D562BD"/>
    <w:rsid w:val="57D72154"/>
    <w:rsid w:val="57DC5D60"/>
    <w:rsid w:val="57E01184"/>
    <w:rsid w:val="57E76F1A"/>
    <w:rsid w:val="57EC73CC"/>
    <w:rsid w:val="57EE5C6E"/>
    <w:rsid w:val="57EE7791"/>
    <w:rsid w:val="57F86A62"/>
    <w:rsid w:val="57FD2BBF"/>
    <w:rsid w:val="58006EC2"/>
    <w:rsid w:val="5807127B"/>
    <w:rsid w:val="58082AC4"/>
    <w:rsid w:val="580C3AB9"/>
    <w:rsid w:val="580D3184"/>
    <w:rsid w:val="58214023"/>
    <w:rsid w:val="582D4143"/>
    <w:rsid w:val="582E1C82"/>
    <w:rsid w:val="583E0E16"/>
    <w:rsid w:val="584B5A6E"/>
    <w:rsid w:val="58545AF7"/>
    <w:rsid w:val="58550FBC"/>
    <w:rsid w:val="586A7C9A"/>
    <w:rsid w:val="589A2E73"/>
    <w:rsid w:val="58A22108"/>
    <w:rsid w:val="58AE09A3"/>
    <w:rsid w:val="58B27195"/>
    <w:rsid w:val="58BA45A1"/>
    <w:rsid w:val="58D074BB"/>
    <w:rsid w:val="58D53ACA"/>
    <w:rsid w:val="58D97E3F"/>
    <w:rsid w:val="59027AE7"/>
    <w:rsid w:val="59044100"/>
    <w:rsid w:val="5909243F"/>
    <w:rsid w:val="591F781C"/>
    <w:rsid w:val="592056A2"/>
    <w:rsid w:val="5936196D"/>
    <w:rsid w:val="5940227C"/>
    <w:rsid w:val="59442E81"/>
    <w:rsid w:val="594B74F3"/>
    <w:rsid w:val="59551ADB"/>
    <w:rsid w:val="5957067B"/>
    <w:rsid w:val="595D3DAB"/>
    <w:rsid w:val="595F6330"/>
    <w:rsid w:val="59623DC3"/>
    <w:rsid w:val="59735ABF"/>
    <w:rsid w:val="597D42DF"/>
    <w:rsid w:val="59890156"/>
    <w:rsid w:val="599A2A69"/>
    <w:rsid w:val="599E6993"/>
    <w:rsid w:val="59A57D21"/>
    <w:rsid w:val="59AE5C9B"/>
    <w:rsid w:val="59B671A6"/>
    <w:rsid w:val="59B81A46"/>
    <w:rsid w:val="59B92E3F"/>
    <w:rsid w:val="59C02DAD"/>
    <w:rsid w:val="59C12681"/>
    <w:rsid w:val="59D44313"/>
    <w:rsid w:val="59D45AEF"/>
    <w:rsid w:val="59E14637"/>
    <w:rsid w:val="59E15CD9"/>
    <w:rsid w:val="59E52814"/>
    <w:rsid w:val="59F34F31"/>
    <w:rsid w:val="59FA5965"/>
    <w:rsid w:val="59FB30B7"/>
    <w:rsid w:val="5A016AB7"/>
    <w:rsid w:val="5A0636D9"/>
    <w:rsid w:val="5A074243"/>
    <w:rsid w:val="5A186745"/>
    <w:rsid w:val="5A1B4488"/>
    <w:rsid w:val="5A22601F"/>
    <w:rsid w:val="5A281112"/>
    <w:rsid w:val="5A2A57A8"/>
    <w:rsid w:val="5A2F4103"/>
    <w:rsid w:val="5A3C3C4B"/>
    <w:rsid w:val="5A421A14"/>
    <w:rsid w:val="5A437DF3"/>
    <w:rsid w:val="5A592E3F"/>
    <w:rsid w:val="5A7024AF"/>
    <w:rsid w:val="5A7744F7"/>
    <w:rsid w:val="5A797D8C"/>
    <w:rsid w:val="5A8F5421"/>
    <w:rsid w:val="5A9F7C3A"/>
    <w:rsid w:val="5AA721BA"/>
    <w:rsid w:val="5AC021B9"/>
    <w:rsid w:val="5AD6734C"/>
    <w:rsid w:val="5AE673F8"/>
    <w:rsid w:val="5AF55909"/>
    <w:rsid w:val="5AFC0709"/>
    <w:rsid w:val="5B24392C"/>
    <w:rsid w:val="5B355BAF"/>
    <w:rsid w:val="5B413AB6"/>
    <w:rsid w:val="5B4638CB"/>
    <w:rsid w:val="5B49484F"/>
    <w:rsid w:val="5B5347FA"/>
    <w:rsid w:val="5B5828EC"/>
    <w:rsid w:val="5B6D486F"/>
    <w:rsid w:val="5B743E4F"/>
    <w:rsid w:val="5B7E082A"/>
    <w:rsid w:val="5B81656C"/>
    <w:rsid w:val="5B833730"/>
    <w:rsid w:val="5B85605C"/>
    <w:rsid w:val="5B973FF4"/>
    <w:rsid w:val="5B977B3E"/>
    <w:rsid w:val="5BA51471"/>
    <w:rsid w:val="5BA64DC5"/>
    <w:rsid w:val="5BBA747C"/>
    <w:rsid w:val="5BC6762F"/>
    <w:rsid w:val="5BCC2EF9"/>
    <w:rsid w:val="5BD0382F"/>
    <w:rsid w:val="5BD26DC8"/>
    <w:rsid w:val="5BDD02C0"/>
    <w:rsid w:val="5BDE63C8"/>
    <w:rsid w:val="5BE52428"/>
    <w:rsid w:val="5BE7577A"/>
    <w:rsid w:val="5BF322FC"/>
    <w:rsid w:val="5BF92475"/>
    <w:rsid w:val="5BF949F3"/>
    <w:rsid w:val="5C094C8E"/>
    <w:rsid w:val="5C0D6A67"/>
    <w:rsid w:val="5C173C20"/>
    <w:rsid w:val="5C1A29AA"/>
    <w:rsid w:val="5C1D66DF"/>
    <w:rsid w:val="5C256C5C"/>
    <w:rsid w:val="5C313AEE"/>
    <w:rsid w:val="5C3F18E4"/>
    <w:rsid w:val="5C433822"/>
    <w:rsid w:val="5C576A9A"/>
    <w:rsid w:val="5C6460C2"/>
    <w:rsid w:val="5C6B14AF"/>
    <w:rsid w:val="5C734427"/>
    <w:rsid w:val="5C743C38"/>
    <w:rsid w:val="5C753FBD"/>
    <w:rsid w:val="5C7D3B73"/>
    <w:rsid w:val="5C8E444F"/>
    <w:rsid w:val="5C9238ED"/>
    <w:rsid w:val="5C9522F3"/>
    <w:rsid w:val="5C9C2561"/>
    <w:rsid w:val="5CAB2DEF"/>
    <w:rsid w:val="5CAE4D40"/>
    <w:rsid w:val="5CB118A4"/>
    <w:rsid w:val="5CB169DD"/>
    <w:rsid w:val="5CB90151"/>
    <w:rsid w:val="5CBF559E"/>
    <w:rsid w:val="5CCB23DA"/>
    <w:rsid w:val="5CCB4659"/>
    <w:rsid w:val="5CE241F5"/>
    <w:rsid w:val="5CE26312"/>
    <w:rsid w:val="5CE60EC1"/>
    <w:rsid w:val="5CE7687A"/>
    <w:rsid w:val="5CE80A78"/>
    <w:rsid w:val="5CE964FA"/>
    <w:rsid w:val="5CED4F00"/>
    <w:rsid w:val="5CF27722"/>
    <w:rsid w:val="5D037AAA"/>
    <w:rsid w:val="5D110DF0"/>
    <w:rsid w:val="5D125487"/>
    <w:rsid w:val="5D135979"/>
    <w:rsid w:val="5D1458EA"/>
    <w:rsid w:val="5D1C02FB"/>
    <w:rsid w:val="5D1E7743"/>
    <w:rsid w:val="5D20742E"/>
    <w:rsid w:val="5D2A2281"/>
    <w:rsid w:val="5D2C3D36"/>
    <w:rsid w:val="5D327B1E"/>
    <w:rsid w:val="5D333744"/>
    <w:rsid w:val="5D367714"/>
    <w:rsid w:val="5D3F13E0"/>
    <w:rsid w:val="5D4B33F2"/>
    <w:rsid w:val="5D4E06D0"/>
    <w:rsid w:val="5D4E2229"/>
    <w:rsid w:val="5D516D75"/>
    <w:rsid w:val="5D694C73"/>
    <w:rsid w:val="5D6A35D0"/>
    <w:rsid w:val="5D6F3E31"/>
    <w:rsid w:val="5D8440F2"/>
    <w:rsid w:val="5D9023ED"/>
    <w:rsid w:val="5D9C1821"/>
    <w:rsid w:val="5DA0717E"/>
    <w:rsid w:val="5DA424B0"/>
    <w:rsid w:val="5DB14E3C"/>
    <w:rsid w:val="5DBD55D9"/>
    <w:rsid w:val="5DBF3F49"/>
    <w:rsid w:val="5DD1073C"/>
    <w:rsid w:val="5DD358DD"/>
    <w:rsid w:val="5DDC12FC"/>
    <w:rsid w:val="5DEB4A20"/>
    <w:rsid w:val="5DF94596"/>
    <w:rsid w:val="5E0314BA"/>
    <w:rsid w:val="5E06344E"/>
    <w:rsid w:val="5E0B3C39"/>
    <w:rsid w:val="5E2638B8"/>
    <w:rsid w:val="5E441B05"/>
    <w:rsid w:val="5E447596"/>
    <w:rsid w:val="5E453C56"/>
    <w:rsid w:val="5E4577A1"/>
    <w:rsid w:val="5E5C3E75"/>
    <w:rsid w:val="5E602469"/>
    <w:rsid w:val="5E79121B"/>
    <w:rsid w:val="5E797EB5"/>
    <w:rsid w:val="5E7F7895"/>
    <w:rsid w:val="5E82081A"/>
    <w:rsid w:val="5E96232F"/>
    <w:rsid w:val="5EB1716B"/>
    <w:rsid w:val="5EB378FE"/>
    <w:rsid w:val="5EB427B5"/>
    <w:rsid w:val="5EB52D47"/>
    <w:rsid w:val="5EB94577"/>
    <w:rsid w:val="5EBB3254"/>
    <w:rsid w:val="5EC23124"/>
    <w:rsid w:val="5ECC1C23"/>
    <w:rsid w:val="5ECD607D"/>
    <w:rsid w:val="5ECF26F0"/>
    <w:rsid w:val="5EDC1FD4"/>
    <w:rsid w:val="5EDD34B2"/>
    <w:rsid w:val="5EDE7A16"/>
    <w:rsid w:val="5EEE46E5"/>
    <w:rsid w:val="5EF376B1"/>
    <w:rsid w:val="5F0441B1"/>
    <w:rsid w:val="5F074075"/>
    <w:rsid w:val="5F0C4827"/>
    <w:rsid w:val="5F1812F4"/>
    <w:rsid w:val="5F36141C"/>
    <w:rsid w:val="5F396D54"/>
    <w:rsid w:val="5F3C6553"/>
    <w:rsid w:val="5F555D46"/>
    <w:rsid w:val="5F5C78D3"/>
    <w:rsid w:val="5F5D467C"/>
    <w:rsid w:val="5F6F1B1A"/>
    <w:rsid w:val="5F7470DF"/>
    <w:rsid w:val="5F750405"/>
    <w:rsid w:val="5F833C40"/>
    <w:rsid w:val="5F903222"/>
    <w:rsid w:val="5F9E226B"/>
    <w:rsid w:val="5FA44230"/>
    <w:rsid w:val="5FA665A1"/>
    <w:rsid w:val="5FAA3AFF"/>
    <w:rsid w:val="5FC5111D"/>
    <w:rsid w:val="5FD27396"/>
    <w:rsid w:val="5FD31841"/>
    <w:rsid w:val="5FD92450"/>
    <w:rsid w:val="5FE53E51"/>
    <w:rsid w:val="5FE56528"/>
    <w:rsid w:val="5FE65A7D"/>
    <w:rsid w:val="5FEC339C"/>
    <w:rsid w:val="60011A2A"/>
    <w:rsid w:val="60061DF7"/>
    <w:rsid w:val="60105F49"/>
    <w:rsid w:val="601427B8"/>
    <w:rsid w:val="602821CF"/>
    <w:rsid w:val="602D40D8"/>
    <w:rsid w:val="603C46F3"/>
    <w:rsid w:val="604D12DD"/>
    <w:rsid w:val="60547FA0"/>
    <w:rsid w:val="605E50CE"/>
    <w:rsid w:val="606210AF"/>
    <w:rsid w:val="60687F2B"/>
    <w:rsid w:val="606F1089"/>
    <w:rsid w:val="6072134A"/>
    <w:rsid w:val="60725F80"/>
    <w:rsid w:val="607E307A"/>
    <w:rsid w:val="608A7C71"/>
    <w:rsid w:val="608B1383"/>
    <w:rsid w:val="608C5797"/>
    <w:rsid w:val="60913563"/>
    <w:rsid w:val="609A350B"/>
    <w:rsid w:val="609A58D5"/>
    <w:rsid w:val="60BB607C"/>
    <w:rsid w:val="60C34A45"/>
    <w:rsid w:val="60C4204E"/>
    <w:rsid w:val="60D14BE6"/>
    <w:rsid w:val="60DF3EFC"/>
    <w:rsid w:val="60E70F31"/>
    <w:rsid w:val="60E71957"/>
    <w:rsid w:val="60E72DBA"/>
    <w:rsid w:val="60ED47F3"/>
    <w:rsid w:val="60F72D40"/>
    <w:rsid w:val="610405E7"/>
    <w:rsid w:val="61041DB2"/>
    <w:rsid w:val="61057833"/>
    <w:rsid w:val="61072AD0"/>
    <w:rsid w:val="610E2650"/>
    <w:rsid w:val="61173FFF"/>
    <w:rsid w:val="6118527D"/>
    <w:rsid w:val="611F6EE4"/>
    <w:rsid w:val="61286B5F"/>
    <w:rsid w:val="612A5035"/>
    <w:rsid w:val="612C11D1"/>
    <w:rsid w:val="61357BDD"/>
    <w:rsid w:val="616917DC"/>
    <w:rsid w:val="616C3E03"/>
    <w:rsid w:val="6177777B"/>
    <w:rsid w:val="617E0582"/>
    <w:rsid w:val="6188757A"/>
    <w:rsid w:val="61915B6A"/>
    <w:rsid w:val="619D1B13"/>
    <w:rsid w:val="619D22AF"/>
    <w:rsid w:val="619F4326"/>
    <w:rsid w:val="61A316BC"/>
    <w:rsid w:val="61A84853"/>
    <w:rsid w:val="61AD5404"/>
    <w:rsid w:val="61AF5FAD"/>
    <w:rsid w:val="61BD612B"/>
    <w:rsid w:val="61C7189C"/>
    <w:rsid w:val="61CE5BC3"/>
    <w:rsid w:val="61D03DA9"/>
    <w:rsid w:val="61D10B63"/>
    <w:rsid w:val="61D933E4"/>
    <w:rsid w:val="61E82848"/>
    <w:rsid w:val="61E82EA1"/>
    <w:rsid w:val="61F12690"/>
    <w:rsid w:val="61F348BD"/>
    <w:rsid w:val="61FB0E26"/>
    <w:rsid w:val="62142C74"/>
    <w:rsid w:val="621E04DB"/>
    <w:rsid w:val="62251B0C"/>
    <w:rsid w:val="62264CD4"/>
    <w:rsid w:val="623779B1"/>
    <w:rsid w:val="623D02E8"/>
    <w:rsid w:val="623F023C"/>
    <w:rsid w:val="624215C5"/>
    <w:rsid w:val="62436034"/>
    <w:rsid w:val="62451C3F"/>
    <w:rsid w:val="624A590A"/>
    <w:rsid w:val="62643CF8"/>
    <w:rsid w:val="626F59A3"/>
    <w:rsid w:val="62736511"/>
    <w:rsid w:val="62776B0A"/>
    <w:rsid w:val="627E76E1"/>
    <w:rsid w:val="628A23DC"/>
    <w:rsid w:val="629C2F58"/>
    <w:rsid w:val="62A768B8"/>
    <w:rsid w:val="62A77C19"/>
    <w:rsid w:val="62A94E73"/>
    <w:rsid w:val="62AE2A85"/>
    <w:rsid w:val="62B02CB8"/>
    <w:rsid w:val="62BD348D"/>
    <w:rsid w:val="62D652C2"/>
    <w:rsid w:val="62D82F16"/>
    <w:rsid w:val="62EF16DE"/>
    <w:rsid w:val="62F04BE1"/>
    <w:rsid w:val="62F0715F"/>
    <w:rsid w:val="62F516DF"/>
    <w:rsid w:val="62F74E19"/>
    <w:rsid w:val="63033C02"/>
    <w:rsid w:val="63082571"/>
    <w:rsid w:val="63085CDC"/>
    <w:rsid w:val="630B644D"/>
    <w:rsid w:val="630F7A14"/>
    <w:rsid w:val="63114176"/>
    <w:rsid w:val="631E69AA"/>
    <w:rsid w:val="631F442B"/>
    <w:rsid w:val="632131B2"/>
    <w:rsid w:val="632C5E70"/>
    <w:rsid w:val="63365FCF"/>
    <w:rsid w:val="633D5D1F"/>
    <w:rsid w:val="63402869"/>
    <w:rsid w:val="63411336"/>
    <w:rsid w:val="6344515E"/>
    <w:rsid w:val="634B0FC2"/>
    <w:rsid w:val="634E7862"/>
    <w:rsid w:val="635579ED"/>
    <w:rsid w:val="635D67A5"/>
    <w:rsid w:val="636059BD"/>
    <w:rsid w:val="63626DC1"/>
    <w:rsid w:val="636A3CCE"/>
    <w:rsid w:val="637349EC"/>
    <w:rsid w:val="6377613F"/>
    <w:rsid w:val="638219C0"/>
    <w:rsid w:val="63836319"/>
    <w:rsid w:val="639A75F8"/>
    <w:rsid w:val="63A34684"/>
    <w:rsid w:val="63AA7FA8"/>
    <w:rsid w:val="63AC7512"/>
    <w:rsid w:val="63AF6069"/>
    <w:rsid w:val="63C70076"/>
    <w:rsid w:val="63C82F8A"/>
    <w:rsid w:val="63D7190C"/>
    <w:rsid w:val="63F656CF"/>
    <w:rsid w:val="63FF26E0"/>
    <w:rsid w:val="640A78AC"/>
    <w:rsid w:val="64261175"/>
    <w:rsid w:val="6427203D"/>
    <w:rsid w:val="642B5570"/>
    <w:rsid w:val="642D6001"/>
    <w:rsid w:val="642F0F87"/>
    <w:rsid w:val="645B6BE2"/>
    <w:rsid w:val="645E4247"/>
    <w:rsid w:val="646802C9"/>
    <w:rsid w:val="646D3D82"/>
    <w:rsid w:val="64915F46"/>
    <w:rsid w:val="64A27E52"/>
    <w:rsid w:val="64A435CD"/>
    <w:rsid w:val="64A97CF5"/>
    <w:rsid w:val="64CB796A"/>
    <w:rsid w:val="64CE08EF"/>
    <w:rsid w:val="64D34D76"/>
    <w:rsid w:val="64D65CFB"/>
    <w:rsid w:val="64DB0A9B"/>
    <w:rsid w:val="64DD0F09"/>
    <w:rsid w:val="64EE4C72"/>
    <w:rsid w:val="64EF4547"/>
    <w:rsid w:val="650023C2"/>
    <w:rsid w:val="650852D4"/>
    <w:rsid w:val="650A75D2"/>
    <w:rsid w:val="651A15EE"/>
    <w:rsid w:val="651D1EC8"/>
    <w:rsid w:val="65215A12"/>
    <w:rsid w:val="652911A2"/>
    <w:rsid w:val="65441C91"/>
    <w:rsid w:val="65457634"/>
    <w:rsid w:val="65470F70"/>
    <w:rsid w:val="654E3963"/>
    <w:rsid w:val="654F4FE5"/>
    <w:rsid w:val="655016BB"/>
    <w:rsid w:val="6559333B"/>
    <w:rsid w:val="655C1AF8"/>
    <w:rsid w:val="65762391"/>
    <w:rsid w:val="657A2ED4"/>
    <w:rsid w:val="65813C15"/>
    <w:rsid w:val="65863920"/>
    <w:rsid w:val="65A05841"/>
    <w:rsid w:val="65A2716B"/>
    <w:rsid w:val="65AE1C35"/>
    <w:rsid w:val="65AE5462"/>
    <w:rsid w:val="65B23EF2"/>
    <w:rsid w:val="65B92CC9"/>
    <w:rsid w:val="65BF27BC"/>
    <w:rsid w:val="65C36135"/>
    <w:rsid w:val="65C710C5"/>
    <w:rsid w:val="65C73ADE"/>
    <w:rsid w:val="65CE6293"/>
    <w:rsid w:val="65E12D35"/>
    <w:rsid w:val="65E534EF"/>
    <w:rsid w:val="65EA2EBA"/>
    <w:rsid w:val="65EC32C5"/>
    <w:rsid w:val="65F01A96"/>
    <w:rsid w:val="65F22BB6"/>
    <w:rsid w:val="660E1486"/>
    <w:rsid w:val="66146C63"/>
    <w:rsid w:val="661E7317"/>
    <w:rsid w:val="6627097F"/>
    <w:rsid w:val="662A0BAB"/>
    <w:rsid w:val="662C71A3"/>
    <w:rsid w:val="66344907"/>
    <w:rsid w:val="66383AE8"/>
    <w:rsid w:val="663D1DCA"/>
    <w:rsid w:val="66444C48"/>
    <w:rsid w:val="66457407"/>
    <w:rsid w:val="66507267"/>
    <w:rsid w:val="665A38F8"/>
    <w:rsid w:val="6669784C"/>
    <w:rsid w:val="666C6F22"/>
    <w:rsid w:val="667A0F34"/>
    <w:rsid w:val="667E6B45"/>
    <w:rsid w:val="66894448"/>
    <w:rsid w:val="66894D85"/>
    <w:rsid w:val="668A3F3C"/>
    <w:rsid w:val="66903DD3"/>
    <w:rsid w:val="669855B8"/>
    <w:rsid w:val="66A739F8"/>
    <w:rsid w:val="66AF24E6"/>
    <w:rsid w:val="66C3259F"/>
    <w:rsid w:val="66C373BF"/>
    <w:rsid w:val="66C700C4"/>
    <w:rsid w:val="66D93700"/>
    <w:rsid w:val="66EA10AD"/>
    <w:rsid w:val="66EE416C"/>
    <w:rsid w:val="66F50DF7"/>
    <w:rsid w:val="66F71181"/>
    <w:rsid w:val="66FF2D41"/>
    <w:rsid w:val="67024DAC"/>
    <w:rsid w:val="67050051"/>
    <w:rsid w:val="671B17B8"/>
    <w:rsid w:val="6728524B"/>
    <w:rsid w:val="672C7336"/>
    <w:rsid w:val="672C74D4"/>
    <w:rsid w:val="67307337"/>
    <w:rsid w:val="673A6CEF"/>
    <w:rsid w:val="674C3ED2"/>
    <w:rsid w:val="674F246D"/>
    <w:rsid w:val="67583798"/>
    <w:rsid w:val="67612AD9"/>
    <w:rsid w:val="676166A9"/>
    <w:rsid w:val="676C6322"/>
    <w:rsid w:val="676E7F3D"/>
    <w:rsid w:val="67734258"/>
    <w:rsid w:val="67767967"/>
    <w:rsid w:val="677A5055"/>
    <w:rsid w:val="677A75D3"/>
    <w:rsid w:val="67887528"/>
    <w:rsid w:val="678C42CF"/>
    <w:rsid w:val="678C48BD"/>
    <w:rsid w:val="678F5EF4"/>
    <w:rsid w:val="679130CF"/>
    <w:rsid w:val="67943C27"/>
    <w:rsid w:val="67AF7FBD"/>
    <w:rsid w:val="67B406B2"/>
    <w:rsid w:val="67B51A77"/>
    <w:rsid w:val="67B80600"/>
    <w:rsid w:val="67BA52E0"/>
    <w:rsid w:val="67D65A90"/>
    <w:rsid w:val="67EE6D37"/>
    <w:rsid w:val="67EF5014"/>
    <w:rsid w:val="67F267F8"/>
    <w:rsid w:val="67F26828"/>
    <w:rsid w:val="67F85AF2"/>
    <w:rsid w:val="680B1697"/>
    <w:rsid w:val="68102D20"/>
    <w:rsid w:val="68144654"/>
    <w:rsid w:val="681A5D7E"/>
    <w:rsid w:val="68276D46"/>
    <w:rsid w:val="6828189F"/>
    <w:rsid w:val="6829726E"/>
    <w:rsid w:val="682B15F5"/>
    <w:rsid w:val="6837113C"/>
    <w:rsid w:val="685112C3"/>
    <w:rsid w:val="68525518"/>
    <w:rsid w:val="68572309"/>
    <w:rsid w:val="68642184"/>
    <w:rsid w:val="68642A54"/>
    <w:rsid w:val="686C7830"/>
    <w:rsid w:val="68721D6A"/>
    <w:rsid w:val="688B27D8"/>
    <w:rsid w:val="688C1FD2"/>
    <w:rsid w:val="688D7571"/>
    <w:rsid w:val="68910C40"/>
    <w:rsid w:val="68B00491"/>
    <w:rsid w:val="68C73114"/>
    <w:rsid w:val="68CA5ED8"/>
    <w:rsid w:val="68E61D28"/>
    <w:rsid w:val="68E65C61"/>
    <w:rsid w:val="68E82F52"/>
    <w:rsid w:val="68EB2B79"/>
    <w:rsid w:val="68F92F8D"/>
    <w:rsid w:val="69086737"/>
    <w:rsid w:val="690D4335"/>
    <w:rsid w:val="69143AF1"/>
    <w:rsid w:val="69172DED"/>
    <w:rsid w:val="693710DE"/>
    <w:rsid w:val="694158BA"/>
    <w:rsid w:val="69433658"/>
    <w:rsid w:val="69486D38"/>
    <w:rsid w:val="695074D3"/>
    <w:rsid w:val="69512143"/>
    <w:rsid w:val="695B664F"/>
    <w:rsid w:val="696911AE"/>
    <w:rsid w:val="696A4500"/>
    <w:rsid w:val="69894DB5"/>
    <w:rsid w:val="698E662B"/>
    <w:rsid w:val="69905753"/>
    <w:rsid w:val="699121C1"/>
    <w:rsid w:val="69937B96"/>
    <w:rsid w:val="699B6911"/>
    <w:rsid w:val="69A43B52"/>
    <w:rsid w:val="69B55D5F"/>
    <w:rsid w:val="69C2222A"/>
    <w:rsid w:val="69CA05AB"/>
    <w:rsid w:val="69E4001D"/>
    <w:rsid w:val="69E51C4B"/>
    <w:rsid w:val="69E82B0F"/>
    <w:rsid w:val="69FD2532"/>
    <w:rsid w:val="6A0500BE"/>
    <w:rsid w:val="6A071E00"/>
    <w:rsid w:val="6A073AA8"/>
    <w:rsid w:val="6A0C2C21"/>
    <w:rsid w:val="6A1142BF"/>
    <w:rsid w:val="6A154999"/>
    <w:rsid w:val="6A195E69"/>
    <w:rsid w:val="6A1F767C"/>
    <w:rsid w:val="6A2C3B47"/>
    <w:rsid w:val="6A4315BC"/>
    <w:rsid w:val="6A440E91"/>
    <w:rsid w:val="6A49294B"/>
    <w:rsid w:val="6A4D41E9"/>
    <w:rsid w:val="6A4F3918"/>
    <w:rsid w:val="6A5105C2"/>
    <w:rsid w:val="6A71346D"/>
    <w:rsid w:val="6A775937"/>
    <w:rsid w:val="6A8A46FA"/>
    <w:rsid w:val="6A986D21"/>
    <w:rsid w:val="6A9B2674"/>
    <w:rsid w:val="6AA87DCA"/>
    <w:rsid w:val="6AB62858"/>
    <w:rsid w:val="6ACD4FC1"/>
    <w:rsid w:val="6AD20C96"/>
    <w:rsid w:val="6AD97090"/>
    <w:rsid w:val="6AE807B5"/>
    <w:rsid w:val="6AEA1A38"/>
    <w:rsid w:val="6AED3865"/>
    <w:rsid w:val="6B011F97"/>
    <w:rsid w:val="6B021FBD"/>
    <w:rsid w:val="6B0A5858"/>
    <w:rsid w:val="6B0E29B2"/>
    <w:rsid w:val="6B3F3181"/>
    <w:rsid w:val="6B44273D"/>
    <w:rsid w:val="6B465904"/>
    <w:rsid w:val="6B4A5933"/>
    <w:rsid w:val="6B4F70C5"/>
    <w:rsid w:val="6B5B46E4"/>
    <w:rsid w:val="6B6449E9"/>
    <w:rsid w:val="6B715CB5"/>
    <w:rsid w:val="6B7845BA"/>
    <w:rsid w:val="6B826114"/>
    <w:rsid w:val="6B8B79FD"/>
    <w:rsid w:val="6B8E10FC"/>
    <w:rsid w:val="6B9225EF"/>
    <w:rsid w:val="6BA914C0"/>
    <w:rsid w:val="6BB42046"/>
    <w:rsid w:val="6BB71B46"/>
    <w:rsid w:val="6BB7260B"/>
    <w:rsid w:val="6BC44A51"/>
    <w:rsid w:val="6BCF125C"/>
    <w:rsid w:val="6BD9560E"/>
    <w:rsid w:val="6BE4292B"/>
    <w:rsid w:val="6BE902A4"/>
    <w:rsid w:val="6BEB329A"/>
    <w:rsid w:val="6BEC0D1C"/>
    <w:rsid w:val="6BF239FF"/>
    <w:rsid w:val="6BF464B5"/>
    <w:rsid w:val="6C032D55"/>
    <w:rsid w:val="6C060AF4"/>
    <w:rsid w:val="6C09284A"/>
    <w:rsid w:val="6C0D41AC"/>
    <w:rsid w:val="6C0F0C37"/>
    <w:rsid w:val="6C1808E6"/>
    <w:rsid w:val="6C1D2E26"/>
    <w:rsid w:val="6C1E3B87"/>
    <w:rsid w:val="6C1F5BAD"/>
    <w:rsid w:val="6C2076DB"/>
    <w:rsid w:val="6C230A7B"/>
    <w:rsid w:val="6C25217A"/>
    <w:rsid w:val="6C25681A"/>
    <w:rsid w:val="6C383399"/>
    <w:rsid w:val="6C390445"/>
    <w:rsid w:val="6C5630FD"/>
    <w:rsid w:val="6C5871B6"/>
    <w:rsid w:val="6C5E0635"/>
    <w:rsid w:val="6C5F3DF6"/>
    <w:rsid w:val="6C6509E5"/>
    <w:rsid w:val="6C7937AF"/>
    <w:rsid w:val="6C7B2887"/>
    <w:rsid w:val="6C7B5091"/>
    <w:rsid w:val="6C832144"/>
    <w:rsid w:val="6C847C6A"/>
    <w:rsid w:val="6C8934D3"/>
    <w:rsid w:val="6C951E77"/>
    <w:rsid w:val="6CA43297"/>
    <w:rsid w:val="6CA94E22"/>
    <w:rsid w:val="6CB40765"/>
    <w:rsid w:val="6CC664D5"/>
    <w:rsid w:val="6CCC0102"/>
    <w:rsid w:val="6CCD33BF"/>
    <w:rsid w:val="6CD670B7"/>
    <w:rsid w:val="6CD909AD"/>
    <w:rsid w:val="6CD92F23"/>
    <w:rsid w:val="6CE10E70"/>
    <w:rsid w:val="6D0446EE"/>
    <w:rsid w:val="6D155306"/>
    <w:rsid w:val="6D1A3CAC"/>
    <w:rsid w:val="6D205BE5"/>
    <w:rsid w:val="6D29640D"/>
    <w:rsid w:val="6D2B4D20"/>
    <w:rsid w:val="6D2E042E"/>
    <w:rsid w:val="6D2F5E28"/>
    <w:rsid w:val="6D370D3E"/>
    <w:rsid w:val="6D394E41"/>
    <w:rsid w:val="6D3B1544"/>
    <w:rsid w:val="6D446D4F"/>
    <w:rsid w:val="6D5B2E41"/>
    <w:rsid w:val="6D740BA3"/>
    <w:rsid w:val="6D8223FC"/>
    <w:rsid w:val="6D970D57"/>
    <w:rsid w:val="6D9D06E2"/>
    <w:rsid w:val="6DB0387F"/>
    <w:rsid w:val="6DCE60FB"/>
    <w:rsid w:val="6DD4663E"/>
    <w:rsid w:val="6DDA1310"/>
    <w:rsid w:val="6DE0074F"/>
    <w:rsid w:val="6E070112"/>
    <w:rsid w:val="6E0E1EE1"/>
    <w:rsid w:val="6E0F2A6A"/>
    <w:rsid w:val="6E246564"/>
    <w:rsid w:val="6E361438"/>
    <w:rsid w:val="6E382615"/>
    <w:rsid w:val="6E40370E"/>
    <w:rsid w:val="6E472043"/>
    <w:rsid w:val="6E4E2A84"/>
    <w:rsid w:val="6E503372"/>
    <w:rsid w:val="6E59211A"/>
    <w:rsid w:val="6E623FDB"/>
    <w:rsid w:val="6E6A0D4E"/>
    <w:rsid w:val="6E6C043A"/>
    <w:rsid w:val="6E7219BF"/>
    <w:rsid w:val="6E745AA1"/>
    <w:rsid w:val="6E75517D"/>
    <w:rsid w:val="6E7A4290"/>
    <w:rsid w:val="6E80181D"/>
    <w:rsid w:val="6E873A42"/>
    <w:rsid w:val="6E8772A6"/>
    <w:rsid w:val="6E95001C"/>
    <w:rsid w:val="6EA33813"/>
    <w:rsid w:val="6EA347C9"/>
    <w:rsid w:val="6EAE7626"/>
    <w:rsid w:val="6EB14085"/>
    <w:rsid w:val="6EC03EA2"/>
    <w:rsid w:val="6EC43A47"/>
    <w:rsid w:val="6EC72090"/>
    <w:rsid w:val="6ED461E0"/>
    <w:rsid w:val="6EE01F27"/>
    <w:rsid w:val="6EE449F0"/>
    <w:rsid w:val="6EEB3C07"/>
    <w:rsid w:val="6EF44517"/>
    <w:rsid w:val="6F03595C"/>
    <w:rsid w:val="6F0B557E"/>
    <w:rsid w:val="6F0C4904"/>
    <w:rsid w:val="6F2B0871"/>
    <w:rsid w:val="6F335386"/>
    <w:rsid w:val="6F352D82"/>
    <w:rsid w:val="6F3E05A4"/>
    <w:rsid w:val="6F540CA9"/>
    <w:rsid w:val="6F5430C0"/>
    <w:rsid w:val="6F5F59C2"/>
    <w:rsid w:val="6F6F4C26"/>
    <w:rsid w:val="6F712728"/>
    <w:rsid w:val="6F7C7C3D"/>
    <w:rsid w:val="6F8B248C"/>
    <w:rsid w:val="6F991C7F"/>
    <w:rsid w:val="6F9A4FDF"/>
    <w:rsid w:val="6FA56875"/>
    <w:rsid w:val="6FAA5CAD"/>
    <w:rsid w:val="6FAB29C1"/>
    <w:rsid w:val="6FB16245"/>
    <w:rsid w:val="6FC54BEF"/>
    <w:rsid w:val="6FC5768B"/>
    <w:rsid w:val="6FC71ABD"/>
    <w:rsid w:val="6FCB6AF9"/>
    <w:rsid w:val="6FD25EA1"/>
    <w:rsid w:val="6FD35191"/>
    <w:rsid w:val="6FD76702"/>
    <w:rsid w:val="6FDC0F91"/>
    <w:rsid w:val="6FF60AEF"/>
    <w:rsid w:val="6FF6127D"/>
    <w:rsid w:val="6FF96343"/>
    <w:rsid w:val="6FFB5B3A"/>
    <w:rsid w:val="701532A3"/>
    <w:rsid w:val="701C4E8B"/>
    <w:rsid w:val="70237187"/>
    <w:rsid w:val="7025268A"/>
    <w:rsid w:val="70293D7A"/>
    <w:rsid w:val="70430EAA"/>
    <w:rsid w:val="70483B44"/>
    <w:rsid w:val="705931BC"/>
    <w:rsid w:val="706F3EDB"/>
    <w:rsid w:val="70862203"/>
    <w:rsid w:val="70981F36"/>
    <w:rsid w:val="70A81B57"/>
    <w:rsid w:val="70B03E52"/>
    <w:rsid w:val="70B07280"/>
    <w:rsid w:val="70B90980"/>
    <w:rsid w:val="70CE401F"/>
    <w:rsid w:val="70D21AA5"/>
    <w:rsid w:val="70DE3777"/>
    <w:rsid w:val="70E262BF"/>
    <w:rsid w:val="70F57389"/>
    <w:rsid w:val="70F80C27"/>
    <w:rsid w:val="70FA3707"/>
    <w:rsid w:val="70FE53E8"/>
    <w:rsid w:val="711D41EA"/>
    <w:rsid w:val="711E068D"/>
    <w:rsid w:val="71325EE7"/>
    <w:rsid w:val="7133776B"/>
    <w:rsid w:val="713D78D4"/>
    <w:rsid w:val="713F665A"/>
    <w:rsid w:val="71463740"/>
    <w:rsid w:val="71487EC7"/>
    <w:rsid w:val="71511DF8"/>
    <w:rsid w:val="71530B04"/>
    <w:rsid w:val="715A5D6A"/>
    <w:rsid w:val="71760D33"/>
    <w:rsid w:val="7179553A"/>
    <w:rsid w:val="717958C4"/>
    <w:rsid w:val="717C1858"/>
    <w:rsid w:val="7182411F"/>
    <w:rsid w:val="71840147"/>
    <w:rsid w:val="718A4B57"/>
    <w:rsid w:val="719130E6"/>
    <w:rsid w:val="71920D2A"/>
    <w:rsid w:val="71931163"/>
    <w:rsid w:val="71A208FD"/>
    <w:rsid w:val="71AD2DDE"/>
    <w:rsid w:val="71C034F3"/>
    <w:rsid w:val="71C13613"/>
    <w:rsid w:val="71C57BB8"/>
    <w:rsid w:val="71CE706C"/>
    <w:rsid w:val="71D51EF2"/>
    <w:rsid w:val="71D932B7"/>
    <w:rsid w:val="71EB6A14"/>
    <w:rsid w:val="71ED7A78"/>
    <w:rsid w:val="7207078C"/>
    <w:rsid w:val="720A5E7E"/>
    <w:rsid w:val="721169B3"/>
    <w:rsid w:val="72120143"/>
    <w:rsid w:val="72150A46"/>
    <w:rsid w:val="721F6552"/>
    <w:rsid w:val="72222707"/>
    <w:rsid w:val="722E596A"/>
    <w:rsid w:val="722F3DFA"/>
    <w:rsid w:val="72340516"/>
    <w:rsid w:val="723E7A36"/>
    <w:rsid w:val="72403C7E"/>
    <w:rsid w:val="72477770"/>
    <w:rsid w:val="725400DF"/>
    <w:rsid w:val="72572D1E"/>
    <w:rsid w:val="725E7F10"/>
    <w:rsid w:val="72613807"/>
    <w:rsid w:val="727238EA"/>
    <w:rsid w:val="727429AB"/>
    <w:rsid w:val="72920205"/>
    <w:rsid w:val="7292139F"/>
    <w:rsid w:val="729A6D07"/>
    <w:rsid w:val="72A22A1E"/>
    <w:rsid w:val="72A9136A"/>
    <w:rsid w:val="72AE628D"/>
    <w:rsid w:val="72CC4119"/>
    <w:rsid w:val="72EE6064"/>
    <w:rsid w:val="73062743"/>
    <w:rsid w:val="731F693F"/>
    <w:rsid w:val="732E03B5"/>
    <w:rsid w:val="732E72F9"/>
    <w:rsid w:val="73334198"/>
    <w:rsid w:val="733A5C69"/>
    <w:rsid w:val="733A771A"/>
    <w:rsid w:val="733F6699"/>
    <w:rsid w:val="73491E8F"/>
    <w:rsid w:val="7355638E"/>
    <w:rsid w:val="73643DE1"/>
    <w:rsid w:val="73671066"/>
    <w:rsid w:val="736F0A6B"/>
    <w:rsid w:val="737722D7"/>
    <w:rsid w:val="73832A2A"/>
    <w:rsid w:val="738F6E24"/>
    <w:rsid w:val="73966C01"/>
    <w:rsid w:val="739B64B9"/>
    <w:rsid w:val="73AE76A4"/>
    <w:rsid w:val="73AF7CC3"/>
    <w:rsid w:val="73CE218C"/>
    <w:rsid w:val="73D05762"/>
    <w:rsid w:val="73E31FE5"/>
    <w:rsid w:val="7410142A"/>
    <w:rsid w:val="7429771C"/>
    <w:rsid w:val="742B4687"/>
    <w:rsid w:val="742E75A7"/>
    <w:rsid w:val="74337DA4"/>
    <w:rsid w:val="74402983"/>
    <w:rsid w:val="74416C47"/>
    <w:rsid w:val="7443230A"/>
    <w:rsid w:val="746016FA"/>
    <w:rsid w:val="74707C36"/>
    <w:rsid w:val="74714E72"/>
    <w:rsid w:val="7481790F"/>
    <w:rsid w:val="748F3650"/>
    <w:rsid w:val="748F714F"/>
    <w:rsid w:val="7490135F"/>
    <w:rsid w:val="74A878F0"/>
    <w:rsid w:val="74B35815"/>
    <w:rsid w:val="74B62BF8"/>
    <w:rsid w:val="74B8613C"/>
    <w:rsid w:val="74C4223F"/>
    <w:rsid w:val="74C468F8"/>
    <w:rsid w:val="74CB0937"/>
    <w:rsid w:val="74D552C0"/>
    <w:rsid w:val="74E514C2"/>
    <w:rsid w:val="74E52C9C"/>
    <w:rsid w:val="74F86CED"/>
    <w:rsid w:val="751A4786"/>
    <w:rsid w:val="75202EB4"/>
    <w:rsid w:val="75355FA6"/>
    <w:rsid w:val="753A35BC"/>
    <w:rsid w:val="753C2362"/>
    <w:rsid w:val="753C5BE5"/>
    <w:rsid w:val="7544576F"/>
    <w:rsid w:val="75454A9D"/>
    <w:rsid w:val="75480A0A"/>
    <w:rsid w:val="75550D0E"/>
    <w:rsid w:val="75622B13"/>
    <w:rsid w:val="757C314C"/>
    <w:rsid w:val="757E33E6"/>
    <w:rsid w:val="75871D6C"/>
    <w:rsid w:val="758D193E"/>
    <w:rsid w:val="7590605C"/>
    <w:rsid w:val="75947D87"/>
    <w:rsid w:val="75956A44"/>
    <w:rsid w:val="759919C8"/>
    <w:rsid w:val="759D521C"/>
    <w:rsid w:val="75B02F99"/>
    <w:rsid w:val="75B6393A"/>
    <w:rsid w:val="75B74C0D"/>
    <w:rsid w:val="75C31342"/>
    <w:rsid w:val="75CD674E"/>
    <w:rsid w:val="75D44E5F"/>
    <w:rsid w:val="75D73501"/>
    <w:rsid w:val="75E023B5"/>
    <w:rsid w:val="75F7399D"/>
    <w:rsid w:val="75FD16BD"/>
    <w:rsid w:val="75FF3BCF"/>
    <w:rsid w:val="76026FDA"/>
    <w:rsid w:val="76225710"/>
    <w:rsid w:val="762301E1"/>
    <w:rsid w:val="76311F84"/>
    <w:rsid w:val="763B7D07"/>
    <w:rsid w:val="764A0CBE"/>
    <w:rsid w:val="76514429"/>
    <w:rsid w:val="76684159"/>
    <w:rsid w:val="766B5E5D"/>
    <w:rsid w:val="766D2264"/>
    <w:rsid w:val="767720EA"/>
    <w:rsid w:val="767E5FFC"/>
    <w:rsid w:val="767F34B5"/>
    <w:rsid w:val="7682047B"/>
    <w:rsid w:val="76871AD9"/>
    <w:rsid w:val="7695128E"/>
    <w:rsid w:val="76966F18"/>
    <w:rsid w:val="76A43EB3"/>
    <w:rsid w:val="76A56138"/>
    <w:rsid w:val="76A82115"/>
    <w:rsid w:val="76D16731"/>
    <w:rsid w:val="76D25C7C"/>
    <w:rsid w:val="76D30A98"/>
    <w:rsid w:val="76D96E05"/>
    <w:rsid w:val="76E9529A"/>
    <w:rsid w:val="76F1294D"/>
    <w:rsid w:val="76F61765"/>
    <w:rsid w:val="76FE67AA"/>
    <w:rsid w:val="76FF50F3"/>
    <w:rsid w:val="77083F34"/>
    <w:rsid w:val="770F6259"/>
    <w:rsid w:val="77127548"/>
    <w:rsid w:val="771F0CBB"/>
    <w:rsid w:val="772466C2"/>
    <w:rsid w:val="77447586"/>
    <w:rsid w:val="774B4FFE"/>
    <w:rsid w:val="774F434C"/>
    <w:rsid w:val="77523473"/>
    <w:rsid w:val="77553B74"/>
    <w:rsid w:val="775753BA"/>
    <w:rsid w:val="7762586D"/>
    <w:rsid w:val="776E5551"/>
    <w:rsid w:val="777A5235"/>
    <w:rsid w:val="77803F76"/>
    <w:rsid w:val="778068D9"/>
    <w:rsid w:val="779561E8"/>
    <w:rsid w:val="77980565"/>
    <w:rsid w:val="77C60E96"/>
    <w:rsid w:val="77D01FB6"/>
    <w:rsid w:val="77D84510"/>
    <w:rsid w:val="77E126BA"/>
    <w:rsid w:val="77E9603D"/>
    <w:rsid w:val="77F273D8"/>
    <w:rsid w:val="77F44BF7"/>
    <w:rsid w:val="77F75794"/>
    <w:rsid w:val="77FD38AE"/>
    <w:rsid w:val="78043237"/>
    <w:rsid w:val="78100D89"/>
    <w:rsid w:val="786A5CAD"/>
    <w:rsid w:val="78886285"/>
    <w:rsid w:val="788F35E0"/>
    <w:rsid w:val="78966DE6"/>
    <w:rsid w:val="78972E32"/>
    <w:rsid w:val="789F62F5"/>
    <w:rsid w:val="78B33C13"/>
    <w:rsid w:val="78B9139F"/>
    <w:rsid w:val="78BA1843"/>
    <w:rsid w:val="78BD4522"/>
    <w:rsid w:val="78BF07B9"/>
    <w:rsid w:val="78C02B79"/>
    <w:rsid w:val="78C277FD"/>
    <w:rsid w:val="78C728B3"/>
    <w:rsid w:val="78C903AD"/>
    <w:rsid w:val="78E6034E"/>
    <w:rsid w:val="790C7784"/>
    <w:rsid w:val="79164340"/>
    <w:rsid w:val="791813B9"/>
    <w:rsid w:val="791A3E30"/>
    <w:rsid w:val="792012A6"/>
    <w:rsid w:val="792136D7"/>
    <w:rsid w:val="79304861"/>
    <w:rsid w:val="79316E88"/>
    <w:rsid w:val="79327CC0"/>
    <w:rsid w:val="7937409E"/>
    <w:rsid w:val="793876EF"/>
    <w:rsid w:val="793B59AB"/>
    <w:rsid w:val="794C5FB4"/>
    <w:rsid w:val="79535D1B"/>
    <w:rsid w:val="79560566"/>
    <w:rsid w:val="79692E96"/>
    <w:rsid w:val="79695A94"/>
    <w:rsid w:val="79735FFE"/>
    <w:rsid w:val="798F00FE"/>
    <w:rsid w:val="79913601"/>
    <w:rsid w:val="79976F87"/>
    <w:rsid w:val="799D236B"/>
    <w:rsid w:val="79A36A61"/>
    <w:rsid w:val="79A731EA"/>
    <w:rsid w:val="79B4002B"/>
    <w:rsid w:val="79B96FD5"/>
    <w:rsid w:val="79CF6D12"/>
    <w:rsid w:val="79D16AD3"/>
    <w:rsid w:val="79D85059"/>
    <w:rsid w:val="79E72D0B"/>
    <w:rsid w:val="79F503F9"/>
    <w:rsid w:val="7A20416A"/>
    <w:rsid w:val="7A2860D9"/>
    <w:rsid w:val="7A307C87"/>
    <w:rsid w:val="7A3C2F21"/>
    <w:rsid w:val="7A4078C7"/>
    <w:rsid w:val="7A430287"/>
    <w:rsid w:val="7A43200F"/>
    <w:rsid w:val="7A4E0739"/>
    <w:rsid w:val="7A554441"/>
    <w:rsid w:val="7A57096E"/>
    <w:rsid w:val="7A5756C4"/>
    <w:rsid w:val="7A614BD3"/>
    <w:rsid w:val="7A796F16"/>
    <w:rsid w:val="7A7B2AC8"/>
    <w:rsid w:val="7A8A5D97"/>
    <w:rsid w:val="7A963A05"/>
    <w:rsid w:val="7A980C7E"/>
    <w:rsid w:val="7AA67DE3"/>
    <w:rsid w:val="7ABA7F61"/>
    <w:rsid w:val="7ABB6566"/>
    <w:rsid w:val="7AC00470"/>
    <w:rsid w:val="7ACC2F08"/>
    <w:rsid w:val="7AD13F8D"/>
    <w:rsid w:val="7AD2618C"/>
    <w:rsid w:val="7AE3214D"/>
    <w:rsid w:val="7AEB5B6D"/>
    <w:rsid w:val="7AFF37D8"/>
    <w:rsid w:val="7B016CDB"/>
    <w:rsid w:val="7B064AAD"/>
    <w:rsid w:val="7B0940E7"/>
    <w:rsid w:val="7B0E0EC4"/>
    <w:rsid w:val="7B15597B"/>
    <w:rsid w:val="7B2E4784"/>
    <w:rsid w:val="7B3B47AE"/>
    <w:rsid w:val="7B526932"/>
    <w:rsid w:val="7B5754EB"/>
    <w:rsid w:val="7B5A4212"/>
    <w:rsid w:val="7B640754"/>
    <w:rsid w:val="7B6C6499"/>
    <w:rsid w:val="7B7F05B8"/>
    <w:rsid w:val="7B866F34"/>
    <w:rsid w:val="7B8E3089"/>
    <w:rsid w:val="7B965D35"/>
    <w:rsid w:val="7B987B1F"/>
    <w:rsid w:val="7BB9230A"/>
    <w:rsid w:val="7BC24B9B"/>
    <w:rsid w:val="7BD552D0"/>
    <w:rsid w:val="7BE213D0"/>
    <w:rsid w:val="7BE35E80"/>
    <w:rsid w:val="7C031D81"/>
    <w:rsid w:val="7C1101E9"/>
    <w:rsid w:val="7C240B22"/>
    <w:rsid w:val="7C305760"/>
    <w:rsid w:val="7C354ADD"/>
    <w:rsid w:val="7C3D46FA"/>
    <w:rsid w:val="7C3E6787"/>
    <w:rsid w:val="7C453F17"/>
    <w:rsid w:val="7C484A74"/>
    <w:rsid w:val="7C4F2043"/>
    <w:rsid w:val="7C502412"/>
    <w:rsid w:val="7C551BF0"/>
    <w:rsid w:val="7C593D11"/>
    <w:rsid w:val="7C5B46DC"/>
    <w:rsid w:val="7C626CEC"/>
    <w:rsid w:val="7C6333B9"/>
    <w:rsid w:val="7C667A27"/>
    <w:rsid w:val="7C7827EF"/>
    <w:rsid w:val="7C817F6E"/>
    <w:rsid w:val="7C8543F1"/>
    <w:rsid w:val="7C8932DF"/>
    <w:rsid w:val="7C8B6DF3"/>
    <w:rsid w:val="7C8D5568"/>
    <w:rsid w:val="7C935F3C"/>
    <w:rsid w:val="7C985E4B"/>
    <w:rsid w:val="7C9B7036"/>
    <w:rsid w:val="7CA00285"/>
    <w:rsid w:val="7CA37C99"/>
    <w:rsid w:val="7CA66985"/>
    <w:rsid w:val="7CA81753"/>
    <w:rsid w:val="7CB0600F"/>
    <w:rsid w:val="7CB33210"/>
    <w:rsid w:val="7CC20EBA"/>
    <w:rsid w:val="7CD442F6"/>
    <w:rsid w:val="7CD65874"/>
    <w:rsid w:val="7CE1176F"/>
    <w:rsid w:val="7CE710FA"/>
    <w:rsid w:val="7CEC5AE4"/>
    <w:rsid w:val="7CF46211"/>
    <w:rsid w:val="7D08162E"/>
    <w:rsid w:val="7D1604F2"/>
    <w:rsid w:val="7D163141"/>
    <w:rsid w:val="7D204AD7"/>
    <w:rsid w:val="7D3C33A6"/>
    <w:rsid w:val="7D3F5AB3"/>
    <w:rsid w:val="7D40500C"/>
    <w:rsid w:val="7D5B67C5"/>
    <w:rsid w:val="7D662422"/>
    <w:rsid w:val="7D6A3C51"/>
    <w:rsid w:val="7D744336"/>
    <w:rsid w:val="7D7A30EF"/>
    <w:rsid w:val="7D861EFD"/>
    <w:rsid w:val="7D8F2EA3"/>
    <w:rsid w:val="7D9321ED"/>
    <w:rsid w:val="7D944A96"/>
    <w:rsid w:val="7DBC6672"/>
    <w:rsid w:val="7DC26844"/>
    <w:rsid w:val="7DC31C1C"/>
    <w:rsid w:val="7DC47E0B"/>
    <w:rsid w:val="7DC93BA1"/>
    <w:rsid w:val="7DDC7906"/>
    <w:rsid w:val="7DDE3C10"/>
    <w:rsid w:val="7DE7303A"/>
    <w:rsid w:val="7DE7321B"/>
    <w:rsid w:val="7DEA23D2"/>
    <w:rsid w:val="7DEE0627"/>
    <w:rsid w:val="7E103B41"/>
    <w:rsid w:val="7E1E2975"/>
    <w:rsid w:val="7E312396"/>
    <w:rsid w:val="7E4055DF"/>
    <w:rsid w:val="7E434EF6"/>
    <w:rsid w:val="7E4D6442"/>
    <w:rsid w:val="7E511CD5"/>
    <w:rsid w:val="7E552738"/>
    <w:rsid w:val="7E5F1BE0"/>
    <w:rsid w:val="7E6D0CF1"/>
    <w:rsid w:val="7E772B0A"/>
    <w:rsid w:val="7E7A465F"/>
    <w:rsid w:val="7E810AA8"/>
    <w:rsid w:val="7EA96B5C"/>
    <w:rsid w:val="7EAF1794"/>
    <w:rsid w:val="7EB77390"/>
    <w:rsid w:val="7EBA0E62"/>
    <w:rsid w:val="7EBF0D00"/>
    <w:rsid w:val="7ECB1729"/>
    <w:rsid w:val="7ED46AB7"/>
    <w:rsid w:val="7EE12F7C"/>
    <w:rsid w:val="7EE8199C"/>
    <w:rsid w:val="7EFE0754"/>
    <w:rsid w:val="7F107805"/>
    <w:rsid w:val="7F124F07"/>
    <w:rsid w:val="7F16569D"/>
    <w:rsid w:val="7F207CC7"/>
    <w:rsid w:val="7F2D5F40"/>
    <w:rsid w:val="7F306AFA"/>
    <w:rsid w:val="7F3A61C6"/>
    <w:rsid w:val="7F3E6D16"/>
    <w:rsid w:val="7F404B08"/>
    <w:rsid w:val="7F465DED"/>
    <w:rsid w:val="7F52620A"/>
    <w:rsid w:val="7F5431F8"/>
    <w:rsid w:val="7F5565A1"/>
    <w:rsid w:val="7F5E0122"/>
    <w:rsid w:val="7F621BEE"/>
    <w:rsid w:val="7F6C10C9"/>
    <w:rsid w:val="7F6E48F8"/>
    <w:rsid w:val="7F6E717F"/>
    <w:rsid w:val="7F7D0C75"/>
    <w:rsid w:val="7F883290"/>
    <w:rsid w:val="7F911058"/>
    <w:rsid w:val="7FB52506"/>
    <w:rsid w:val="7FD96613"/>
    <w:rsid w:val="7FDA6ECE"/>
    <w:rsid w:val="7FDF548C"/>
    <w:rsid w:val="7FF31FF6"/>
    <w:rsid w:val="7FF33FB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9"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0" w:semiHidden="0" w:name="index 1" w:locked="1"/>
    <w:lsdException w:uiPriority="0" w:name="index 2" w:locked="1"/>
    <w:lsdException w:uiPriority="0" w:name="index 3" w:locked="1"/>
    <w:lsdException w:uiPriority="0" w:name="index 4" w:locked="1"/>
    <w:lsdException w:uiPriority="0" w:name="index 5" w:locked="1"/>
    <w:lsdException w:uiPriority="0" w:name="index 6" w:locked="1"/>
    <w:lsdException w:uiPriority="0" w:name="index 7" w:locked="1"/>
    <w:lsdException w:uiPriority="0" w:name="index 8" w:locked="1"/>
    <w:lsdException w:uiPriority="0" w:name="index 9" w:locked="1"/>
    <w:lsdException w:qFormat="1" w:unhideWhenUsed="0" w:uiPriority="39" w:semiHidden="0" w:name="toc 1" w:locked="1"/>
    <w:lsdException w:qFormat="1" w:uiPriority="0" w:name="toc 2" w:locked="1"/>
    <w:lsdException w:qFormat="1" w:uiPriority="39" w:semiHidden="0" w:name="toc 3" w:locked="1"/>
    <w:lsdException w:uiPriority="0" w:name="toc 4" w:locked="1"/>
    <w:lsdException w:uiPriority="0" w:name="toc 5" w:locked="1"/>
    <w:lsdException w:uiPriority="0" w:name="toc 6" w:locked="1"/>
    <w:lsdException w:uiPriority="0" w:name="toc 7" w:locked="1"/>
    <w:lsdException w:uiPriority="0" w:name="toc 8" w:locked="1"/>
    <w:lsdException w:uiPriority="0" w:name="toc 9" w:locked="1"/>
    <w:lsdException w:qFormat="1" w:unhideWhenUsed="0" w:uiPriority="0" w:semiHidden="0" w:name="Normal Indent" w:locked="1"/>
    <w:lsdException w:uiPriority="0" w:name="footnote text" w:locked="1"/>
    <w:lsdException w:qFormat="1" w:unhideWhenUsed="0" w:uiPriority="99" w:semiHidden="0" w:name="annotation text"/>
    <w:lsdException w:qFormat="1" w:unhideWhenUsed="0" w:uiPriority="0" w:semiHidden="0" w:name="header"/>
    <w:lsdException w:qFormat="1" w:unhideWhenUsed="0" w:uiPriority="99" w:semiHidden="0" w:name="footer"/>
    <w:lsdException w:qFormat="1" w:unhideWhenUsed="0" w:uiPriority="99" w:semiHidden="0" w:name="index heading" w:locked="1"/>
    <w:lsdException w:qFormat="1" w:unhideWhenUsed="0" w:uiPriority="0" w:semiHidden="0" w:name="caption" w:locked="1"/>
    <w:lsdException w:uiPriority="0" w:name="table of figures" w:locked="1"/>
    <w:lsdException w:uiPriority="0" w:name="envelope address" w:locked="1"/>
    <w:lsdException w:uiPriority="0" w:name="envelope return" w:locked="1"/>
    <w:lsdException w:uiPriority="0" w:name="footnote reference" w:locked="1"/>
    <w:lsdException w:qFormat="1" w:unhideWhenUsed="0" w:uiPriority="99" w:semiHidden="0" w:name="annotation reference"/>
    <w:lsdException w:uiPriority="0" w:name="line number" w:locked="1"/>
    <w:lsdException w:qFormat="1" w:unhideWhenUsed="0" w:uiPriority="0" w:semiHidden="0" w:name="page number" w:locked="1"/>
    <w:lsdException w:uiPriority="0" w:name="endnote reference" w:locked="1"/>
    <w:lsdException w:uiPriority="0" w:name="endnote text" w:locked="1"/>
    <w:lsdException w:uiPriority="0" w:name="table of authorities" w:locked="1"/>
    <w:lsdException w:uiPriority="0" w:name="macro" w:locked="1"/>
    <w:lsdException w:uiPriority="0" w:name="toa heading" w:locked="1"/>
    <w:lsdException w:uiPriority="0" w:name="List" w:locked="1"/>
    <w:lsdException w:uiPriority="0" w:name="List Bullet" w:locked="1"/>
    <w:lsdException w:uiPriority="0" w:name="List Number" w:locked="1"/>
    <w:lsdException w:qFormat="1" w:uiPriority="0" w:semiHidden="0" w:name="List 2" w:locked="1"/>
    <w:lsdException w:uiPriority="0" w:name="List 3" w:locked="1"/>
    <w:lsdException w:uiPriority="0" w:name="List 4" w:locked="1"/>
    <w:lsdException w:qFormat="1" w:unhideWhenUsed="0" w:uiPriority="0" w:semiHidden="0" w:name="List 5" w:locked="1"/>
    <w:lsdException w:uiPriority="0" w:name="List Bullet 2" w:locked="1"/>
    <w:lsdException w:uiPriority="0" w:name="List Bullet 3" w:locked="1"/>
    <w:lsdException w:uiPriority="0" w:name="List Bullet 4" w:locked="1"/>
    <w:lsdException w:qFormat="1" w:uiPriority="0" w:name="List Bullet 5" w:locked="1"/>
    <w:lsdException w:uiPriority="0" w:name="List Number 2" w:locked="1"/>
    <w:lsdException w:uiPriority="0" w:name="List Number 3" w:locked="1"/>
    <w:lsdException w:uiPriority="0" w:name="List Number 4" w:locked="1"/>
    <w:lsdException w:uiPriority="0" w:name="List Number 5" w:locked="1"/>
    <w:lsdException w:qFormat="1" w:unhideWhenUsed="0" w:uiPriority="0" w:semiHidden="0" w:name="Title" w:locked="1"/>
    <w:lsdException w:uiPriority="0" w:name="Closing" w:locked="1"/>
    <w:lsdException w:uiPriority="0" w:name="Signature" w:locked="1"/>
    <w:lsdException w:qFormat="1" w:uiPriority="1" w:semiHidden="0" w:name="Default Paragraph Font"/>
    <w:lsdException w:qFormat="1" w:unhideWhenUsed="0" w:uiPriority="0" w:semiHidden="0" w:name="Body Text"/>
    <w:lsdException w:qFormat="1" w:unhideWhenUsed="0" w:uiPriority="0" w:semiHidden="0" w:name="Body Text Indent"/>
    <w:lsdException w:uiPriority="0" w:name="List Continue" w:locked="1"/>
    <w:lsdException w:uiPriority="0" w:name="List Continue 2" w:locked="1"/>
    <w:lsdException w:uiPriority="0" w:name="List Continue 3" w:locked="1"/>
    <w:lsdException w:uiPriority="0" w:name="List Continue 4" w:locked="1"/>
    <w:lsdException w:uiPriority="0" w:name="List Continue 5" w:locked="1"/>
    <w:lsdException w:uiPriority="0" w:name="Message Header" w:locked="1"/>
    <w:lsdException w:qFormat="1" w:unhideWhenUsed="0" w:uiPriority="0" w:semiHidden="0" w:name="Subtitle" w:locked="1"/>
    <w:lsdException w:uiPriority="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iPriority="0" w:name="Note Heading" w:locked="1"/>
    <w:lsdException w:uiPriority="0" w:name="Body Text 2" w:locked="1"/>
    <w:lsdException w:uiPriority="0" w:name="Body Text 3" w:locked="1"/>
    <w:lsdException w:uiPriority="0" w:name="Body Text Indent 2" w:locked="1"/>
    <w:lsdException w:qFormat="1" w:unhideWhenUsed="0" w:uiPriority="0" w:semiHidden="0" w:name="Body Text Indent 3" w:locked="1"/>
    <w:lsdException w:qFormat="1" w:uiPriority="99" w:name="Block Text" w:locked="1"/>
    <w:lsdException w:qFormat="1" w:uiPriority="99" w:semiHidden="0" w:name="Hyperlink" w:locked="1"/>
    <w:lsdException w:uiPriority="99" w:name="FollowedHyperlink" w:locked="1"/>
    <w:lsdException w:qFormat="1" w:unhideWhenUsed="0" w:uiPriority="22" w:semiHidden="0" w:name="Strong" w:locked="1"/>
    <w:lsdException w:qFormat="1" w:unhideWhenUsed="0" w:uiPriority="20" w:semiHidden="0" w:name="Emphasis" w:locked="1"/>
    <w:lsdException w:qFormat="1" w:unhideWhenUsed="0" w:uiPriority="0" w:semiHidden="0" w:name="Document Map" w:locked="1"/>
    <w:lsdException w:qFormat="1" w:uiPriority="0" w:name="Plain Text" w:locked="1"/>
    <w:lsdException w:uiPriority="0" w:name="E-mail Signature" w:locked="1"/>
    <w:lsdException w:qFormat="1" w:unhideWhenUsed="0" w:uiPriority="0" w:semiHidden="0" w:name="Normal (Web)"/>
    <w:lsdException w:uiPriority="0" w:name="HTML Acronym" w:locked="1"/>
    <w:lsdException w:uiPriority="0" w:name="HTML Address" w:locked="1"/>
    <w:lsdException w:uiPriority="0" w:name="HTML Cite" w:locked="1"/>
    <w:lsdException w:uiPriority="0" w:name="HTML Code" w:locked="1"/>
    <w:lsdException w:uiPriority="0" w:name="HTML Definition" w:locked="1"/>
    <w:lsdException w:uiPriority="0" w:name="HTML Keyboard" w:locked="1"/>
    <w:lsdException w:uiPriority="0" w:name="HTML Preformatted" w:locked="1"/>
    <w:lsdException w:uiPriority="0" w:name="HTML Sample" w:locked="1"/>
    <w:lsdException w:uiPriority="0" w:name="HTML Typewriter" w:locked="1"/>
    <w:lsdException w:uiPriority="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59"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47"/>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6">
    <w:name w:val="heading 2"/>
    <w:basedOn w:val="1"/>
    <w:next w:val="1"/>
    <w:link w:val="48"/>
    <w:unhideWhenUsed/>
    <w:qFormat/>
    <w:locked/>
    <w:uiPriority w:val="9"/>
    <w:pPr>
      <w:keepNext/>
      <w:keepLines/>
      <w:spacing w:before="260" w:after="260" w:line="413" w:lineRule="auto"/>
      <w:outlineLvl w:val="1"/>
    </w:pPr>
    <w:rPr>
      <w:rFonts w:ascii="Arial" w:hAnsi="Arial" w:eastAsia="黑体"/>
      <w:b/>
      <w:sz w:val="32"/>
    </w:rPr>
  </w:style>
  <w:style w:type="paragraph" w:styleId="7">
    <w:name w:val="heading 3"/>
    <w:basedOn w:val="1"/>
    <w:next w:val="1"/>
    <w:link w:val="49"/>
    <w:qFormat/>
    <w:locked/>
    <w:uiPriority w:val="0"/>
    <w:pPr>
      <w:keepNext/>
      <w:keepLines/>
      <w:spacing w:before="260" w:after="260" w:line="416" w:lineRule="auto"/>
      <w:outlineLvl w:val="2"/>
    </w:pPr>
    <w:rPr>
      <w:b/>
      <w:bCs/>
      <w:sz w:val="32"/>
      <w:szCs w:val="32"/>
    </w:rPr>
  </w:style>
  <w:style w:type="paragraph" w:styleId="8">
    <w:name w:val="heading 4"/>
    <w:basedOn w:val="1"/>
    <w:next w:val="1"/>
    <w:link w:val="50"/>
    <w:qFormat/>
    <w:locked/>
    <w:uiPriority w:val="0"/>
    <w:pPr>
      <w:widowControl/>
      <w:spacing w:line="500" w:lineRule="atLeast"/>
      <w:jc w:val="left"/>
      <w:outlineLvl w:val="3"/>
    </w:pPr>
    <w:rPr>
      <w:rFonts w:ascii="Calibri" w:hAnsi="Calibri"/>
      <w:kern w:val="0"/>
      <w:sz w:val="28"/>
      <w:szCs w:val="20"/>
    </w:rPr>
  </w:style>
  <w:style w:type="paragraph" w:styleId="9">
    <w:name w:val="heading 6"/>
    <w:basedOn w:val="1"/>
    <w:next w:val="1"/>
    <w:link w:val="115"/>
    <w:semiHidden/>
    <w:unhideWhenUsed/>
    <w:qFormat/>
    <w:locked/>
    <w:uiPriority w:val="0"/>
    <w:pPr>
      <w:keepNext/>
      <w:keepLines/>
      <w:spacing w:before="240" w:after="64" w:line="320" w:lineRule="auto"/>
      <w:outlineLvl w:val="5"/>
    </w:pPr>
    <w:rPr>
      <w:rFonts w:asciiTheme="majorHAnsi" w:hAnsiTheme="majorHAnsi" w:eastAsiaTheme="majorEastAsia" w:cstheme="majorBidi"/>
      <w:b/>
      <w:bCs/>
      <w:sz w:val="24"/>
    </w:rPr>
  </w:style>
  <w:style w:type="character" w:default="1" w:styleId="34">
    <w:name w:val="Default Paragraph Font"/>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qFormat/>
    <w:locked/>
    <w:uiPriority w:val="0"/>
    <w:pPr>
      <w:ind w:firstLine="420" w:firstLineChars="200"/>
    </w:pPr>
    <w:rPr>
      <w:sz w:val="20"/>
    </w:rPr>
  </w:style>
  <w:style w:type="paragraph" w:styleId="3">
    <w:name w:val="Body Text Indent"/>
    <w:basedOn w:val="1"/>
    <w:next w:val="4"/>
    <w:link w:val="55"/>
    <w:qFormat/>
    <w:uiPriority w:val="0"/>
    <w:pPr>
      <w:spacing w:after="120"/>
      <w:ind w:left="420" w:leftChars="200"/>
    </w:pPr>
    <w:rPr>
      <w:kern w:val="0"/>
      <w:sz w:val="24"/>
      <w:szCs w:val="20"/>
    </w:rPr>
  </w:style>
  <w:style w:type="paragraph" w:styleId="4">
    <w:name w:val="Normal Indent"/>
    <w:basedOn w:val="1"/>
    <w:next w:val="1"/>
    <w:link w:val="51"/>
    <w:qFormat/>
    <w:locked/>
    <w:uiPriority w:val="0"/>
    <w:pPr>
      <w:widowControl/>
      <w:spacing w:line="240" w:lineRule="exact"/>
      <w:ind w:firstLine="420" w:firstLineChars="200"/>
      <w:jc w:val="left"/>
    </w:pPr>
    <w:rPr>
      <w:kern w:val="0"/>
      <w:sz w:val="20"/>
      <w:szCs w:val="20"/>
    </w:rPr>
  </w:style>
  <w:style w:type="paragraph" w:styleId="10">
    <w:name w:val="caption"/>
    <w:basedOn w:val="1"/>
    <w:next w:val="1"/>
    <w:qFormat/>
    <w:locked/>
    <w:uiPriority w:val="0"/>
    <w:pPr>
      <w:jc w:val="center"/>
    </w:pPr>
    <w:rPr>
      <w:rFonts w:eastAsia="仿宋_GB2312"/>
      <w:b/>
      <w:sz w:val="24"/>
      <w:szCs w:val="20"/>
    </w:rPr>
  </w:style>
  <w:style w:type="paragraph" w:styleId="11">
    <w:name w:val="Document Map"/>
    <w:basedOn w:val="1"/>
    <w:link w:val="52"/>
    <w:qFormat/>
    <w:locked/>
    <w:uiPriority w:val="0"/>
    <w:rPr>
      <w:rFonts w:ascii="宋体"/>
      <w:sz w:val="18"/>
      <w:szCs w:val="18"/>
    </w:rPr>
  </w:style>
  <w:style w:type="paragraph" w:styleId="12">
    <w:name w:val="annotation text"/>
    <w:basedOn w:val="1"/>
    <w:link w:val="53"/>
    <w:qFormat/>
    <w:uiPriority w:val="99"/>
    <w:pPr>
      <w:jc w:val="left"/>
    </w:pPr>
    <w:rPr>
      <w:kern w:val="0"/>
      <w:sz w:val="24"/>
      <w:szCs w:val="20"/>
    </w:rPr>
  </w:style>
  <w:style w:type="paragraph" w:styleId="13">
    <w:name w:val="Body Text"/>
    <w:basedOn w:val="1"/>
    <w:next w:val="14"/>
    <w:link w:val="54"/>
    <w:qFormat/>
    <w:uiPriority w:val="0"/>
    <w:pPr>
      <w:widowControl/>
      <w:snapToGrid w:val="0"/>
      <w:spacing w:before="60" w:after="160" w:line="259" w:lineRule="auto"/>
      <w:ind w:right="113"/>
    </w:pPr>
    <w:rPr>
      <w:kern w:val="0"/>
      <w:sz w:val="18"/>
      <w:szCs w:val="20"/>
    </w:rPr>
  </w:style>
  <w:style w:type="paragraph" w:styleId="14">
    <w:name w:val="List Bullet 5"/>
    <w:basedOn w:val="1"/>
    <w:semiHidden/>
    <w:unhideWhenUsed/>
    <w:qFormat/>
    <w:locked/>
    <w:uiPriority w:val="0"/>
    <w:pPr>
      <w:numPr>
        <w:ilvl w:val="0"/>
        <w:numId w:val="1"/>
      </w:numPr>
    </w:pPr>
  </w:style>
  <w:style w:type="paragraph" w:styleId="15">
    <w:name w:val="List 2"/>
    <w:basedOn w:val="1"/>
    <w:unhideWhenUsed/>
    <w:qFormat/>
    <w:locked/>
    <w:uiPriority w:val="0"/>
    <w:pPr>
      <w:widowControl/>
      <w:spacing w:line="240" w:lineRule="exact"/>
      <w:ind w:left="100" w:leftChars="200" w:hanging="200" w:hangingChars="200"/>
      <w:contextualSpacing/>
      <w:jc w:val="left"/>
    </w:pPr>
    <w:rPr>
      <w:kern w:val="0"/>
      <w:sz w:val="20"/>
      <w:szCs w:val="20"/>
    </w:rPr>
  </w:style>
  <w:style w:type="paragraph" w:styleId="16">
    <w:name w:val="Block Text"/>
    <w:basedOn w:val="1"/>
    <w:semiHidden/>
    <w:unhideWhenUsed/>
    <w:qFormat/>
    <w:locked/>
    <w:uiPriority w:val="99"/>
    <w:pPr>
      <w:spacing w:after="120"/>
      <w:ind w:left="1440" w:leftChars="700" w:right="1440" w:rightChars="700"/>
    </w:pPr>
  </w:style>
  <w:style w:type="paragraph" w:styleId="17">
    <w:name w:val="toc 3"/>
    <w:basedOn w:val="1"/>
    <w:next w:val="1"/>
    <w:unhideWhenUsed/>
    <w:qFormat/>
    <w:locked/>
    <w:uiPriority w:val="39"/>
    <w:pPr>
      <w:ind w:left="840" w:leftChars="400"/>
    </w:pPr>
  </w:style>
  <w:style w:type="paragraph" w:styleId="18">
    <w:name w:val="Plain Text"/>
    <w:basedOn w:val="1"/>
    <w:link w:val="120"/>
    <w:semiHidden/>
    <w:unhideWhenUsed/>
    <w:qFormat/>
    <w:locked/>
    <w:uiPriority w:val="0"/>
    <w:rPr>
      <w:rFonts w:hAnsi="Courier New" w:cs="Courier New" w:asciiTheme="minorEastAsia" w:eastAsiaTheme="minorEastAsia"/>
    </w:rPr>
  </w:style>
  <w:style w:type="paragraph" w:styleId="19">
    <w:name w:val="Date"/>
    <w:basedOn w:val="1"/>
    <w:next w:val="1"/>
    <w:link w:val="56"/>
    <w:qFormat/>
    <w:uiPriority w:val="0"/>
    <w:pPr>
      <w:ind w:left="100" w:leftChars="2500"/>
    </w:pPr>
    <w:rPr>
      <w:kern w:val="0"/>
      <w:sz w:val="24"/>
      <w:szCs w:val="20"/>
    </w:rPr>
  </w:style>
  <w:style w:type="paragraph" w:styleId="20">
    <w:name w:val="Balloon Text"/>
    <w:basedOn w:val="1"/>
    <w:link w:val="57"/>
    <w:semiHidden/>
    <w:qFormat/>
    <w:uiPriority w:val="0"/>
    <w:rPr>
      <w:kern w:val="0"/>
      <w:sz w:val="18"/>
      <w:szCs w:val="20"/>
    </w:rPr>
  </w:style>
  <w:style w:type="paragraph" w:styleId="21">
    <w:name w:val="footer"/>
    <w:basedOn w:val="1"/>
    <w:link w:val="58"/>
    <w:qFormat/>
    <w:uiPriority w:val="99"/>
    <w:pPr>
      <w:tabs>
        <w:tab w:val="center" w:pos="4153"/>
        <w:tab w:val="right" w:pos="8306"/>
      </w:tabs>
      <w:snapToGrid w:val="0"/>
      <w:jc w:val="left"/>
    </w:pPr>
    <w:rPr>
      <w:kern w:val="0"/>
      <w:sz w:val="18"/>
      <w:szCs w:val="20"/>
    </w:rPr>
  </w:style>
  <w:style w:type="paragraph" w:styleId="22">
    <w:name w:val="header"/>
    <w:basedOn w:val="1"/>
    <w:link w:val="59"/>
    <w:qFormat/>
    <w:uiPriority w:val="0"/>
    <w:pPr>
      <w:pBdr>
        <w:bottom w:val="single" w:color="auto" w:sz="6" w:space="1"/>
      </w:pBdr>
      <w:tabs>
        <w:tab w:val="center" w:pos="4153"/>
        <w:tab w:val="right" w:pos="8306"/>
      </w:tabs>
      <w:snapToGrid w:val="0"/>
      <w:jc w:val="center"/>
    </w:pPr>
    <w:rPr>
      <w:kern w:val="0"/>
      <w:sz w:val="18"/>
      <w:szCs w:val="20"/>
    </w:rPr>
  </w:style>
  <w:style w:type="paragraph" w:styleId="23">
    <w:name w:val="toc 1"/>
    <w:basedOn w:val="1"/>
    <w:next w:val="1"/>
    <w:qFormat/>
    <w:locked/>
    <w:uiPriority w:val="39"/>
  </w:style>
  <w:style w:type="paragraph" w:styleId="24">
    <w:name w:val="index heading"/>
    <w:basedOn w:val="1"/>
    <w:next w:val="25"/>
    <w:qFormat/>
    <w:locked/>
    <w:uiPriority w:val="99"/>
    <w:pPr>
      <w:spacing w:line="500" w:lineRule="exact"/>
    </w:pPr>
    <w:rPr>
      <w:rFonts w:ascii="仿宋_GB2312" w:eastAsia="仿宋_GB2312" w:cstheme="minorBidi"/>
      <w:sz w:val="28"/>
      <w:szCs w:val="20"/>
    </w:rPr>
  </w:style>
  <w:style w:type="paragraph" w:styleId="25">
    <w:name w:val="index 1"/>
    <w:basedOn w:val="1"/>
    <w:next w:val="1"/>
    <w:unhideWhenUsed/>
    <w:qFormat/>
    <w:locked/>
    <w:uiPriority w:val="0"/>
  </w:style>
  <w:style w:type="paragraph" w:styleId="26">
    <w:name w:val="List 5"/>
    <w:basedOn w:val="1"/>
    <w:qFormat/>
    <w:locked/>
    <w:uiPriority w:val="0"/>
    <w:pPr>
      <w:widowControl/>
      <w:tabs>
        <w:tab w:val="left" w:pos="780"/>
      </w:tabs>
      <w:spacing w:before="50" w:line="500" w:lineRule="exact"/>
      <w:ind w:left="780" w:hanging="360"/>
      <w:jc w:val="left"/>
    </w:pPr>
    <w:rPr>
      <w:rFonts w:hint="eastAsia"/>
      <w:spacing w:val="6"/>
      <w:kern w:val="0"/>
      <w:sz w:val="28"/>
      <w:szCs w:val="20"/>
    </w:rPr>
  </w:style>
  <w:style w:type="paragraph" w:styleId="27">
    <w:name w:val="Body Text Indent 3"/>
    <w:basedOn w:val="1"/>
    <w:link w:val="60"/>
    <w:qFormat/>
    <w:locked/>
    <w:uiPriority w:val="0"/>
    <w:pPr>
      <w:spacing w:after="120"/>
      <w:ind w:left="420" w:leftChars="200"/>
    </w:pPr>
    <w:rPr>
      <w:sz w:val="16"/>
      <w:szCs w:val="16"/>
    </w:rPr>
  </w:style>
  <w:style w:type="paragraph" w:styleId="28">
    <w:name w:val="toc 2"/>
    <w:basedOn w:val="1"/>
    <w:next w:val="1"/>
    <w:semiHidden/>
    <w:unhideWhenUsed/>
    <w:qFormat/>
    <w:locked/>
    <w:uiPriority w:val="0"/>
    <w:pPr>
      <w:ind w:left="420" w:leftChars="200"/>
    </w:pPr>
  </w:style>
  <w:style w:type="paragraph" w:styleId="29">
    <w:name w:val="Normal (Web)"/>
    <w:basedOn w:val="1"/>
    <w:link w:val="61"/>
    <w:qFormat/>
    <w:uiPriority w:val="0"/>
    <w:pPr>
      <w:widowControl/>
      <w:spacing w:before="100" w:beforeAutospacing="1" w:after="100" w:afterAutospacing="1"/>
      <w:jc w:val="left"/>
    </w:pPr>
    <w:rPr>
      <w:rFonts w:ascii="宋体" w:hAnsi="宋体"/>
      <w:kern w:val="0"/>
      <w:sz w:val="24"/>
      <w:szCs w:val="20"/>
    </w:rPr>
  </w:style>
  <w:style w:type="paragraph" w:styleId="30">
    <w:name w:val="annotation subject"/>
    <w:basedOn w:val="12"/>
    <w:next w:val="12"/>
    <w:link w:val="62"/>
    <w:semiHidden/>
    <w:qFormat/>
    <w:uiPriority w:val="0"/>
    <w:rPr>
      <w:b/>
      <w:kern w:val="2"/>
    </w:rPr>
  </w:style>
  <w:style w:type="paragraph" w:styleId="31">
    <w:name w:val="Body Text First Indent"/>
    <w:basedOn w:val="13"/>
    <w:next w:val="1"/>
    <w:qFormat/>
    <w:locked/>
    <w:uiPriority w:val="0"/>
    <w:pPr>
      <w:widowControl w:val="0"/>
      <w:snapToGrid/>
      <w:spacing w:before="0" w:after="120" w:line="240" w:lineRule="auto"/>
      <w:ind w:right="0" w:firstLine="420" w:firstLineChars="100"/>
    </w:pPr>
    <w:rPr>
      <w:kern w:val="2"/>
      <w:sz w:val="21"/>
    </w:rPr>
  </w:style>
  <w:style w:type="table" w:styleId="33">
    <w:name w:val="Table Grid"/>
    <w:basedOn w:val="3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basedOn w:val="34"/>
    <w:qFormat/>
    <w:locked/>
    <w:uiPriority w:val="22"/>
    <w:rPr>
      <w:b/>
      <w:bCs/>
    </w:rPr>
  </w:style>
  <w:style w:type="character" w:styleId="36">
    <w:name w:val="page number"/>
    <w:basedOn w:val="34"/>
    <w:qFormat/>
    <w:locked/>
    <w:uiPriority w:val="0"/>
  </w:style>
  <w:style w:type="character" w:styleId="37">
    <w:name w:val="Emphasis"/>
    <w:basedOn w:val="34"/>
    <w:qFormat/>
    <w:locked/>
    <w:uiPriority w:val="20"/>
    <w:rPr>
      <w:i/>
      <w:iCs/>
    </w:rPr>
  </w:style>
  <w:style w:type="character" w:styleId="38">
    <w:name w:val="Hyperlink"/>
    <w:basedOn w:val="34"/>
    <w:unhideWhenUsed/>
    <w:qFormat/>
    <w:locked/>
    <w:uiPriority w:val="99"/>
    <w:rPr>
      <w:color w:val="0000FF" w:themeColor="hyperlink"/>
      <w:u w:val="single"/>
      <w14:textFill>
        <w14:solidFill>
          <w14:schemeClr w14:val="hlink"/>
        </w14:solidFill>
      </w14:textFill>
    </w:rPr>
  </w:style>
  <w:style w:type="character" w:styleId="39">
    <w:name w:val="annotation reference"/>
    <w:basedOn w:val="34"/>
    <w:qFormat/>
    <w:uiPriority w:val="99"/>
    <w:rPr>
      <w:sz w:val="21"/>
    </w:rPr>
  </w:style>
  <w:style w:type="paragraph" w:customStyle="1" w:styleId="40">
    <w:name w:val="Default"/>
    <w:basedOn w:val="41"/>
    <w:next w:val="2"/>
    <w:qFormat/>
    <w:uiPriority w:val="0"/>
    <w:pPr>
      <w:autoSpaceDE w:val="0"/>
      <w:autoSpaceDN w:val="0"/>
      <w:adjustRightInd w:val="0"/>
      <w:spacing w:line="240" w:lineRule="exact"/>
    </w:pPr>
    <w:rPr>
      <w:rFonts w:ascii="宋体" w:hAnsi="宋体"/>
      <w:color w:val="000000"/>
      <w:sz w:val="24"/>
    </w:rPr>
  </w:style>
  <w:style w:type="paragraph" w:customStyle="1" w:styleId="41">
    <w:name w:val="标题 段落4级"/>
    <w:basedOn w:val="42"/>
    <w:qFormat/>
    <w:uiPriority w:val="0"/>
    <w:pPr>
      <w:outlineLvl w:val="3"/>
    </w:pPr>
    <w:rPr>
      <w:rFonts w:cs="Calibri"/>
      <w:b/>
    </w:rPr>
  </w:style>
  <w:style w:type="paragraph" w:customStyle="1" w:styleId="42">
    <w:name w:val="正文 文本"/>
    <w:qFormat/>
    <w:uiPriority w:val="0"/>
    <w:pPr>
      <w:widowControl w:val="0"/>
      <w:snapToGrid w:val="0"/>
      <w:spacing w:line="500" w:lineRule="exact"/>
      <w:ind w:firstLine="200" w:firstLineChars="200"/>
      <w:jc w:val="both"/>
    </w:pPr>
    <w:rPr>
      <w:rFonts w:ascii="Times New Roman" w:hAnsi="Times New Roman" w:eastAsia="仿宋_GB2312" w:cs="Times New Roman"/>
      <w:kern w:val="2"/>
      <w:sz w:val="28"/>
      <w:szCs w:val="24"/>
      <w:lang w:val="en-US" w:eastAsia="zh-CN" w:bidi="ar-SA"/>
    </w:rPr>
  </w:style>
  <w:style w:type="paragraph" w:customStyle="1" w:styleId="43">
    <w:name w:val="纯文本1"/>
    <w:basedOn w:val="1"/>
    <w:qFormat/>
    <w:uiPriority w:val="0"/>
    <w:pPr>
      <w:adjustRightInd w:val="0"/>
      <w:textAlignment w:val="baseline"/>
    </w:pPr>
    <w:rPr>
      <w:rFonts w:ascii="宋体" w:hAnsi="Courier New"/>
      <w:kern w:val="0"/>
      <w:szCs w:val="20"/>
    </w:rPr>
  </w:style>
  <w:style w:type="paragraph" w:customStyle="1" w:styleId="44">
    <w:name w:val="正文1"/>
    <w:qFormat/>
    <w:uiPriority w:val="0"/>
    <w:pPr>
      <w:jc w:val="both"/>
    </w:pPr>
    <w:rPr>
      <w:rFonts w:ascii="Calibri" w:hAnsi="Calibri" w:eastAsia="宋体" w:cs="宋体"/>
      <w:kern w:val="2"/>
      <w:sz w:val="21"/>
      <w:szCs w:val="21"/>
      <w:lang w:val="en-US" w:eastAsia="zh-CN" w:bidi="ar-SA"/>
    </w:rPr>
  </w:style>
  <w:style w:type="paragraph" w:customStyle="1" w:styleId="45">
    <w:name w:val="表格"/>
    <w:basedOn w:val="1"/>
    <w:next w:val="1"/>
    <w:link w:val="46"/>
    <w:qFormat/>
    <w:uiPriority w:val="99"/>
    <w:pPr>
      <w:adjustRightInd w:val="0"/>
      <w:snapToGrid w:val="0"/>
      <w:spacing w:beforeLines="10" w:afterLines="10" w:line="259" w:lineRule="auto"/>
      <w:jc w:val="center"/>
    </w:pPr>
    <w:rPr>
      <w:rFonts w:ascii="宋体"/>
      <w:kern w:val="0"/>
      <w:szCs w:val="20"/>
    </w:rPr>
  </w:style>
  <w:style w:type="character" w:customStyle="1" w:styleId="46">
    <w:name w:val="表格 Char"/>
    <w:link w:val="45"/>
    <w:qFormat/>
    <w:locked/>
    <w:uiPriority w:val="99"/>
    <w:rPr>
      <w:rFonts w:ascii="宋体"/>
      <w:sz w:val="21"/>
    </w:rPr>
  </w:style>
  <w:style w:type="character" w:customStyle="1" w:styleId="47">
    <w:name w:val="标题 1 字符"/>
    <w:basedOn w:val="34"/>
    <w:link w:val="5"/>
    <w:qFormat/>
    <w:uiPriority w:val="99"/>
    <w:rPr>
      <w:rFonts w:eastAsia="黑体"/>
      <w:b/>
      <w:bCs/>
      <w:color w:val="000000"/>
      <w:kern w:val="44"/>
      <w:sz w:val="30"/>
      <w:szCs w:val="30"/>
    </w:rPr>
  </w:style>
  <w:style w:type="character" w:customStyle="1" w:styleId="48">
    <w:name w:val="标题 2 字符"/>
    <w:basedOn w:val="34"/>
    <w:link w:val="6"/>
    <w:qFormat/>
    <w:uiPriority w:val="9"/>
    <w:rPr>
      <w:rFonts w:ascii="Arial" w:hAnsi="Arial" w:eastAsia="黑体"/>
      <w:b/>
      <w:kern w:val="2"/>
      <w:sz w:val="32"/>
      <w:szCs w:val="24"/>
    </w:rPr>
  </w:style>
  <w:style w:type="character" w:customStyle="1" w:styleId="49">
    <w:name w:val="标题 3 字符"/>
    <w:basedOn w:val="34"/>
    <w:link w:val="7"/>
    <w:qFormat/>
    <w:uiPriority w:val="0"/>
    <w:rPr>
      <w:b/>
      <w:bCs/>
      <w:kern w:val="2"/>
      <w:sz w:val="32"/>
      <w:szCs w:val="32"/>
    </w:rPr>
  </w:style>
  <w:style w:type="character" w:customStyle="1" w:styleId="50">
    <w:name w:val="标题 4 字符"/>
    <w:link w:val="8"/>
    <w:qFormat/>
    <w:uiPriority w:val="0"/>
    <w:rPr>
      <w:rFonts w:ascii="Calibri" w:hAnsi="Calibri"/>
      <w:sz w:val="28"/>
    </w:rPr>
  </w:style>
  <w:style w:type="character" w:customStyle="1" w:styleId="51">
    <w:name w:val="正文缩进 字符"/>
    <w:basedOn w:val="34"/>
    <w:link w:val="4"/>
    <w:qFormat/>
    <w:uiPriority w:val="0"/>
  </w:style>
  <w:style w:type="character" w:customStyle="1" w:styleId="52">
    <w:name w:val="文档结构图 字符"/>
    <w:basedOn w:val="34"/>
    <w:link w:val="11"/>
    <w:qFormat/>
    <w:uiPriority w:val="0"/>
    <w:rPr>
      <w:rFonts w:ascii="宋体"/>
      <w:kern w:val="2"/>
      <w:sz w:val="18"/>
      <w:szCs w:val="18"/>
    </w:rPr>
  </w:style>
  <w:style w:type="character" w:customStyle="1" w:styleId="53">
    <w:name w:val="批注文字 字符"/>
    <w:link w:val="12"/>
    <w:qFormat/>
    <w:locked/>
    <w:uiPriority w:val="99"/>
    <w:rPr>
      <w:rFonts w:ascii="Times New Roman" w:hAnsi="Times New Roman" w:eastAsia="宋体"/>
      <w:sz w:val="24"/>
    </w:rPr>
  </w:style>
  <w:style w:type="character" w:customStyle="1" w:styleId="54">
    <w:name w:val="正文文本 字符"/>
    <w:link w:val="13"/>
    <w:qFormat/>
    <w:locked/>
    <w:uiPriority w:val="0"/>
    <w:rPr>
      <w:sz w:val="18"/>
    </w:rPr>
  </w:style>
  <w:style w:type="character" w:customStyle="1" w:styleId="55">
    <w:name w:val="正文文本缩进 字符"/>
    <w:link w:val="3"/>
    <w:qFormat/>
    <w:locked/>
    <w:uiPriority w:val="0"/>
    <w:rPr>
      <w:rFonts w:ascii="Times New Roman" w:hAnsi="Times New Roman" w:eastAsia="宋体"/>
      <w:sz w:val="24"/>
    </w:rPr>
  </w:style>
  <w:style w:type="character" w:customStyle="1" w:styleId="56">
    <w:name w:val="日期 字符1"/>
    <w:link w:val="19"/>
    <w:qFormat/>
    <w:locked/>
    <w:uiPriority w:val="0"/>
    <w:rPr>
      <w:rFonts w:ascii="Times New Roman" w:hAnsi="Times New Roman" w:eastAsia="宋体"/>
      <w:sz w:val="24"/>
    </w:rPr>
  </w:style>
  <w:style w:type="character" w:customStyle="1" w:styleId="57">
    <w:name w:val="批注框文本 字符"/>
    <w:link w:val="20"/>
    <w:semiHidden/>
    <w:qFormat/>
    <w:locked/>
    <w:uiPriority w:val="0"/>
    <w:rPr>
      <w:rFonts w:ascii="Times New Roman" w:hAnsi="Times New Roman" w:eastAsia="宋体"/>
      <w:sz w:val="18"/>
    </w:rPr>
  </w:style>
  <w:style w:type="character" w:customStyle="1" w:styleId="58">
    <w:name w:val="页脚 字符1"/>
    <w:link w:val="21"/>
    <w:qFormat/>
    <w:locked/>
    <w:uiPriority w:val="99"/>
    <w:rPr>
      <w:sz w:val="18"/>
    </w:rPr>
  </w:style>
  <w:style w:type="character" w:customStyle="1" w:styleId="59">
    <w:name w:val="页眉 字符"/>
    <w:link w:val="22"/>
    <w:qFormat/>
    <w:locked/>
    <w:uiPriority w:val="0"/>
    <w:rPr>
      <w:sz w:val="18"/>
    </w:rPr>
  </w:style>
  <w:style w:type="character" w:customStyle="1" w:styleId="60">
    <w:name w:val="正文文本缩进 3 字符"/>
    <w:basedOn w:val="34"/>
    <w:link w:val="27"/>
    <w:qFormat/>
    <w:uiPriority w:val="0"/>
    <w:rPr>
      <w:kern w:val="2"/>
      <w:sz w:val="16"/>
      <w:szCs w:val="16"/>
    </w:rPr>
  </w:style>
  <w:style w:type="character" w:customStyle="1" w:styleId="61">
    <w:name w:val="普通(网站) 字符"/>
    <w:link w:val="29"/>
    <w:qFormat/>
    <w:locked/>
    <w:uiPriority w:val="0"/>
    <w:rPr>
      <w:rFonts w:ascii="宋体" w:hAnsi="宋体" w:eastAsia="宋体"/>
      <w:sz w:val="24"/>
    </w:rPr>
  </w:style>
  <w:style w:type="character" w:customStyle="1" w:styleId="62">
    <w:name w:val="批注主题 字符"/>
    <w:link w:val="30"/>
    <w:semiHidden/>
    <w:qFormat/>
    <w:locked/>
    <w:uiPriority w:val="0"/>
    <w:rPr>
      <w:rFonts w:ascii="Times New Roman" w:hAnsi="Times New Roman" w:eastAsia="宋体"/>
      <w:b/>
      <w:kern w:val="2"/>
      <w:sz w:val="24"/>
    </w:rPr>
  </w:style>
  <w:style w:type="character" w:customStyle="1" w:styleId="63">
    <w:name w:val="批注文字 字符1"/>
    <w:semiHidden/>
    <w:qFormat/>
    <w:uiPriority w:val="0"/>
    <w:rPr>
      <w:rFonts w:ascii="Times New Roman" w:hAnsi="Times New Roman" w:eastAsia="宋体"/>
      <w:sz w:val="24"/>
    </w:rPr>
  </w:style>
  <w:style w:type="character" w:customStyle="1" w:styleId="64">
    <w:name w:val="页脚 字符"/>
    <w:basedOn w:val="34"/>
    <w:qFormat/>
    <w:uiPriority w:val="99"/>
  </w:style>
  <w:style w:type="character" w:customStyle="1" w:styleId="65">
    <w:name w:val="日期 字符"/>
    <w:semiHidden/>
    <w:qFormat/>
    <w:uiPriority w:val="0"/>
    <w:rPr>
      <w:rFonts w:ascii="Times New Roman" w:hAnsi="Times New Roman" w:eastAsia="宋体"/>
      <w:sz w:val="24"/>
    </w:rPr>
  </w:style>
  <w:style w:type="character" w:customStyle="1" w:styleId="66">
    <w:name w:val="正文文本 字符1"/>
    <w:semiHidden/>
    <w:qFormat/>
    <w:uiPriority w:val="0"/>
    <w:rPr>
      <w:rFonts w:ascii="Times New Roman" w:hAnsi="Times New Roman" w:eastAsia="宋体"/>
      <w:sz w:val="24"/>
    </w:rPr>
  </w:style>
  <w:style w:type="paragraph" w:customStyle="1" w:styleId="67">
    <w:name w:val="Table Paragraph"/>
    <w:basedOn w:val="1"/>
    <w:qFormat/>
    <w:uiPriority w:val="1"/>
    <w:rPr>
      <w:rFonts w:ascii="宋体" w:hAnsi="宋体" w:cs="宋体"/>
      <w:szCs w:val="20"/>
      <w:lang w:val="zh-CN" w:bidi="zh-CN"/>
    </w:rPr>
  </w:style>
  <w:style w:type="paragraph" w:customStyle="1" w:styleId="68">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9">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70">
    <w:name w:val="Body Text 21"/>
    <w:basedOn w:val="1"/>
    <w:qFormat/>
    <w:uiPriority w:val="99"/>
    <w:pPr>
      <w:adjustRightInd w:val="0"/>
      <w:textAlignment w:val="baseline"/>
    </w:pPr>
    <w:rPr>
      <w:rFonts w:ascii="仿宋_GB2312" w:eastAsia="仿宋体"/>
      <w:sz w:val="24"/>
    </w:rPr>
  </w:style>
  <w:style w:type="paragraph" w:customStyle="1" w:styleId="71">
    <w:name w:val="正文文本缩进1"/>
    <w:basedOn w:val="1"/>
    <w:qFormat/>
    <w:uiPriority w:val="0"/>
    <w:pPr>
      <w:widowControl/>
      <w:spacing w:line="360" w:lineRule="auto"/>
      <w:ind w:firstLine="560"/>
      <w:jc w:val="left"/>
    </w:pPr>
    <w:rPr>
      <w:rFonts w:ascii="仿宋_GB2312" w:hAnsi="宋体" w:eastAsia="仿宋_GB2312"/>
      <w:sz w:val="28"/>
    </w:rPr>
  </w:style>
  <w:style w:type="paragraph" w:customStyle="1" w:styleId="72">
    <w:name w:val="简单回函地址"/>
    <w:basedOn w:val="1"/>
    <w:qFormat/>
    <w:uiPriority w:val="0"/>
    <w:pPr>
      <w:widowControl/>
      <w:spacing w:line="240" w:lineRule="exact"/>
      <w:jc w:val="left"/>
    </w:pPr>
    <w:rPr>
      <w:kern w:val="0"/>
      <w:sz w:val="24"/>
      <w:szCs w:val="20"/>
    </w:rPr>
  </w:style>
  <w:style w:type="paragraph" w:customStyle="1" w:styleId="73">
    <w:name w:val="+列表1"/>
    <w:basedOn w:val="1"/>
    <w:qFormat/>
    <w:uiPriority w:val="0"/>
    <w:pPr>
      <w:widowControl/>
      <w:jc w:val="center"/>
    </w:pPr>
    <w:rPr>
      <w:kern w:val="0"/>
      <w:sz w:val="20"/>
      <w:lang w:eastAsia="en-US"/>
    </w:rPr>
  </w:style>
  <w:style w:type="character" w:customStyle="1" w:styleId="74">
    <w:name w:val="批注文字 Char1"/>
    <w:qFormat/>
    <w:uiPriority w:val="99"/>
    <w:rPr>
      <w:rFonts w:ascii="Times New Roman" w:hAnsi="Times New Roman"/>
    </w:rPr>
  </w:style>
  <w:style w:type="paragraph" w:customStyle="1" w:styleId="75">
    <w:name w:val="文1"/>
    <w:basedOn w:val="1"/>
    <w:qFormat/>
    <w:uiPriority w:val="0"/>
    <w:pPr>
      <w:widowControl/>
      <w:snapToGrid w:val="0"/>
      <w:spacing w:line="360" w:lineRule="auto"/>
      <w:ind w:firstLine="567"/>
      <w:jc w:val="left"/>
    </w:pPr>
    <w:rPr>
      <w:rFonts w:ascii="Arial" w:hAnsi="Arial" w:eastAsia="幼圆"/>
      <w:kern w:val="0"/>
      <w:sz w:val="24"/>
      <w:szCs w:val="20"/>
    </w:rPr>
  </w:style>
  <w:style w:type="paragraph" w:styleId="76">
    <w:name w:val="List Paragraph"/>
    <w:basedOn w:val="1"/>
    <w:qFormat/>
    <w:uiPriority w:val="34"/>
    <w:pPr>
      <w:ind w:firstLine="420" w:firstLineChars="200"/>
    </w:pPr>
  </w:style>
  <w:style w:type="paragraph" w:customStyle="1" w:styleId="77">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78">
    <w:name w:val="标题 4 Char"/>
    <w:basedOn w:val="34"/>
    <w:semiHidden/>
    <w:qFormat/>
    <w:uiPriority w:val="9"/>
    <w:rPr>
      <w:rFonts w:asciiTheme="majorHAnsi" w:hAnsiTheme="majorHAnsi" w:eastAsiaTheme="majorEastAsia" w:cstheme="majorBidi"/>
      <w:b/>
      <w:bCs/>
      <w:kern w:val="2"/>
      <w:sz w:val="28"/>
      <w:szCs w:val="28"/>
    </w:rPr>
  </w:style>
  <w:style w:type="character" w:customStyle="1" w:styleId="79">
    <w:name w:val="15"/>
    <w:basedOn w:val="34"/>
    <w:qFormat/>
    <w:uiPriority w:val="0"/>
    <w:rPr>
      <w:rFonts w:hint="default" w:ascii="Times New Roman" w:hAnsi="Times New Roman" w:eastAsia="宋体" w:cs="Times New Roman"/>
      <w:sz w:val="21"/>
      <w:szCs w:val="21"/>
    </w:rPr>
  </w:style>
  <w:style w:type="paragraph" w:customStyle="1" w:styleId="80">
    <w:name w:val="表格内文字"/>
    <w:basedOn w:val="1"/>
    <w:link w:val="81"/>
    <w:qFormat/>
    <w:uiPriority w:val="0"/>
    <w:pPr>
      <w:kinsoku w:val="0"/>
      <w:wordWrap w:val="0"/>
      <w:overflowPunct w:val="0"/>
      <w:snapToGrid w:val="0"/>
      <w:jc w:val="center"/>
    </w:pPr>
    <w:rPr>
      <w:snapToGrid w:val="0"/>
    </w:rPr>
  </w:style>
  <w:style w:type="character" w:customStyle="1" w:styleId="81">
    <w:name w:val="表格内文字 Char"/>
    <w:link w:val="80"/>
    <w:qFormat/>
    <w:uiPriority w:val="0"/>
    <w:rPr>
      <w:snapToGrid w:val="0"/>
      <w:kern w:val="2"/>
      <w:sz w:val="21"/>
      <w:szCs w:val="24"/>
    </w:rPr>
  </w:style>
  <w:style w:type="character" w:customStyle="1" w:styleId="82">
    <w:name w:val="NormalCharacter"/>
    <w:semiHidden/>
    <w:qFormat/>
    <w:uiPriority w:val="0"/>
  </w:style>
  <w:style w:type="character" w:customStyle="1" w:styleId="83">
    <w:name w:val="样式 表格 + 黑色 Char Char"/>
    <w:link w:val="84"/>
    <w:qFormat/>
    <w:uiPriority w:val="0"/>
    <w:rPr>
      <w:rFonts w:ascii="宋体" w:hAnsi="宋体"/>
      <w:color w:val="000000"/>
      <w:spacing w:val="-4"/>
      <w:sz w:val="21"/>
      <w:szCs w:val="21"/>
    </w:rPr>
  </w:style>
  <w:style w:type="paragraph" w:customStyle="1" w:styleId="84">
    <w:name w:val="样式 表格 + 黑色"/>
    <w:basedOn w:val="1"/>
    <w:link w:val="83"/>
    <w:qFormat/>
    <w:uiPriority w:val="0"/>
    <w:pPr>
      <w:adjustRightInd w:val="0"/>
      <w:snapToGrid w:val="0"/>
      <w:jc w:val="center"/>
    </w:pPr>
    <w:rPr>
      <w:rFonts w:ascii="宋体" w:hAnsi="宋体"/>
      <w:color w:val="000000"/>
      <w:spacing w:val="-4"/>
      <w:kern w:val="0"/>
      <w:szCs w:val="21"/>
    </w:rPr>
  </w:style>
  <w:style w:type="paragraph" w:customStyle="1" w:styleId="85">
    <w:name w:val="Char2"/>
    <w:basedOn w:val="1"/>
    <w:qFormat/>
    <w:uiPriority w:val="0"/>
    <w:pPr>
      <w:snapToGrid w:val="0"/>
      <w:spacing w:line="360" w:lineRule="auto"/>
      <w:ind w:firstLine="200" w:firstLineChars="200"/>
    </w:pPr>
    <w:rPr>
      <w:rFonts w:eastAsia="仿宋_GB2312"/>
      <w:sz w:val="24"/>
    </w:rPr>
  </w:style>
  <w:style w:type="paragraph" w:customStyle="1" w:styleId="86">
    <w:name w:val="表格?????"/>
    <w:basedOn w:val="1"/>
    <w:link w:val="87"/>
    <w:qFormat/>
    <w:uiPriority w:val="99"/>
    <w:pPr>
      <w:spacing w:before="100" w:after="100" w:line="320" w:lineRule="exact"/>
      <w:jc w:val="center"/>
    </w:pPr>
    <w:rPr>
      <w:spacing w:val="10"/>
      <w:kern w:val="0"/>
      <w:sz w:val="24"/>
      <w:szCs w:val="20"/>
    </w:rPr>
  </w:style>
  <w:style w:type="character" w:customStyle="1" w:styleId="87">
    <w:name w:val="表格????????内"/>
    <w:link w:val="86"/>
    <w:qFormat/>
    <w:locked/>
    <w:uiPriority w:val="99"/>
    <w:rPr>
      <w:spacing w:val="10"/>
      <w:sz w:val="24"/>
    </w:rPr>
  </w:style>
  <w:style w:type="paragraph" w:customStyle="1" w:styleId="88">
    <w:name w:val="修订2"/>
    <w:hidden/>
    <w:unhideWhenUsed/>
    <w:qFormat/>
    <w:uiPriority w:val="99"/>
    <w:rPr>
      <w:rFonts w:ascii="Times New Roman" w:hAnsi="Times New Roman" w:eastAsia="宋体" w:cs="Times New Roman"/>
      <w:kern w:val="2"/>
      <w:sz w:val="21"/>
      <w:szCs w:val="24"/>
      <w:lang w:val="en-US" w:eastAsia="zh-CN" w:bidi="ar-SA"/>
    </w:rPr>
  </w:style>
  <w:style w:type="character" w:customStyle="1" w:styleId="89">
    <w:name w:val="正文缩进 Char1"/>
    <w:qFormat/>
    <w:locked/>
    <w:uiPriority w:val="0"/>
    <w:rPr>
      <w:sz w:val="28"/>
    </w:rPr>
  </w:style>
  <w:style w:type="paragraph" w:customStyle="1" w:styleId="90">
    <w:name w:val="正文4"/>
    <w:qFormat/>
    <w:uiPriority w:val="0"/>
    <w:pPr>
      <w:jc w:val="both"/>
    </w:pPr>
    <w:rPr>
      <w:rFonts w:ascii="Times New Roman" w:hAnsi="Times New Roman" w:eastAsia="宋体" w:cs="Times New Roman"/>
      <w:kern w:val="2"/>
      <w:sz w:val="21"/>
      <w:szCs w:val="21"/>
      <w:lang w:val="en-US" w:eastAsia="zh-CN" w:bidi="ar-SA"/>
    </w:rPr>
  </w:style>
  <w:style w:type="paragraph" w:customStyle="1" w:styleId="91">
    <w:name w:val="三级大纲1"/>
    <w:basedOn w:val="1"/>
    <w:link w:val="92"/>
    <w:qFormat/>
    <w:uiPriority w:val="99"/>
    <w:pPr>
      <w:tabs>
        <w:tab w:val="left" w:pos="774"/>
      </w:tabs>
      <w:adjustRightInd w:val="0"/>
      <w:snapToGrid w:val="0"/>
      <w:spacing w:beforeLines="50" w:afterLines="50"/>
      <w:outlineLvl w:val="2"/>
    </w:pPr>
    <w:rPr>
      <w:rFonts w:eastAsia="仿宋"/>
      <w:b/>
      <w:spacing w:val="16"/>
      <w:sz w:val="24"/>
    </w:rPr>
  </w:style>
  <w:style w:type="character" w:customStyle="1" w:styleId="92">
    <w:name w:val="三级大纲1 字符"/>
    <w:link w:val="91"/>
    <w:qFormat/>
    <w:locked/>
    <w:uiPriority w:val="99"/>
    <w:rPr>
      <w:rFonts w:eastAsia="仿宋"/>
      <w:b/>
      <w:spacing w:val="16"/>
      <w:kern w:val="2"/>
      <w:sz w:val="24"/>
      <w:szCs w:val="24"/>
    </w:rPr>
  </w:style>
  <w:style w:type="character" w:customStyle="1" w:styleId="93">
    <w:name w:val="font31"/>
    <w:basedOn w:val="34"/>
    <w:qFormat/>
    <w:uiPriority w:val="0"/>
    <w:rPr>
      <w:rFonts w:hint="eastAsia" w:ascii="宋体" w:hAnsi="宋体" w:eastAsia="宋体" w:cs="宋体"/>
      <w:color w:val="FF0000"/>
      <w:sz w:val="18"/>
      <w:szCs w:val="18"/>
      <w:u w:val="none"/>
    </w:rPr>
  </w:style>
  <w:style w:type="paragraph" w:customStyle="1" w:styleId="94">
    <w:name w:val="修订3"/>
    <w:hidden/>
    <w:semiHidden/>
    <w:qFormat/>
    <w:uiPriority w:val="99"/>
    <w:rPr>
      <w:rFonts w:ascii="Times New Roman" w:hAnsi="Times New Roman" w:eastAsia="宋体" w:cs="Times New Roman"/>
      <w:kern w:val="2"/>
      <w:sz w:val="21"/>
      <w:szCs w:val="24"/>
      <w:lang w:val="en-US" w:eastAsia="zh-CN" w:bidi="ar-SA"/>
    </w:rPr>
  </w:style>
  <w:style w:type="character" w:customStyle="1" w:styleId="95">
    <w:name w:val="font21"/>
    <w:basedOn w:val="34"/>
    <w:qFormat/>
    <w:uiPriority w:val="0"/>
    <w:rPr>
      <w:rFonts w:hint="eastAsia" w:ascii="MingLiU" w:eastAsia="MingLiU"/>
      <w:color w:val="000000"/>
      <w:sz w:val="24"/>
      <w:szCs w:val="24"/>
      <w:u w:val="none"/>
    </w:rPr>
  </w:style>
  <w:style w:type="character" w:customStyle="1" w:styleId="96">
    <w:name w:val="font81"/>
    <w:basedOn w:val="34"/>
    <w:qFormat/>
    <w:uiPriority w:val="0"/>
    <w:rPr>
      <w:rFonts w:hint="eastAsia" w:ascii="MingLiU" w:eastAsia="MingLiU"/>
      <w:color w:val="000000"/>
      <w:sz w:val="24"/>
      <w:szCs w:val="24"/>
      <w:u w:val="none"/>
    </w:rPr>
  </w:style>
  <w:style w:type="character" w:customStyle="1" w:styleId="97">
    <w:name w:val="font51"/>
    <w:basedOn w:val="34"/>
    <w:qFormat/>
    <w:uiPriority w:val="0"/>
    <w:rPr>
      <w:rFonts w:hint="default" w:ascii="SF Hello Regular" w:hAnsi="SF Hello Regular"/>
      <w:color w:val="000000"/>
      <w:sz w:val="24"/>
      <w:szCs w:val="24"/>
      <w:u w:val="none"/>
    </w:rPr>
  </w:style>
  <w:style w:type="character" w:customStyle="1" w:styleId="98">
    <w:name w:val="font01"/>
    <w:basedOn w:val="34"/>
    <w:qFormat/>
    <w:uiPriority w:val="0"/>
    <w:rPr>
      <w:rFonts w:hint="default" w:ascii="Arial" w:hAnsi="Arial" w:cs="Arial"/>
      <w:color w:val="000000"/>
      <w:sz w:val="24"/>
      <w:szCs w:val="24"/>
      <w:u w:val="none"/>
    </w:rPr>
  </w:style>
  <w:style w:type="paragraph" w:customStyle="1" w:styleId="99">
    <w:name w:val="表格样式"/>
    <w:basedOn w:val="1"/>
    <w:qFormat/>
    <w:uiPriority w:val="99"/>
    <w:pPr>
      <w:widowControl/>
      <w:adjustRightInd w:val="0"/>
      <w:snapToGrid w:val="0"/>
      <w:jc w:val="center"/>
    </w:pPr>
    <w:rPr>
      <w:rFonts w:ascii="宋体"/>
      <w:color w:val="000000"/>
      <w:kern w:val="0"/>
      <w:sz w:val="24"/>
      <w:szCs w:val="20"/>
    </w:rPr>
  </w:style>
  <w:style w:type="paragraph" w:customStyle="1" w:styleId="100">
    <w:name w:val="修订4"/>
    <w:hidden/>
    <w:semiHidden/>
    <w:qFormat/>
    <w:uiPriority w:val="99"/>
    <w:rPr>
      <w:rFonts w:ascii="Times New Roman" w:hAnsi="Times New Roman" w:eastAsia="宋体" w:cs="Times New Roman"/>
      <w:kern w:val="2"/>
      <w:sz w:val="21"/>
      <w:szCs w:val="24"/>
      <w:lang w:val="en-US" w:eastAsia="zh-CN" w:bidi="ar-SA"/>
    </w:rPr>
  </w:style>
  <w:style w:type="paragraph" w:customStyle="1" w:styleId="101">
    <w:name w:val="修订5"/>
    <w:hidden/>
    <w:semiHidden/>
    <w:qFormat/>
    <w:uiPriority w:val="99"/>
    <w:rPr>
      <w:rFonts w:ascii="Times New Roman" w:hAnsi="Times New Roman" w:eastAsia="宋体" w:cs="Times New Roman"/>
      <w:kern w:val="2"/>
      <w:sz w:val="21"/>
      <w:szCs w:val="24"/>
      <w:lang w:val="en-US" w:eastAsia="zh-CN" w:bidi="ar-SA"/>
    </w:rPr>
  </w:style>
  <w:style w:type="paragraph" w:customStyle="1" w:styleId="102">
    <w:name w:val="修订6"/>
    <w:hidden/>
    <w:semiHidden/>
    <w:qFormat/>
    <w:uiPriority w:val="99"/>
    <w:rPr>
      <w:rFonts w:ascii="Times New Roman" w:hAnsi="Times New Roman" w:eastAsia="宋体" w:cs="Times New Roman"/>
      <w:kern w:val="2"/>
      <w:sz w:val="21"/>
      <w:szCs w:val="24"/>
      <w:lang w:val="en-US" w:eastAsia="zh-CN" w:bidi="ar-SA"/>
    </w:rPr>
  </w:style>
  <w:style w:type="paragraph" w:customStyle="1" w:styleId="103">
    <w:name w:val="修订7"/>
    <w:hidden/>
    <w:semiHidden/>
    <w:qFormat/>
    <w:uiPriority w:val="99"/>
    <w:rPr>
      <w:rFonts w:ascii="Times New Roman" w:hAnsi="Times New Roman" w:eastAsia="宋体" w:cs="Times New Roman"/>
      <w:kern w:val="2"/>
      <w:sz w:val="21"/>
      <w:szCs w:val="24"/>
      <w:lang w:val="en-US" w:eastAsia="zh-CN" w:bidi="ar-SA"/>
    </w:rPr>
  </w:style>
  <w:style w:type="paragraph" w:customStyle="1" w:styleId="104">
    <w:name w:val="修订8"/>
    <w:hidden/>
    <w:semiHidden/>
    <w:qFormat/>
    <w:uiPriority w:val="99"/>
    <w:rPr>
      <w:rFonts w:ascii="Times New Roman" w:hAnsi="Times New Roman" w:eastAsia="宋体" w:cs="Times New Roman"/>
      <w:kern w:val="2"/>
      <w:sz w:val="21"/>
      <w:szCs w:val="24"/>
      <w:lang w:val="en-US" w:eastAsia="zh-CN" w:bidi="ar-SA"/>
    </w:rPr>
  </w:style>
  <w:style w:type="paragraph" w:customStyle="1" w:styleId="105">
    <w:name w:val="修订9"/>
    <w:hidden/>
    <w:semiHidden/>
    <w:qFormat/>
    <w:uiPriority w:val="99"/>
    <w:rPr>
      <w:rFonts w:ascii="Times New Roman" w:hAnsi="Times New Roman" w:eastAsia="宋体" w:cs="Times New Roman"/>
      <w:kern w:val="2"/>
      <w:sz w:val="21"/>
      <w:szCs w:val="24"/>
      <w:lang w:val="en-US" w:eastAsia="zh-CN" w:bidi="ar-SA"/>
    </w:rPr>
  </w:style>
  <w:style w:type="paragraph" w:customStyle="1" w:styleId="106">
    <w:name w:val="修订10"/>
    <w:hidden/>
    <w:semiHidden/>
    <w:qFormat/>
    <w:uiPriority w:val="99"/>
    <w:rPr>
      <w:rFonts w:ascii="Times New Roman" w:hAnsi="Times New Roman" w:eastAsia="宋体" w:cs="Times New Roman"/>
      <w:kern w:val="2"/>
      <w:sz w:val="21"/>
      <w:szCs w:val="24"/>
      <w:lang w:val="en-US" w:eastAsia="zh-CN" w:bidi="ar-SA"/>
    </w:rPr>
  </w:style>
  <w:style w:type="paragraph" w:customStyle="1" w:styleId="107">
    <w:name w:val="Default1"/>
    <w:qFormat/>
    <w:uiPriority w:val="0"/>
    <w:pPr>
      <w:widowControl w:val="0"/>
      <w:autoSpaceDE w:val="0"/>
      <w:autoSpaceDN w:val="0"/>
      <w:adjustRightInd w:val="0"/>
      <w:jc w:val="center"/>
    </w:pPr>
    <w:rPr>
      <w:rFonts w:ascii="宋体" w:hAnsi="Times New Roman" w:eastAsia="宋体" w:cs="宋体"/>
      <w:color w:val="000000"/>
      <w:sz w:val="24"/>
      <w:szCs w:val="24"/>
      <w:lang w:val="en-US" w:eastAsia="zh-CN" w:bidi="ar-SA"/>
    </w:rPr>
  </w:style>
  <w:style w:type="paragraph" w:customStyle="1" w:styleId="108">
    <w:name w:val="修订11"/>
    <w:hidden/>
    <w:unhideWhenUsed/>
    <w:qFormat/>
    <w:uiPriority w:val="99"/>
    <w:rPr>
      <w:rFonts w:ascii="Times New Roman" w:hAnsi="Times New Roman" w:eastAsia="宋体" w:cs="Times New Roman"/>
      <w:kern w:val="2"/>
      <w:sz w:val="21"/>
      <w:szCs w:val="24"/>
      <w:lang w:val="en-US" w:eastAsia="zh-CN" w:bidi="ar-SA"/>
    </w:rPr>
  </w:style>
  <w:style w:type="character" w:customStyle="1" w:styleId="109">
    <w:name w:val="k54rn5"/>
    <w:basedOn w:val="34"/>
    <w:qFormat/>
    <w:uiPriority w:val="0"/>
  </w:style>
  <w:style w:type="character" w:customStyle="1" w:styleId="110">
    <w:name w:val="l919o0b35b"/>
    <w:basedOn w:val="34"/>
    <w:qFormat/>
    <w:uiPriority w:val="0"/>
  </w:style>
  <w:style w:type="character" w:customStyle="1" w:styleId="111">
    <w:name w:val="sw6z3t96o"/>
    <w:basedOn w:val="34"/>
    <w:qFormat/>
    <w:uiPriority w:val="0"/>
  </w:style>
  <w:style w:type="paragraph" w:customStyle="1" w:styleId="112">
    <w:name w:val="正文-报告表"/>
    <w:basedOn w:val="1"/>
    <w:qFormat/>
    <w:uiPriority w:val="0"/>
    <w:pPr>
      <w:adjustRightInd w:val="0"/>
      <w:snapToGrid w:val="0"/>
      <w:spacing w:line="480" w:lineRule="exact"/>
      <w:ind w:firstLine="480" w:firstLineChars="200"/>
      <w:jc w:val="left"/>
    </w:pPr>
    <w:rPr>
      <w:sz w:val="24"/>
    </w:rPr>
  </w:style>
  <w:style w:type="paragraph" w:customStyle="1" w:styleId="113">
    <w:name w:val="标题-报告表"/>
    <w:basedOn w:val="1"/>
    <w:qFormat/>
    <w:uiPriority w:val="0"/>
    <w:pPr>
      <w:spacing w:line="480" w:lineRule="exact"/>
      <w:jc w:val="center"/>
    </w:pPr>
    <w:rPr>
      <w:b/>
      <w:bCs/>
      <w:sz w:val="24"/>
    </w:rPr>
  </w:style>
  <w:style w:type="paragraph" w:customStyle="1" w:styleId="114">
    <w:name w:val="0表格格式"/>
    <w:basedOn w:val="1"/>
    <w:qFormat/>
    <w:uiPriority w:val="0"/>
    <w:pPr>
      <w:widowControl/>
      <w:jc w:val="center"/>
    </w:pPr>
    <w:rPr>
      <w:kern w:val="0"/>
      <w:szCs w:val="21"/>
    </w:rPr>
  </w:style>
  <w:style w:type="character" w:customStyle="1" w:styleId="115">
    <w:name w:val="标题 6 字符"/>
    <w:basedOn w:val="34"/>
    <w:link w:val="9"/>
    <w:semiHidden/>
    <w:qFormat/>
    <w:uiPriority w:val="0"/>
    <w:rPr>
      <w:rFonts w:asciiTheme="majorHAnsi" w:hAnsiTheme="majorHAnsi" w:eastAsiaTheme="majorEastAsia" w:cstheme="majorBidi"/>
      <w:b/>
      <w:bCs/>
      <w:kern w:val="2"/>
      <w:sz w:val="24"/>
      <w:szCs w:val="24"/>
    </w:rPr>
  </w:style>
  <w:style w:type="character" w:customStyle="1" w:styleId="116">
    <w:name w:val="fontstyle01"/>
    <w:qFormat/>
    <w:uiPriority w:val="0"/>
    <w:rPr>
      <w:rFonts w:hint="eastAsia" w:ascii="宋体" w:hAnsi="宋体" w:eastAsia="宋体"/>
      <w:color w:val="000000"/>
      <w:sz w:val="22"/>
      <w:szCs w:val="22"/>
    </w:rPr>
  </w:style>
  <w:style w:type="paragraph" w:customStyle="1" w:styleId="117">
    <w:name w:val="表内lcc"/>
    <w:basedOn w:val="1"/>
    <w:qFormat/>
    <w:uiPriority w:val="0"/>
    <w:pPr>
      <w:adjustRightInd w:val="0"/>
      <w:jc w:val="center"/>
    </w:pPr>
    <w:rPr>
      <w:iCs/>
      <w:color w:val="000000"/>
    </w:rPr>
  </w:style>
  <w:style w:type="paragraph" w:customStyle="1" w:styleId="118">
    <w:name w:val="表头lcc1"/>
    <w:basedOn w:val="1"/>
    <w:qFormat/>
    <w:uiPriority w:val="0"/>
    <w:pPr>
      <w:jc w:val="center"/>
    </w:pPr>
    <w:rPr>
      <w:b/>
      <w:kern w:val="0"/>
      <w:szCs w:val="20"/>
    </w:rPr>
  </w:style>
  <w:style w:type="paragraph" w:customStyle="1" w:styleId="119">
    <w:name w:val="表文-lcc"/>
    <w:basedOn w:val="18"/>
    <w:qFormat/>
    <w:uiPriority w:val="0"/>
    <w:pPr>
      <w:jc w:val="center"/>
    </w:pPr>
    <w:rPr>
      <w:rFonts w:ascii="宋体" w:eastAsia="宋体" w:cs="宋体"/>
    </w:rPr>
  </w:style>
  <w:style w:type="character" w:customStyle="1" w:styleId="120">
    <w:name w:val="纯文本 字符"/>
    <w:basedOn w:val="34"/>
    <w:link w:val="18"/>
    <w:semiHidden/>
    <w:qFormat/>
    <w:uiPriority w:val="0"/>
    <w:rPr>
      <w:rFonts w:hAnsi="Courier New" w:cs="Courier New" w:asciiTheme="minorEastAsia" w:eastAsiaTheme="minorEastAsia"/>
      <w:kern w:val="2"/>
      <w:sz w:val="21"/>
      <w:szCs w:val="24"/>
    </w:rPr>
  </w:style>
  <w:style w:type="character" w:customStyle="1" w:styleId="121">
    <w:name w:val="表图 Char"/>
    <w:link w:val="122"/>
    <w:qFormat/>
    <w:uiPriority w:val="0"/>
    <w:rPr>
      <w:color w:val="000000"/>
      <w:kern w:val="2"/>
      <w:sz w:val="21"/>
      <w:szCs w:val="22"/>
    </w:rPr>
  </w:style>
  <w:style w:type="paragraph" w:customStyle="1" w:styleId="122">
    <w:name w:val="表图"/>
    <w:basedOn w:val="1"/>
    <w:next w:val="1"/>
    <w:link w:val="121"/>
    <w:qFormat/>
    <w:uiPriority w:val="0"/>
    <w:pPr>
      <w:adjustRightInd w:val="0"/>
      <w:snapToGrid w:val="0"/>
      <w:spacing w:after="200"/>
      <w:jc w:val="center"/>
    </w:pPr>
    <w:rPr>
      <w:color w:val="000000"/>
      <w:szCs w:val="22"/>
    </w:rPr>
  </w:style>
  <w:style w:type="paragraph" w:customStyle="1" w:styleId="123">
    <w:name w:val="_Style 138"/>
    <w:basedOn w:val="1"/>
    <w:qFormat/>
    <w:uiPriority w:val="0"/>
    <w:rPr>
      <w:rFonts w:ascii="Calibri" w:hAnsi="Calibri"/>
      <w:szCs w:val="21"/>
    </w:rPr>
  </w:style>
  <w:style w:type="paragraph" w:customStyle="1" w:styleId="124">
    <w:name w:val="List Paragraph2"/>
    <w:basedOn w:val="1"/>
    <w:qFormat/>
    <w:uiPriority w:val="0"/>
    <w:pPr>
      <w:ind w:firstLine="420" w:firstLineChars="200"/>
    </w:pPr>
  </w:style>
  <w:style w:type="paragraph" w:customStyle="1" w:styleId="125">
    <w:name w:val="表头（仿宋 小四）"/>
    <w:basedOn w:val="1"/>
    <w:qFormat/>
    <w:uiPriority w:val="0"/>
    <w:pPr>
      <w:spacing w:line="520" w:lineRule="exact"/>
      <w:jc w:val="center"/>
    </w:pPr>
    <w:rPr>
      <w:rFonts w:ascii="仿宋_GB2312" w:hAnsi="宋体" w:cs="宋体"/>
      <w:color w:val="000000"/>
      <w:sz w:val="24"/>
    </w:rPr>
  </w:style>
  <w:style w:type="paragraph" w:customStyle="1" w:styleId="126">
    <w:name w:val="xl27"/>
    <w:basedOn w:val="1"/>
    <w:qFormat/>
    <w:uiPriority w:val="0"/>
    <w:pPr>
      <w:widowControl/>
      <w:pBdr>
        <w:bottom w:val="single" w:color="auto" w:sz="12" w:space="0"/>
      </w:pBdr>
      <w:spacing w:before="100" w:after="100"/>
      <w:jc w:val="center"/>
    </w:pPr>
    <w:rPr>
      <w:rFonts w:ascii="宋体" w:hAnsi="宋体"/>
      <w:kern w:val="0"/>
      <w:szCs w:val="20"/>
    </w:rPr>
  </w:style>
  <w:style w:type="paragraph" w:customStyle="1" w:styleId="127">
    <w:name w:val="XQ报告表正文"/>
    <w:basedOn w:val="1"/>
    <w:qFormat/>
    <w:uiPriority w:val="0"/>
    <w:pPr>
      <w:adjustRightInd w:val="0"/>
      <w:snapToGrid w:val="0"/>
      <w:spacing w:line="360" w:lineRule="auto"/>
      <w:ind w:firstLine="200" w:firstLineChars="200"/>
    </w:pPr>
    <w:rPr>
      <w:rFonts w:hAnsi="宋体" w:cs="宋体"/>
      <w:bCs/>
      <w:snapToGrid w:val="0"/>
      <w:kern w:val="0"/>
      <w:sz w:val="24"/>
      <w:lang w:val="zh-CN"/>
    </w:rPr>
  </w:style>
  <w:style w:type="paragraph" w:customStyle="1" w:styleId="128">
    <w:name w:val="正文(首行缩进)"/>
    <w:basedOn w:val="1"/>
    <w:qFormat/>
    <w:uiPriority w:val="0"/>
    <w:pPr>
      <w:spacing w:line="360" w:lineRule="auto"/>
      <w:ind w:firstLine="480" w:firstLineChars="200"/>
    </w:pPr>
    <w:rPr>
      <w:snapToGrid w:val="0"/>
      <w:color w:val="000000"/>
      <w:kern w:val="0"/>
      <w:sz w:val="24"/>
    </w:rPr>
  </w:style>
  <w:style w:type="paragraph" w:customStyle="1" w:styleId="129">
    <w:name w:val="环评表格"/>
    <w:basedOn w:val="130"/>
    <w:next w:val="1"/>
    <w:qFormat/>
    <w:uiPriority w:val="0"/>
    <w:pPr>
      <w:widowControl/>
    </w:pPr>
    <w:rPr>
      <w:rFonts w:ascii="等线" w:hAnsi="等线" w:eastAsia="等线" w:cs="Times New Roman"/>
      <w:kern w:val="2"/>
      <w:sz w:val="21"/>
      <w:szCs w:val="22"/>
    </w:rPr>
  </w:style>
  <w:style w:type="paragraph" w:customStyle="1" w:styleId="130">
    <w:name w:val="表格内容"/>
    <w:basedOn w:val="1"/>
    <w:qFormat/>
    <w:uiPriority w:val="0"/>
    <w:pPr>
      <w:adjustRightInd w:val="0"/>
      <w:snapToGrid w:val="0"/>
      <w:spacing w:line="240" w:lineRule="atLeast"/>
      <w:jc w:val="center"/>
    </w:pPr>
    <w:rPr>
      <w:rFonts w:ascii="宋体" w:hAnsi="宋体" w:cs="Arial Unicode MS"/>
    </w:rPr>
  </w:style>
  <w:style w:type="paragraph" w:customStyle="1" w:styleId="131">
    <w:name w:val="环评正文"/>
    <w:basedOn w:val="1"/>
    <w:qFormat/>
    <w:uiPriority w:val="0"/>
    <w:pPr>
      <w:spacing w:line="360" w:lineRule="auto"/>
      <w:ind w:firstLine="200" w:firstLineChars="200"/>
    </w:pPr>
    <w:rPr>
      <w:sz w:val="24"/>
    </w:rPr>
  </w:style>
  <w:style w:type="paragraph" w:customStyle="1" w:styleId="132">
    <w:name w:val="表头"/>
    <w:basedOn w:val="1"/>
    <w:qFormat/>
    <w:uiPriority w:val="0"/>
    <w:pPr>
      <w:widowControl/>
      <w:spacing w:before="50" w:beforeLines="50" w:line="240" w:lineRule="auto"/>
      <w:ind w:firstLine="0" w:firstLineChars="0"/>
      <w:jc w:val="center"/>
      <w:outlineLvl w:val="0"/>
    </w:pPr>
    <w:rPr>
      <w:b/>
      <w:bCs/>
      <w:snapToGrid w:val="0"/>
      <w:kern w:val="0"/>
      <w:sz w:val="21"/>
      <w:szCs w:val="21"/>
    </w:rPr>
  </w:style>
  <w:style w:type="paragraph" w:customStyle="1" w:styleId="133">
    <w:name w:val="Table Text"/>
    <w:basedOn w:val="1"/>
    <w:semiHidden/>
    <w:qFormat/>
    <w:uiPriority w:val="0"/>
    <w:rPr>
      <w:rFonts w:ascii="宋体" w:hAnsi="宋体" w:eastAsia="宋体" w:cs="宋体"/>
      <w:sz w:val="20"/>
      <w:szCs w:val="20"/>
      <w:lang w:val="en-US" w:eastAsia="en-US" w:bidi="ar-SA"/>
    </w:rPr>
  </w:style>
  <w:style w:type="table" w:customStyle="1" w:styleId="134">
    <w:name w:val="Table Normal"/>
    <w:semiHidden/>
    <w:unhideWhenUsed/>
    <w:qFormat/>
    <w:uiPriority w:val="0"/>
    <w:tblPr>
      <w:tblCellMar>
        <w:top w:w="0" w:type="dxa"/>
        <w:left w:w="0" w:type="dxa"/>
        <w:bottom w:w="0" w:type="dxa"/>
        <w:right w:w="0" w:type="dxa"/>
      </w:tblCellMar>
    </w:tblPr>
  </w:style>
  <w:style w:type="paragraph" w:customStyle="1" w:styleId="135">
    <w:name w:val="表格文字"/>
    <w:qFormat/>
    <w:uiPriority w:val="0"/>
    <w:pPr>
      <w:jc w:val="center"/>
    </w:pPr>
    <w:rPr>
      <w:rFonts w:ascii="Times New Roman" w:hAnsi="Times New Roman" w:eastAsia="仿宋" w:cs="Times New Roman"/>
      <w:sz w:val="21"/>
      <w:lang w:val="en-US" w:eastAsia="zh-CN" w:bidi="ar-SA"/>
    </w:rPr>
  </w:style>
  <w:style w:type="paragraph" w:customStyle="1" w:styleId="136">
    <w:name w:val="表标题"/>
    <w:basedOn w:val="1"/>
    <w:qFormat/>
    <w:uiPriority w:val="0"/>
    <w:pPr>
      <w:ind w:firstLine="0" w:firstLineChars="0"/>
      <w:jc w:val="center"/>
    </w:pPr>
    <w:rPr>
      <w:b/>
    </w:rPr>
  </w:style>
  <w:style w:type="paragraph" w:customStyle="1" w:styleId="137">
    <w:name w:val="表"/>
    <w:basedOn w:val="1"/>
    <w:qFormat/>
    <w:uiPriority w:val="99"/>
    <w:pPr>
      <w:topLinePunct/>
      <w:adjustRightInd w:val="0"/>
      <w:snapToGrid w:val="0"/>
      <w:spacing w:line="240" w:lineRule="auto"/>
      <w:ind w:firstLine="0" w:firstLineChars="0"/>
      <w:jc w:val="center"/>
    </w:pPr>
    <w:rPr>
      <w:rFonts w:eastAsia="Times New Roman"/>
      <w:kern w:val="0"/>
      <w:sz w:val="21"/>
      <w:szCs w:val="21"/>
    </w:rPr>
  </w:style>
  <w:style w:type="character" w:customStyle="1" w:styleId="138">
    <w:name w:val="font11"/>
    <w:basedOn w:val="34"/>
    <w:qFormat/>
    <w:uiPriority w:val="0"/>
    <w:rPr>
      <w:rFonts w:hint="default" w:ascii="Times New Roman" w:hAnsi="Times New Roman" w:cs="Times New Roman"/>
      <w:color w:val="000000"/>
      <w:sz w:val="18"/>
      <w:szCs w:val="18"/>
      <w:u w:val="none"/>
      <w:vertAlign w:val="subscript"/>
    </w:rPr>
  </w:style>
  <w:style w:type="paragraph" w:customStyle="1" w:styleId="139">
    <w:name w:val="列出段落1"/>
    <w:basedOn w:val="1"/>
    <w:qFormat/>
    <w:uiPriority w:val="0"/>
    <w:pPr>
      <w:ind w:firstLine="420" w:firstLineChars="200"/>
    </w:pPr>
    <w:rPr>
      <w:szCs w:val="21"/>
    </w:rPr>
  </w:style>
  <w:style w:type="paragraph" w:customStyle="1" w:styleId="140">
    <w:name w:val="正文lcc"/>
    <w:basedOn w:val="1"/>
    <w:qFormat/>
    <w:uiPriority w:val="0"/>
    <w:pPr>
      <w:snapToGrid w:val="0"/>
      <w:ind w:firstLine="480"/>
    </w:pPr>
    <w:rPr>
      <w:szCs w:val="20"/>
    </w:rPr>
  </w:style>
  <w:style w:type="paragraph" w:customStyle="1" w:styleId="141">
    <w:name w:val="08表格文字"/>
    <w:basedOn w:val="1"/>
    <w:qFormat/>
    <w:uiPriority w:val="0"/>
    <w:pPr>
      <w:widowControl/>
      <w:adjustRightInd w:val="0"/>
      <w:snapToGrid w:val="0"/>
      <w:jc w:val="center"/>
    </w:pPr>
    <w:rPr>
      <w:rFonts w:eastAsia="仿宋_GB2312" w:cstheme="minorBidi"/>
      <w:kern w:val="0"/>
      <w:szCs w:val="22"/>
    </w:rPr>
  </w:style>
  <w:style w:type="table" w:customStyle="1" w:styleId="142">
    <w:name w:val="NJUAE"/>
    <w:basedOn w:val="32"/>
    <w:qFormat/>
    <w:uiPriority w:val="99"/>
    <w:pPr>
      <w:adjustRightInd w:val="0"/>
      <w:snapToGrid w:val="0"/>
      <w:jc w:val="both"/>
    </w:pPr>
    <w:rPr>
      <w:rFonts w:ascii="Times New Roman" w:hAnsi="Times New Roman" w:eastAsia="仿宋_GB2312" w:cs="Times New Roman"/>
      <w:kern w:val="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paragraph" w:customStyle="1" w:styleId="143">
    <w:name w:val="xl67"/>
    <w:basedOn w:val="1"/>
    <w:qFormat/>
    <w:uiPriority w:val="0"/>
    <w:pPr>
      <w:widowControl/>
      <w:pBdr>
        <w:left w:val="single" w:color="auto" w:sz="4" w:space="0"/>
      </w:pBdr>
      <w:spacing w:before="100" w:beforeAutospacing="1" w:after="100" w:afterAutospacing="1"/>
      <w:jc w:val="center"/>
    </w:pPr>
    <w:rPr>
      <w:rFonts w:hint="eastAsia" w:ascii="仿宋_GB2312" w:hAnsi="宋体" w:eastAsia="仿宋_GB2312"/>
      <w:kern w:val="0"/>
      <w:sz w:val="24"/>
    </w:rPr>
  </w:style>
  <w:style w:type="paragraph" w:customStyle="1" w:styleId="144">
    <w:name w:val="列出段落3"/>
    <w:basedOn w:val="1"/>
    <w:qFormat/>
    <w:uiPriority w:val="34"/>
    <w:pPr>
      <w:ind w:firstLine="420" w:firstLineChars="200"/>
    </w:pPr>
    <w:rPr>
      <w:sz w:val="24"/>
      <w:szCs w:val="20"/>
    </w:rPr>
  </w:style>
  <w:style w:type="paragraph" w:customStyle="1" w:styleId="145">
    <w:name w:val="表内表"/>
    <w:basedOn w:val="1"/>
    <w:qFormat/>
    <w:uiPriority w:val="0"/>
    <w:pPr>
      <w:adjustRightInd w:val="0"/>
      <w:snapToGrid w:val="0"/>
      <w:jc w:val="center"/>
    </w:pPr>
    <w:rPr>
      <w:szCs w:val="21"/>
    </w:rPr>
  </w:style>
  <w:style w:type="paragraph" w:customStyle="1" w:styleId="146">
    <w:name w:val="！正文"/>
    <w:basedOn w:val="1"/>
    <w:qFormat/>
    <w:uiPriority w:val="0"/>
    <w:pPr>
      <w:spacing w:line="360" w:lineRule="auto"/>
      <w:ind w:firstLine="200" w:firstLineChars="200"/>
    </w:pPr>
    <w:rPr>
      <w:rFonts w:eastAsia="仿宋_GB2312"/>
      <w:sz w:val="24"/>
      <w:szCs w:val="20"/>
    </w:rPr>
  </w:style>
  <w:style w:type="paragraph" w:customStyle="1" w:styleId="147">
    <w:name w:val="aurona"/>
    <w:basedOn w:val="1"/>
    <w:qFormat/>
    <w:uiPriority w:val="0"/>
    <w:pPr>
      <w:framePr w:hSpace="180" w:wrap="around" w:vAnchor="text" w:hAnchor="margin" w:y="64"/>
      <w:autoSpaceDE w:val="0"/>
      <w:autoSpaceDN w:val="0"/>
      <w:adjustRightInd w:val="0"/>
      <w:snapToGrid w:val="0"/>
      <w:jc w:val="center"/>
    </w:pPr>
    <w:rPr>
      <w:bCs/>
      <w:snapToGrid w:val="0"/>
      <w:color w:val="000000"/>
      <w:kern w:val="0"/>
      <w:szCs w:val="21"/>
      <w:lang w:val="zh-CN"/>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0.png"/><Relationship Id="rId27" Type="http://schemas.openxmlformats.org/officeDocument/2006/relationships/image" Target="media/image9.jpeg"/><Relationship Id="rId26" Type="http://schemas.openxmlformats.org/officeDocument/2006/relationships/image" Target="media/image8.wmf"/><Relationship Id="rId25" Type="http://schemas.openxmlformats.org/officeDocument/2006/relationships/oleObject" Target="embeddings/oleObject8.bin"/><Relationship Id="rId24" Type="http://schemas.openxmlformats.org/officeDocument/2006/relationships/image" Target="media/image7.emf"/><Relationship Id="rId23" Type="http://schemas.openxmlformats.org/officeDocument/2006/relationships/oleObject" Target="embeddings/oleObject7.bin"/><Relationship Id="rId22" Type="http://schemas.openxmlformats.org/officeDocument/2006/relationships/image" Target="media/image6.emf"/><Relationship Id="rId21" Type="http://schemas.openxmlformats.org/officeDocument/2006/relationships/oleObject" Target="embeddings/oleObject6.bin"/><Relationship Id="rId20" Type="http://schemas.openxmlformats.org/officeDocument/2006/relationships/image" Target="media/image5.emf"/><Relationship Id="rId2" Type="http://schemas.openxmlformats.org/officeDocument/2006/relationships/settings" Target="settings.xml"/><Relationship Id="rId19" Type="http://schemas.openxmlformats.org/officeDocument/2006/relationships/oleObject" Target="embeddings/oleObject5.bin"/><Relationship Id="rId18" Type="http://schemas.openxmlformats.org/officeDocument/2006/relationships/image" Target="media/image4.emf"/><Relationship Id="rId17" Type="http://schemas.openxmlformats.org/officeDocument/2006/relationships/oleObject" Target="embeddings/oleObject4.bin"/><Relationship Id="rId16" Type="http://schemas.openxmlformats.org/officeDocument/2006/relationships/image" Target="media/image3.emf"/><Relationship Id="rId15" Type="http://schemas.openxmlformats.org/officeDocument/2006/relationships/oleObject" Target="embeddings/oleObject3.bin"/><Relationship Id="rId14" Type="http://schemas.openxmlformats.org/officeDocument/2006/relationships/image" Target="media/image2.emf"/><Relationship Id="rId13" Type="http://schemas.openxmlformats.org/officeDocument/2006/relationships/oleObject" Target="embeddings/oleObject2.bin"/><Relationship Id="rId12" Type="http://schemas.openxmlformats.org/officeDocument/2006/relationships/image" Target="media/image1.emf"/><Relationship Id="rId11" Type="http://schemas.openxmlformats.org/officeDocument/2006/relationships/oleObject" Target="embeddings/oleObject1.bin"/><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101</Pages>
  <Words>572</Words>
  <Characters>625</Characters>
  <Lines>292</Lines>
  <Paragraphs>82</Paragraphs>
  <TotalTime>24</TotalTime>
  <ScaleCrop>false</ScaleCrop>
  <LinksUpToDate>false</LinksUpToDate>
  <CharactersWithSpaces>637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2023-02-13T08:21:00Z</dcterms:created>
  <dc:creator>lhj</dc:creator>
  <cp:lastModifiedBy>a moon</cp:lastModifiedBy>
  <cp:lastPrinted>2025-07-14T09:38:00Z</cp:lastPrinted>
  <dcterms:modified xsi:type="dcterms:W3CDTF">2025-07-15T08:26:52Z</dcterms:modified>
  <dc:title>附件2</dc:title>
  <cp:revision>3435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DC4C66C585CE42B99CC8442C8CFEC5F0_13</vt:lpwstr>
  </property>
  <property fmtid="{D5CDD505-2E9C-101B-9397-08002B2CF9AE}" pid="4" name="KSOTemplateDocerSaveRecord">
    <vt:lpwstr>eyJoZGlkIjoiOWIwOTc1N2ZjYTgzNTU1ZjhhMzEzZTEwYjExMzIyNmIiLCJ1c2VySWQiOiIyNjEyMzM3ODAifQ==</vt:lpwstr>
  </property>
</Properties>
</file>