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39DFA">
      <w:pPr>
        <w:spacing w:line="580" w:lineRule="exact"/>
        <w:rPr>
          <w:rFonts w:ascii="仿宋" w:hAnsi="仿宋" w:eastAsia="仿宋" w:cs="仿宋"/>
          <w:kern w:val="1"/>
          <w:sz w:val="32"/>
          <w:szCs w:val="32"/>
        </w:rPr>
      </w:pPr>
    </w:p>
    <w:p w14:paraId="3C071876">
      <w:pPr>
        <w:spacing w:line="580" w:lineRule="exact"/>
        <w:ind w:firstLine="160"/>
        <w:rPr>
          <w:rFonts w:ascii="仿宋" w:hAnsi="仿宋" w:eastAsia="仿宋" w:cs="仿宋"/>
          <w:kern w:val="1"/>
          <w:sz w:val="32"/>
          <w:szCs w:val="32"/>
        </w:rPr>
      </w:pPr>
      <w:r>
        <w:rPr>
          <w:rFonts w:hint="eastAsia" w:ascii="仿宋" w:hAnsi="仿宋" w:eastAsia="仿宋" w:cs="仿宋"/>
          <w:kern w:val="1"/>
          <w:sz w:val="32"/>
          <w:szCs w:val="32"/>
        </w:rPr>
        <w:t xml:space="preserve"> </w:t>
      </w:r>
    </w:p>
    <w:p w14:paraId="70090208">
      <w:pPr>
        <w:spacing w:line="580" w:lineRule="exact"/>
        <w:ind w:firstLine="160"/>
        <w:rPr>
          <w:rFonts w:ascii="仿宋" w:hAnsi="仿宋" w:eastAsia="仿宋" w:cs="仿宋"/>
          <w:kern w:val="1"/>
          <w:sz w:val="32"/>
          <w:szCs w:val="32"/>
        </w:rPr>
      </w:pPr>
    </w:p>
    <w:p w14:paraId="3A601DF4">
      <w:pPr>
        <w:spacing w:line="580" w:lineRule="exact"/>
        <w:ind w:firstLine="160"/>
        <w:rPr>
          <w:rFonts w:ascii="仿宋" w:hAnsi="仿宋" w:eastAsia="仿宋" w:cs="仿宋"/>
          <w:kern w:val="1"/>
          <w:sz w:val="32"/>
          <w:szCs w:val="32"/>
        </w:rPr>
      </w:pPr>
    </w:p>
    <w:p w14:paraId="52D4DA86">
      <w:pPr>
        <w:spacing w:line="580" w:lineRule="exact"/>
        <w:ind w:firstLine="160"/>
        <w:rPr>
          <w:rFonts w:ascii="仿宋" w:hAnsi="仿宋" w:eastAsia="仿宋" w:cs="仿宋"/>
          <w:kern w:val="1"/>
          <w:sz w:val="32"/>
          <w:szCs w:val="32"/>
        </w:rPr>
      </w:pPr>
    </w:p>
    <w:p w14:paraId="28626596">
      <w:pPr>
        <w:pStyle w:val="4"/>
      </w:pPr>
    </w:p>
    <w:p w14:paraId="08EE6C65">
      <w:pPr>
        <w:spacing w:before="312" w:line="560" w:lineRule="exact"/>
        <w:jc w:val="center"/>
        <w:rPr>
          <w:rFonts w:ascii="仿宋" w:hAnsi="仿宋" w:eastAsia="仿宋" w:cs="仿宋"/>
          <w:b/>
          <w:kern w:val="1"/>
          <w:sz w:val="36"/>
          <w:szCs w:val="36"/>
        </w:rPr>
      </w:pPr>
      <w:r>
        <w:rPr>
          <w:rFonts w:hint="eastAsia" w:ascii="仿宋" w:hAnsi="仿宋" w:eastAsia="仿宋" w:cs="仿宋"/>
          <w:kern w:val="1"/>
          <w:sz w:val="32"/>
          <w:szCs w:val="32"/>
        </w:rPr>
        <w:t>淮（涟）环表复〔202</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30</w:t>
      </w:r>
      <w:r>
        <w:rPr>
          <w:rFonts w:hint="eastAsia" w:ascii="仿宋" w:hAnsi="仿宋" w:eastAsia="仿宋" w:cs="仿宋"/>
          <w:kern w:val="1"/>
          <w:sz w:val="32"/>
          <w:szCs w:val="32"/>
        </w:rPr>
        <w:t>号</w:t>
      </w:r>
    </w:p>
    <w:p w14:paraId="0205ACDD">
      <w:pPr>
        <w:spacing w:line="560" w:lineRule="exact"/>
        <w:ind w:firstLine="160"/>
        <w:rPr>
          <w:rFonts w:ascii="仿宋" w:hAnsi="仿宋" w:eastAsia="仿宋" w:cs="仿宋"/>
          <w:kern w:val="1"/>
          <w:sz w:val="32"/>
          <w:szCs w:val="32"/>
        </w:rPr>
      </w:pPr>
    </w:p>
    <w:p w14:paraId="618620B6">
      <w:pPr>
        <w:spacing w:line="560" w:lineRule="exact"/>
        <w:ind w:firstLine="160"/>
        <w:rPr>
          <w:rFonts w:ascii="仿宋" w:hAnsi="仿宋" w:eastAsia="仿宋" w:cs="仿宋"/>
          <w:b/>
          <w:kern w:val="1"/>
          <w:sz w:val="36"/>
          <w:szCs w:val="36"/>
        </w:rPr>
      </w:pPr>
      <w:r>
        <w:rPr>
          <w:rFonts w:hint="eastAsia" w:ascii="仿宋" w:hAnsi="仿宋" w:eastAsia="仿宋" w:cs="仿宋"/>
          <w:kern w:val="1"/>
          <w:sz w:val="32"/>
          <w:szCs w:val="32"/>
        </w:rPr>
        <w:t xml:space="preserve">    </w:t>
      </w:r>
    </w:p>
    <w:p w14:paraId="5D5B2962">
      <w:pPr>
        <w:spacing w:line="600" w:lineRule="exact"/>
        <w:jc w:val="center"/>
        <w:rPr>
          <w:rFonts w:ascii="仿宋" w:hAnsi="仿宋" w:eastAsia="仿宋" w:cs="仿宋"/>
          <w:b/>
          <w:sz w:val="36"/>
          <w:szCs w:val="36"/>
        </w:rPr>
      </w:pPr>
    </w:p>
    <w:p w14:paraId="2CDBDA9F">
      <w:pPr>
        <w:spacing w:line="600" w:lineRule="exact"/>
        <w:jc w:val="center"/>
        <w:rPr>
          <w:rFonts w:hint="default" w:ascii="仿宋" w:hAnsi="仿宋" w:eastAsia="仿宋" w:cs="仿宋"/>
          <w:b/>
          <w:sz w:val="44"/>
          <w:szCs w:val="44"/>
          <w:lang w:val="en-US" w:eastAsia="zh-CN"/>
        </w:rPr>
      </w:pPr>
      <w:r>
        <w:rPr>
          <w:rFonts w:hint="eastAsia" w:ascii="仿宋" w:hAnsi="仿宋" w:eastAsia="仿宋" w:cs="仿宋"/>
          <w:b/>
          <w:sz w:val="44"/>
          <w:szCs w:val="44"/>
        </w:rPr>
        <w:t>关于对</w:t>
      </w:r>
      <w:r>
        <w:rPr>
          <w:rFonts w:hint="default" w:ascii="仿宋" w:hAnsi="仿宋" w:eastAsia="仿宋" w:cs="仿宋"/>
          <w:b/>
          <w:sz w:val="44"/>
          <w:szCs w:val="44"/>
          <w:lang w:val="en-US" w:eastAsia="zh-CN"/>
        </w:rPr>
        <w:t>中国石化销售股份有限公司</w:t>
      </w:r>
    </w:p>
    <w:p w14:paraId="0FFA8F65">
      <w:pPr>
        <w:spacing w:line="600" w:lineRule="exact"/>
        <w:jc w:val="center"/>
        <w:rPr>
          <w:rFonts w:hint="eastAsia" w:ascii="仿宋" w:hAnsi="仿宋" w:eastAsia="仿宋" w:cs="仿宋"/>
          <w:b/>
          <w:sz w:val="44"/>
          <w:szCs w:val="44"/>
        </w:rPr>
      </w:pPr>
      <w:r>
        <w:rPr>
          <w:rFonts w:hint="default" w:ascii="仿宋" w:hAnsi="仿宋" w:eastAsia="仿宋" w:cs="仿宋"/>
          <w:b/>
          <w:sz w:val="44"/>
          <w:szCs w:val="44"/>
          <w:lang w:val="en-US" w:eastAsia="zh-CN"/>
        </w:rPr>
        <w:t>江苏淮安石油分公司涟水清涟大道加油站</w:t>
      </w:r>
      <w:r>
        <w:rPr>
          <w:rFonts w:hint="eastAsia" w:ascii="仿宋" w:hAnsi="仿宋" w:eastAsia="仿宋" w:cs="仿宋"/>
          <w:b/>
          <w:sz w:val="44"/>
          <w:szCs w:val="44"/>
          <w:lang w:val="en-US" w:eastAsia="zh-CN"/>
        </w:rPr>
        <w:t>项目</w:t>
      </w:r>
      <w:r>
        <w:rPr>
          <w:rFonts w:hint="eastAsia" w:ascii="仿宋" w:hAnsi="仿宋" w:eastAsia="仿宋" w:cs="仿宋"/>
          <w:b/>
          <w:sz w:val="44"/>
          <w:szCs w:val="44"/>
        </w:rPr>
        <w:t>环境影响报告表的批复</w:t>
      </w:r>
    </w:p>
    <w:p w14:paraId="581890C5">
      <w:pPr>
        <w:spacing w:line="600" w:lineRule="exact"/>
        <w:ind w:firstLine="640" w:firstLineChars="200"/>
        <w:jc w:val="left"/>
        <w:rPr>
          <w:rFonts w:hint="eastAsia" w:ascii="仿宋" w:hAnsi="仿宋" w:eastAsia="仿宋" w:cs="仿宋"/>
          <w:kern w:val="1"/>
          <w:sz w:val="32"/>
          <w:szCs w:val="32"/>
          <w:shd w:val="clear" w:color="auto" w:fill="FFFFFF"/>
          <w:lang w:eastAsia="zh-CN"/>
        </w:rPr>
      </w:pPr>
      <w:r>
        <w:rPr>
          <w:rFonts w:hint="eastAsia" w:ascii="仿宋" w:hAnsi="仿宋" w:eastAsia="仿宋" w:cs="仿宋"/>
          <w:kern w:val="1"/>
          <w:sz w:val="32"/>
          <w:szCs w:val="32"/>
          <w:shd w:val="clear" w:color="auto" w:fill="FFFFFF"/>
          <w:lang w:eastAsia="zh-CN"/>
        </w:rPr>
        <w:t xml:space="preserve">    </w:t>
      </w:r>
    </w:p>
    <w:p w14:paraId="754F288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kern w:val="1"/>
          <w:sz w:val="32"/>
          <w:szCs w:val="32"/>
          <w:shd w:val="clear" w:color="auto" w:fill="FFFFFF"/>
          <w:lang w:val="en-US" w:eastAsia="zh-CN"/>
        </w:rPr>
      </w:pPr>
      <w:r>
        <w:rPr>
          <w:rFonts w:hint="default" w:ascii="仿宋" w:hAnsi="仿宋" w:eastAsia="仿宋" w:cs="仿宋"/>
          <w:kern w:val="1"/>
          <w:sz w:val="32"/>
          <w:szCs w:val="32"/>
          <w:shd w:val="clear" w:color="auto" w:fill="FFFFFF"/>
          <w:lang w:val="en-US" w:eastAsia="zh-CN"/>
        </w:rPr>
        <w:t>中国石化销售股份有限公司</w:t>
      </w:r>
      <w:r>
        <w:rPr>
          <w:rFonts w:hint="eastAsia" w:ascii="仿宋" w:hAnsi="仿宋" w:eastAsia="仿宋" w:cs="仿宋"/>
          <w:kern w:val="1"/>
          <w:sz w:val="32"/>
          <w:szCs w:val="32"/>
          <w:shd w:val="clear" w:color="auto" w:fill="FFFFFF"/>
          <w:lang w:val="en-US" w:eastAsia="zh-CN"/>
        </w:rPr>
        <w:t>：</w:t>
      </w:r>
    </w:p>
    <w:p w14:paraId="3EB636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lang w:val="en-US" w:eastAsia="zh-CN"/>
        </w:rPr>
        <w:t>你公司报送的由江苏全立环境科技有限公司孔德冠负责编写的《</w:t>
      </w:r>
      <w:r>
        <w:rPr>
          <w:rFonts w:hint="default" w:ascii="仿宋" w:hAnsi="仿宋" w:eastAsia="仿宋" w:cs="仿宋"/>
          <w:kern w:val="1"/>
          <w:sz w:val="32"/>
          <w:szCs w:val="32"/>
          <w:shd w:val="clear" w:color="auto" w:fill="FFFFFF"/>
          <w:lang w:val="en-US" w:eastAsia="zh-CN"/>
        </w:rPr>
        <w:t>中国石化销售股份有限公司江苏淮安石油分公司涟水清涟大道加油站</w:t>
      </w:r>
      <w:r>
        <w:rPr>
          <w:rFonts w:hint="eastAsia" w:ascii="仿宋" w:hAnsi="仿宋" w:eastAsia="仿宋" w:cs="仿宋"/>
          <w:kern w:val="1"/>
          <w:sz w:val="32"/>
          <w:szCs w:val="32"/>
          <w:shd w:val="clear" w:color="auto" w:fill="FFFFFF"/>
          <w:lang w:val="en-US" w:eastAsia="zh-CN"/>
        </w:rPr>
        <w:t>项目环境影响报告表》（以下简称《报告表》）、及相关资料收悉，经两次公示，未收到与本项目相关的意见和建议。经研究，批复如下：</w:t>
      </w:r>
    </w:p>
    <w:p w14:paraId="12AEE2F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lang w:val="en-US" w:eastAsia="zh-CN"/>
        </w:rPr>
        <w:t>一、根据《报告表》意见和结论，在严格落实《报告表》提出的各项生态保护、污染防治和风险防范措施的前提下，仅从环保角度考虑，原则同意按《报告表》中所列建设项目的性质</w:t>
      </w:r>
      <w:bookmarkStart w:id="0" w:name="_Hlk40977407"/>
      <w:r>
        <w:rPr>
          <w:rFonts w:hint="eastAsia" w:ascii="仿宋" w:hAnsi="仿宋" w:eastAsia="仿宋" w:cs="仿宋"/>
          <w:kern w:val="1"/>
          <w:sz w:val="32"/>
          <w:szCs w:val="32"/>
          <w:shd w:val="clear" w:color="auto" w:fill="FFFFFF"/>
          <w:lang w:val="en-US" w:eastAsia="zh-CN"/>
        </w:rPr>
        <w:t>、</w:t>
      </w:r>
      <w:bookmarkEnd w:id="0"/>
      <w:r>
        <w:rPr>
          <w:rFonts w:hint="eastAsia" w:ascii="仿宋" w:hAnsi="仿宋" w:eastAsia="仿宋" w:cs="仿宋"/>
          <w:kern w:val="1"/>
          <w:sz w:val="32"/>
          <w:szCs w:val="32"/>
          <w:shd w:val="clear" w:color="auto" w:fill="FFFFFF"/>
          <w:lang w:val="en-US" w:eastAsia="zh-CN"/>
        </w:rPr>
        <w:t>规模、地点、采用的生产工艺及采取的环境保护措施建设，不得选用国家法律、法规和《国家产业结构调整指导目录》及其他相关产业政策明令禁止、淘汰、限制的工</w:t>
      </w:r>
      <w:r>
        <w:rPr>
          <w:rFonts w:hint="eastAsia" w:ascii="仿宋" w:hAnsi="仿宋" w:eastAsia="仿宋" w:cs="仿宋"/>
          <w:kern w:val="1"/>
          <w:sz w:val="32"/>
          <w:szCs w:val="32"/>
          <w:shd w:val="clear" w:color="auto" w:fill="FFFFFF"/>
        </w:rPr>
        <w:t>艺和设备，本《报告表》作为该项目环境管理的</w:t>
      </w:r>
      <w:r>
        <w:rPr>
          <w:rFonts w:hint="eastAsia" w:ascii="仿宋" w:hAnsi="仿宋" w:eastAsia="仿宋" w:cs="仿宋"/>
          <w:kern w:val="1"/>
          <w:sz w:val="32"/>
          <w:szCs w:val="32"/>
          <w:shd w:val="clear" w:color="auto" w:fill="FFFFFF"/>
          <w:lang w:eastAsia="zh-CN"/>
        </w:rPr>
        <w:t>主要</w:t>
      </w:r>
      <w:r>
        <w:rPr>
          <w:rFonts w:hint="eastAsia" w:ascii="仿宋" w:hAnsi="仿宋" w:eastAsia="仿宋" w:cs="仿宋"/>
          <w:kern w:val="1"/>
          <w:sz w:val="32"/>
          <w:szCs w:val="32"/>
          <w:shd w:val="clear" w:color="auto" w:fill="FFFFFF"/>
        </w:rPr>
        <w:t>依据。</w:t>
      </w:r>
    </w:p>
    <w:p w14:paraId="6FEF678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二、项目基本情况：</w:t>
      </w:r>
    </w:p>
    <w:p w14:paraId="4AE3A2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kern w:val="1"/>
          <w:sz w:val="32"/>
          <w:szCs w:val="32"/>
          <w:shd w:val="clear" w:color="auto" w:fill="FFFFFF"/>
          <w:lang w:val="en-US" w:eastAsia="zh-CN"/>
        </w:rPr>
        <w:t>1、投</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资项目备案：涟商发〔2025〕3号，项目代码：2503-320826-04-01-591754，统一社会信用代码：91320800722223396G。</w:t>
      </w:r>
    </w:p>
    <w:p w14:paraId="09CCFA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项目位于江苏省淮安市涟水县清涟大道北侧、涟西二干渠西侧（北纬：北纬33度46分52.949秒，119度12分7.779秒），本项目占地4413.96平方米。购置汽油储罐3个、柴油储罐1个、加油机3台、油气回收系统1套、电变箱1台、充电桩1台，以92#汽油、95#汽油、98#汽油、0#柴油等为原辅料，</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本项目建成后预计全年销量汽油3480吨，销售柴油520吨，合计销售油品4000吨</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p>
    <w:p w14:paraId="2D83ED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3、项目总投资1700万元，其中环保投资85万元。</w:t>
      </w:r>
    </w:p>
    <w:p w14:paraId="77791E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color w:val="000000" w:themeColor="text1"/>
          <w:kern w:val="1"/>
          <w:sz w:val="32"/>
          <w:szCs w:val="32"/>
          <w:shd w:val="clear" w:color="auto" w:fill="FFFFFF"/>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三、你公司在项目设计、建设和运行过程中，必须</w:t>
      </w:r>
      <w:r>
        <w:rPr>
          <w:rFonts w:hint="eastAsia" w:ascii="仿宋" w:hAnsi="仿宋" w:eastAsia="仿宋" w:cs="仿宋"/>
          <w:color w:val="000000" w:themeColor="text1"/>
          <w:kern w:val="1"/>
          <w:sz w:val="32"/>
          <w:szCs w:val="32"/>
          <w:shd w:val="clear" w:color="auto" w:fill="FFFFFF"/>
          <w14:textFill>
            <w14:solidFill>
              <w14:schemeClr w14:val="tx1"/>
            </w14:solidFill>
          </w14:textFill>
        </w:rPr>
        <w:t>落实《报告表》中提出的各项生态保护和污染防治措施及建议，并对照以下要求做到污染防治设施与项目主体工程同时设计、同时施工、同时投入生产(使用)。</w:t>
      </w:r>
    </w:p>
    <w:p w14:paraId="39719C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14:textFill>
            <w14:solidFill>
              <w14:schemeClr w14:val="tx1"/>
            </w14:solidFill>
          </w14:textFill>
        </w:rPr>
        <w:t>1、全过程贯彻清洁生产和循环经济理念，采用先进工艺和先进设备，加强生产管理和环境管理，最大程度地减少各类污染物的产</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 xml:space="preserve">生量和排放量；单位产品物耗、能耗和污染物排放等指标须达到国内同行业清洁生产先进水平。 </w:t>
      </w:r>
    </w:p>
    <w:p w14:paraId="2E5B2A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2、按“雨污分流、清污分流、一水多用”的原则设计和建设厂区给排水管网。本项目废水主要为生活污水，经化粪池处理，达到空港产业园污水处理厂接管标准要求后，通过市政污水管网进入空港产业园污水处理厂进行深度处理，经处理达到《城镇污水处理厂污染物排放标准》（GB18918-2002）中的一级A标准后，尾水排入盐河。</w:t>
      </w:r>
    </w:p>
    <w:p w14:paraId="68E956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3、本项目运营阶段产生的废气主要为卸油损失、储油罐呼吸损失、加油损失所排放的油气（以非甲烷总烃计）、机动车尾气。加油站设置油气回收系统（仅针对汽油），其余废气以无组织形式排放。施工期产生的废气主要为施工扬尘、材料堆场扬尘、施工设备如汽车等排放的废气。工地周围应设置不低于2米的遮挡围墙或遮板，并严禁在挡墙外堆放施工材料、建筑垃圾和渣土，施工期增加防尘网和洒水抑尘。施工扬尘废气、材料堆场扬尘执行《施工场地扬尘排放标准》（DB32/4437-2022）中表1施工场地扬尘排放浓度限值；施工期机械车辆燃油废气中的</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CO</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NMHC</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、二氧化硫、氮氧化物等执行《大气污染物综合排放标准》（</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DB32/4041-2021</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）表</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排放浓度限值。本项目厂区内非甲烷总烃排放标准执行《大气污染物综合排放标准》（DB32/4041-2021）表2厂区内VOCs无组织排放限值；厂界处非甲烷总烃排放执行《加油站大气污染物排放标准》（GB20952-2020）中表3油气浓度无组织排放限值。</w:t>
      </w:r>
    </w:p>
    <w:p w14:paraId="428D20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4、</w:t>
      </w:r>
      <w:r>
        <w:rPr>
          <w:rFonts w:hint="default" w:ascii="仿宋" w:hAnsi="仿宋" w:eastAsia="仿宋" w:cs="仿宋"/>
          <w:color w:val="000000" w:themeColor="text1"/>
          <w:kern w:val="1"/>
          <w:sz w:val="32"/>
          <w:szCs w:val="32"/>
          <w:shd w:val="clear" w:color="auto" w:fill="FFFFFF"/>
          <w:lang w:val="en-US" w:eastAsia="zh-CN"/>
          <w14:textFill>
            <w14:solidFill>
              <w14:schemeClr w14:val="tx1"/>
            </w14:solidFill>
          </w14:textFill>
        </w:rPr>
        <w:t>本项目营运期</w:t>
      </w: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噪声主要为加油机、油泵、真空泵、运油槽罐车和加油车辆在进出加油站时产生的交通噪声。须选用低噪声设备，采取采用低噪声设备、基础减振、加强对企业操作人员的业务管理，加强设备的维护保养，确保设备处于良好的运转状态、厂区种植绿化带，以美化环境和降噪等措施降噪。营运期厂界东侧、西侧、北侧执行《工业企业厂界环境噪声排放标准》（GB12348-2008）2类标准；南侧邻近清涟大道，为4a类声环境功能区，执行《工业企业厂界环境噪声排放标准》（GB12348-2008）4类标准。</w:t>
      </w:r>
    </w:p>
    <w:p w14:paraId="378F05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5、本项目营运期间产生固体废物主要为生活垃圾、废含油抹布及手套、化粪池污泥、油罐清理废物等。其中生活垃圾、废含油抹布及手套、化粪池污泥属于一般工业固废，收集后由环卫部门清运；油罐清理废物属于危险废物，须委托有资质单位处置。本项目危险废物执行《危险废物贮存污染控制标准》（GB18597-2023）、《危险废物鉴别标准通则》（GB5085.7-2019）、《危险废物鉴别技术规范》（HJ298-2019）、《危险废物收集贮存运输技术规范》（HJ2025-2012）、《江苏省危险废物集中收集体系建设工作方案（试行）》（苏环办〔2021〕290号）中相关规定；固废贮存场所标志执行《环境保护图形标志固体废物贮存（处置）场》（GB15562.2-1995）及修改单、《省生态环境厅关于做好江苏省危险废物全生命周期监控系统上线运行工作的通知》（苏环办〔2020〕401号）、《危险废物识别标志设置技术规范》（HJ1276-2022）中相关规定。一般工业固体废物储存采用库房进行暂存，按照《一般工业固体废物贮存和填埋污染控制标准》（GB18599-2020）执行；固体废物属性鉴别执行《固体废物鉴别标准通则》（GB34330-2017）相关规定）；一般工业废物执行《关于进一步完善一般工业固体废物环境管理的通知》（苏环办〔2023〕327号）、《江苏省固体废物全过程环境监管工作意见》（苏环办〔2024〕16号）；生活垃圾的储存与处置参照执行《城市生活垃圾管理办法》（建设部令第157号）。所有固废零排放。</w:t>
      </w:r>
    </w:p>
    <w:p w14:paraId="4358F7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color w:val="000000" w:themeColor="text1"/>
          <w:kern w:val="1"/>
          <w:sz w:val="32"/>
          <w:szCs w:val="32"/>
          <w:shd w:val="clear" w:color="auto" w:fill="FFFFFF"/>
          <w:lang w:val="en-US" w:eastAsia="zh-CN"/>
          <w14:textFill>
            <w14:solidFill>
              <w14:schemeClr w14:val="tx1"/>
            </w14:solidFill>
          </w14:textFill>
        </w:rPr>
        <w:t>6、必须高度重视安全生产，对污染防治设施进行安全风险辨别和强化管理，强化事故风险环境应急措施，按环评报告表要求建设和配置防范事故风险的设</w:t>
      </w:r>
      <w:r>
        <w:rPr>
          <w:rFonts w:hint="eastAsia" w:ascii="仿宋" w:hAnsi="仿宋" w:eastAsia="仿宋" w:cs="仿宋"/>
          <w:kern w:val="1"/>
          <w:sz w:val="32"/>
          <w:szCs w:val="32"/>
          <w:shd w:val="clear" w:color="auto" w:fill="FFFFFF"/>
        </w:rPr>
        <w:t>施</w:t>
      </w:r>
      <w:r>
        <w:rPr>
          <w:rFonts w:hint="eastAsia" w:ascii="仿宋" w:hAnsi="仿宋" w:eastAsia="仿宋" w:cs="仿宋"/>
          <w:kern w:val="1"/>
          <w:sz w:val="32"/>
          <w:szCs w:val="32"/>
          <w:shd w:val="clear" w:color="auto" w:fill="FFFFFF"/>
          <w:lang w:eastAsia="zh-CN"/>
        </w:rPr>
        <w:t>并编制环境应急预案</w:t>
      </w:r>
      <w:r>
        <w:rPr>
          <w:rFonts w:hint="eastAsia" w:ascii="仿宋" w:hAnsi="仿宋" w:eastAsia="仿宋" w:cs="仿宋"/>
          <w:kern w:val="1"/>
          <w:sz w:val="32"/>
          <w:szCs w:val="32"/>
          <w:shd w:val="clear" w:color="auto" w:fill="FFFFFF"/>
        </w:rPr>
        <w:t>，将环境风险防范措施</w:t>
      </w:r>
      <w:r>
        <w:rPr>
          <w:rFonts w:hint="eastAsia" w:ascii="仿宋" w:hAnsi="仿宋" w:eastAsia="仿宋" w:cs="仿宋"/>
          <w:kern w:val="1"/>
          <w:sz w:val="32"/>
          <w:szCs w:val="32"/>
          <w:shd w:val="clear" w:color="auto" w:fill="FFFFFF"/>
          <w:lang w:eastAsia="zh-CN"/>
        </w:rPr>
        <w:t>以及污染防治设施安全防范措施</w:t>
      </w:r>
      <w:r>
        <w:rPr>
          <w:rFonts w:hint="eastAsia" w:ascii="仿宋" w:hAnsi="仿宋" w:eastAsia="仿宋" w:cs="仿宋"/>
          <w:kern w:val="1"/>
          <w:sz w:val="32"/>
          <w:szCs w:val="32"/>
          <w:shd w:val="clear" w:color="auto" w:fill="FFFFFF"/>
        </w:rPr>
        <w:t>落实情况纳入“三同时”验收内容。</w:t>
      </w:r>
    </w:p>
    <w:p w14:paraId="7F15F014">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7、</w:t>
      </w:r>
      <w:r>
        <w:rPr>
          <w:rFonts w:hint="eastAsia" w:ascii="仿宋" w:hAnsi="仿宋" w:eastAsia="仿宋" w:cs="仿宋"/>
          <w:kern w:val="1"/>
          <w:sz w:val="32"/>
          <w:szCs w:val="32"/>
          <w:shd w:val="clear" w:color="auto" w:fill="FFFFFF"/>
          <w:lang w:eastAsia="zh-CN"/>
        </w:rPr>
        <w:t>按照</w:t>
      </w:r>
      <w:r>
        <w:rPr>
          <w:rFonts w:hint="eastAsia" w:ascii="仿宋" w:hAnsi="仿宋" w:eastAsia="仿宋" w:cs="仿宋"/>
          <w:kern w:val="1"/>
          <w:sz w:val="32"/>
          <w:szCs w:val="32"/>
          <w:shd w:val="clear" w:color="auto" w:fill="FFFFFF"/>
        </w:rPr>
        <w:t>《江苏省排污口设置及规范化整治管理办法》的要求合理设置各类排污口和标识，按照《江苏省污染源自动监控管理暂行办法》（苏环规</w:t>
      </w:r>
      <w:r>
        <w:rPr>
          <w:rFonts w:hint="eastAsia" w:ascii="仿宋" w:hAnsi="仿宋" w:eastAsia="仿宋" w:cs="仿宋"/>
          <w:kern w:val="1"/>
          <w:sz w:val="32"/>
          <w:szCs w:val="32"/>
        </w:rPr>
        <w:t>〔20</w:t>
      </w:r>
      <w:r>
        <w:rPr>
          <w:rFonts w:hint="eastAsia" w:ascii="仿宋" w:hAnsi="仿宋" w:eastAsia="仿宋" w:cs="仿宋"/>
          <w:kern w:val="1"/>
          <w:sz w:val="32"/>
          <w:szCs w:val="32"/>
          <w:lang w:val="en-US" w:eastAsia="zh-CN"/>
        </w:rPr>
        <w:t>11</w:t>
      </w:r>
      <w:r>
        <w:rPr>
          <w:rFonts w:hint="eastAsia" w:ascii="仿宋" w:hAnsi="仿宋" w:eastAsia="仿宋" w:cs="仿宋"/>
          <w:kern w:val="1"/>
          <w:sz w:val="32"/>
          <w:szCs w:val="32"/>
        </w:rPr>
        <w:t>〕</w:t>
      </w:r>
      <w:r>
        <w:rPr>
          <w:rFonts w:hint="eastAsia" w:ascii="仿宋" w:hAnsi="仿宋" w:eastAsia="仿宋" w:cs="仿宋"/>
          <w:kern w:val="1"/>
          <w:sz w:val="32"/>
          <w:szCs w:val="32"/>
          <w:shd w:val="clear" w:color="auto" w:fill="FFFFFF"/>
        </w:rPr>
        <w:t>1号）及相关管理要求安装自动监控设备及其配套设施，并与生态环境部门联网。</w:t>
      </w:r>
    </w:p>
    <w:p w14:paraId="389DBA78">
      <w:pPr>
        <w:keepNext w:val="0"/>
        <w:keepLines w:val="0"/>
        <w:pageBreakBefore w:val="0"/>
        <w:widowControl/>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8、加强厂区绿化，在厂界四周建设绿化隔离带，以减轻废气及噪声对周围环境的影响。</w:t>
      </w:r>
    </w:p>
    <w:p w14:paraId="5FC6A557">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9、按照环评报告以及相关规定要求制定并落实各项环境管理制度和环境监测计划、方案。</w:t>
      </w:r>
    </w:p>
    <w:p w14:paraId="64C2EA7B">
      <w:pPr>
        <w:pStyle w:val="29"/>
        <w:spacing w:line="500" w:lineRule="exact"/>
        <w:ind w:firstLine="480"/>
        <w:rPr>
          <w:rFonts w:hint="eastAsia" w:ascii="仿宋" w:hAnsi="仿宋" w:eastAsia="仿宋" w:cs="仿宋"/>
          <w:kern w:val="1"/>
          <w:sz w:val="32"/>
          <w:szCs w:val="32"/>
          <w:shd w:val="clear" w:color="auto" w:fill="FFFFFF"/>
          <w:lang w:val="en-US" w:eastAsia="zh-CN"/>
        </w:rPr>
      </w:pPr>
      <w:r>
        <w:rPr>
          <w:rFonts w:hint="eastAsia" w:ascii="仿宋" w:hAnsi="仿宋" w:eastAsia="仿宋" w:cs="仿宋"/>
          <w:kern w:val="1"/>
          <w:sz w:val="32"/>
          <w:szCs w:val="32"/>
          <w:shd w:val="clear" w:color="auto" w:fill="FFFFFF"/>
        </w:rPr>
        <w:t>10、</w:t>
      </w:r>
      <w:r>
        <w:rPr>
          <w:rFonts w:hint="eastAsia" w:ascii="仿宋" w:hAnsi="仿宋" w:eastAsia="仿宋" w:cs="仿宋"/>
          <w:kern w:val="1"/>
          <w:sz w:val="32"/>
          <w:szCs w:val="32"/>
          <w:shd w:val="clear" w:color="auto" w:fill="FFFFFF"/>
          <w:lang w:eastAsia="zh-CN"/>
        </w:rPr>
        <w:t>本项</w:t>
      </w:r>
      <w:r>
        <w:rPr>
          <w:rFonts w:hint="eastAsia" w:ascii="仿宋" w:hAnsi="仿宋" w:eastAsia="仿宋" w:cs="仿宋"/>
          <w:color w:val="000000"/>
          <w:kern w:val="1"/>
          <w:sz w:val="32"/>
          <w:szCs w:val="32"/>
          <w:shd w:val="clear" w:color="auto" w:fill="FFFFFF"/>
          <w:lang w:val="en-US" w:eastAsia="zh-CN" w:bidi="ar-SA"/>
        </w:rPr>
        <w:t>目</w:t>
      </w:r>
      <w:r>
        <w:rPr>
          <w:rFonts w:hint="eastAsia" w:ascii="仿宋" w:hAnsi="仿宋" w:eastAsia="仿宋" w:cs="仿宋"/>
          <w:color w:val="000000"/>
          <w:kern w:val="1"/>
          <w:sz w:val="32"/>
          <w:szCs w:val="32"/>
          <w:shd w:val="clear" w:color="auto" w:fill="FFFFFF"/>
          <w:lang w:val="fr-FR" w:eastAsia="zh-CN" w:bidi="ar-SA"/>
        </w:rPr>
        <w:t>以</w:t>
      </w:r>
      <w:r>
        <w:rPr>
          <w:rFonts w:hint="eastAsia" w:ascii="仿宋" w:hAnsi="仿宋" w:eastAsia="仿宋" w:cs="仿宋"/>
          <w:color w:val="000000"/>
          <w:kern w:val="1"/>
          <w:sz w:val="32"/>
          <w:szCs w:val="32"/>
          <w:shd w:val="clear" w:color="auto" w:fill="FFFFFF"/>
          <w:lang w:val="en-US" w:eastAsia="zh-CN" w:bidi="ar-SA"/>
        </w:rPr>
        <w:t>加油站边界为起点设置50m卫生防护距离。</w:t>
      </w:r>
      <w:r>
        <w:rPr>
          <w:rFonts w:hint="eastAsia" w:ascii="仿宋" w:hAnsi="仿宋" w:eastAsia="仿宋" w:cs="仿宋"/>
          <w:color w:val="000000"/>
          <w:kern w:val="1"/>
          <w:sz w:val="32"/>
          <w:szCs w:val="32"/>
          <w:shd w:val="clear" w:color="auto" w:fill="FFFFFF"/>
          <w:lang w:val="fr-FR" w:eastAsia="zh-CN" w:bidi="ar-SA"/>
        </w:rPr>
        <w:t>本项目卫生防护距离内无环境敏感目标。同时应严格遵守本</w:t>
      </w:r>
      <w:r>
        <w:rPr>
          <w:rFonts w:hint="eastAsia" w:ascii="仿宋" w:hAnsi="仿宋" w:eastAsia="仿宋" w:cs="仿宋"/>
          <w:kern w:val="1"/>
          <w:sz w:val="32"/>
          <w:szCs w:val="32"/>
          <w:shd w:val="clear" w:color="auto" w:fill="FFFFFF"/>
          <w:lang w:val="fr-FR" w:eastAsia="zh-CN"/>
        </w:rPr>
        <w:t>次评价设定的卫生防护距离，防护距离内不得建设居民区、学校等环境敏感目标。</w:t>
      </w:r>
    </w:p>
    <w:p w14:paraId="7F613E74">
      <w:pPr>
        <w:spacing w:line="460" w:lineRule="exact"/>
        <w:ind w:firstLine="640" w:firstLineChars="200"/>
        <w:rPr>
          <w:rFonts w:hint="eastAsia" w:ascii="仿宋" w:hAnsi="仿宋" w:eastAsia="仿宋" w:cs="仿宋"/>
          <w:kern w:val="1"/>
          <w:sz w:val="32"/>
          <w:szCs w:val="32"/>
          <w:shd w:val="clear" w:color="auto" w:fill="FFFFFF"/>
          <w:lang w:val="en-US" w:eastAsia="zh-CN"/>
        </w:rPr>
      </w:pPr>
      <w:r>
        <w:rPr>
          <w:rFonts w:hint="eastAsia" w:ascii="仿宋" w:hAnsi="仿宋" w:eastAsia="仿宋" w:cs="仿宋"/>
          <w:color w:val="000000"/>
          <w:kern w:val="1"/>
          <w:sz w:val="32"/>
          <w:szCs w:val="32"/>
          <w:shd w:val="clear" w:color="auto" w:fill="FFFFFF"/>
          <w:lang w:val="en-US" w:eastAsia="zh-CN" w:bidi="ar-SA"/>
        </w:rPr>
        <w:t>四、本项目建成</w:t>
      </w:r>
      <w:r>
        <w:rPr>
          <w:rFonts w:hint="eastAsia" w:ascii="仿宋" w:hAnsi="仿宋" w:eastAsia="仿宋" w:cs="仿宋"/>
          <w:kern w:val="1"/>
          <w:sz w:val="32"/>
          <w:szCs w:val="32"/>
          <w:shd w:val="clear" w:color="auto" w:fill="FFFFFF"/>
          <w:lang w:val="en-US" w:eastAsia="zh-CN"/>
        </w:rPr>
        <w:t>后全厂各类污染物年排放总量暂定为：</w:t>
      </w:r>
    </w:p>
    <w:p w14:paraId="4DCC0969">
      <w:pPr>
        <w:widowControl w:val="0"/>
        <w:snapToGrid w:val="0"/>
        <w:spacing w:line="480" w:lineRule="exact"/>
        <w:ind w:firstLine="645"/>
        <w:rPr>
          <w:rFonts w:hint="eastAsia" w:ascii="仿宋_GB2312" w:hAnsi="宋体" w:eastAsia="仿宋_GB2312" w:cs="宋体"/>
          <w:sz w:val="32"/>
          <w:szCs w:val="32"/>
        </w:rPr>
      </w:pPr>
      <w:r>
        <w:rPr>
          <w:rFonts w:hint="eastAsia" w:ascii="仿宋_GB2312" w:hAnsi="仿宋" w:eastAsia="仿宋_GB2312"/>
          <w:sz w:val="32"/>
          <w:szCs w:val="32"/>
        </w:rPr>
        <w:t>1</w:t>
      </w:r>
      <w:r>
        <w:rPr>
          <w:rFonts w:hint="eastAsia" w:ascii="仿宋_GB2312" w:eastAsia="仿宋_GB2312"/>
          <w:sz w:val="32"/>
          <w:szCs w:val="32"/>
        </w:rPr>
        <w:t>、大气污染物：非甲烷总烃≤</w:t>
      </w:r>
      <w:r>
        <w:rPr>
          <w:rFonts w:hint="default" w:ascii="仿宋_GB2312" w:hAnsi="宋体" w:eastAsia="仿宋_GB2312" w:cs="宋体"/>
          <w:sz w:val="32"/>
          <w:szCs w:val="32"/>
          <w:lang w:val="en-US" w:eastAsia="zh-CN"/>
        </w:rPr>
        <w:t>0.9289</w:t>
      </w:r>
      <w:r>
        <w:rPr>
          <w:rFonts w:hint="eastAsia" w:ascii="仿宋_GB2312" w:hAnsi="宋体" w:eastAsia="仿宋_GB2312" w:cs="宋体"/>
          <w:sz w:val="32"/>
          <w:szCs w:val="32"/>
        </w:rPr>
        <w:t>吨。</w:t>
      </w:r>
    </w:p>
    <w:p w14:paraId="6D6F9F6C">
      <w:pPr>
        <w:widowControl w:val="0"/>
        <w:snapToGrid w:val="0"/>
        <w:spacing w:line="480" w:lineRule="exact"/>
        <w:ind w:firstLine="645"/>
        <w:rPr>
          <w:rFonts w:hint="eastAsia" w:ascii="仿宋_GB2312" w:hAnsi="宋体" w:eastAsia="仿宋_GB2312" w:cs="宋体"/>
          <w:sz w:val="32"/>
          <w:szCs w:val="32"/>
        </w:rPr>
      </w:pPr>
      <w:r>
        <w:rPr>
          <w:rFonts w:hint="eastAsia" w:ascii="仿宋" w:hAnsi="仿宋" w:eastAsia="仿宋" w:cs="仿宋"/>
          <w:b w:val="0"/>
          <w:bCs/>
          <w:color w:val="000000" w:themeColor="text1"/>
          <w:kern w:val="1"/>
          <w:sz w:val="32"/>
          <w:szCs w:val="32"/>
          <w:shd w:val="clear" w:color="auto" w:fill="FFFFFF"/>
          <w:lang w:val="en-US" w:eastAsia="zh-CN" w:bidi="ar-SA"/>
          <w14:textFill>
            <w14:solidFill>
              <w14:schemeClr w14:val="tx1"/>
            </w14:solidFill>
          </w14:textFill>
        </w:rPr>
        <w:t>1、水污染物</w:t>
      </w:r>
      <w:r>
        <w:rPr>
          <w:rFonts w:hint="eastAsia" w:ascii="仿宋_GB2312" w:hAnsi="宋体" w:eastAsia="仿宋_GB2312" w:cs="宋体"/>
          <w:sz w:val="32"/>
          <w:szCs w:val="32"/>
          <w:lang w:val="en-US" w:eastAsia="zh-CN"/>
        </w:rPr>
        <w:t>（接管量／外排量）：废水量≤</w:t>
      </w:r>
      <w:r>
        <w:rPr>
          <w:rFonts w:hint="default" w:ascii="仿宋_GB2312" w:hAnsi="宋体" w:eastAsia="仿宋_GB2312" w:cs="宋体"/>
          <w:sz w:val="32"/>
          <w:szCs w:val="32"/>
          <w:lang w:val="en-US" w:eastAsia="zh-CN"/>
        </w:rPr>
        <w:t>408.8</w:t>
      </w:r>
      <w:r>
        <w:rPr>
          <w:rFonts w:hint="eastAsia" w:ascii="仿宋_GB2312" w:hAnsi="宋体" w:eastAsia="仿宋_GB2312" w:cs="宋体"/>
          <w:sz w:val="32"/>
          <w:szCs w:val="32"/>
          <w:lang w:val="en-US" w:eastAsia="zh-CN"/>
        </w:rPr>
        <w:t>吨、COD≤</w:t>
      </w:r>
      <w:r>
        <w:rPr>
          <w:rFonts w:hint="default" w:ascii="仿宋_GB2312" w:hAnsi="宋体" w:eastAsia="仿宋_GB2312" w:cs="宋体"/>
          <w:sz w:val="32"/>
          <w:szCs w:val="32"/>
          <w:lang w:val="en-US" w:eastAsia="zh-CN"/>
        </w:rPr>
        <w:t>0.0792</w:t>
      </w:r>
      <w:r>
        <w:rPr>
          <w:rFonts w:hint="eastAsia" w:ascii="仿宋_GB2312" w:eastAsia="仿宋_GB2312" w:cs="宋体"/>
          <w:sz w:val="32"/>
          <w:szCs w:val="32"/>
          <w:lang w:val="en-US" w:eastAsia="zh-CN"/>
        </w:rPr>
        <w:t>/0.0204</w:t>
      </w:r>
      <w:r>
        <w:rPr>
          <w:rFonts w:hint="eastAsia" w:ascii="仿宋_GB2312" w:hAnsi="宋体" w:eastAsia="仿宋_GB2312" w:cs="宋体"/>
          <w:sz w:val="32"/>
          <w:szCs w:val="32"/>
          <w:lang w:val="en-US" w:eastAsia="zh-CN"/>
        </w:rPr>
        <w:t>吨、</w:t>
      </w:r>
      <w:r>
        <w:rPr>
          <w:rFonts w:hint="eastAsia" w:ascii="仿宋_GB2312" w:eastAsia="仿宋_GB2312" w:cs="宋体"/>
          <w:sz w:val="32"/>
          <w:szCs w:val="32"/>
          <w:lang w:val="en-US" w:eastAsia="zh-CN"/>
        </w:rPr>
        <w:t>SS</w:t>
      </w:r>
      <w:r>
        <w:rPr>
          <w:rFonts w:hint="eastAsia" w:ascii="仿宋_GB2312" w:hAnsi="宋体" w:eastAsia="仿宋_GB2312" w:cs="宋体"/>
          <w:sz w:val="32"/>
          <w:szCs w:val="32"/>
          <w:lang w:val="en-US" w:eastAsia="zh-CN"/>
        </w:rPr>
        <w:t>≤</w:t>
      </w:r>
      <w:r>
        <w:rPr>
          <w:rFonts w:hint="default" w:ascii="仿宋_GB2312" w:hAnsi="宋体" w:eastAsia="仿宋_GB2312" w:cs="宋体"/>
          <w:sz w:val="32"/>
          <w:szCs w:val="32"/>
          <w:lang w:val="en-US" w:eastAsia="zh-CN"/>
        </w:rPr>
        <w:t>0.0552</w:t>
      </w:r>
      <w:r>
        <w:rPr>
          <w:rFonts w:hint="eastAsia" w:ascii="仿宋_GB2312" w:eastAsia="仿宋_GB2312" w:cs="宋体"/>
          <w:sz w:val="32"/>
          <w:szCs w:val="32"/>
          <w:lang w:val="en-US" w:eastAsia="zh-CN"/>
        </w:rPr>
        <w:t>/0.0041</w:t>
      </w:r>
      <w:r>
        <w:rPr>
          <w:rFonts w:hint="eastAsia" w:ascii="仿宋_GB2312" w:hAnsi="宋体" w:eastAsia="仿宋_GB2312" w:cs="宋体"/>
          <w:sz w:val="32"/>
          <w:szCs w:val="32"/>
          <w:lang w:val="en-US" w:eastAsia="zh-CN"/>
        </w:rPr>
        <w:t>吨、</w:t>
      </w:r>
      <w:r>
        <w:rPr>
          <w:rFonts w:hint="default" w:ascii="仿宋_GB2312" w:hAnsi="宋体" w:eastAsia="仿宋_GB2312" w:cs="宋体"/>
          <w:sz w:val="32"/>
          <w:szCs w:val="32"/>
        </w:rPr>
        <w:t>氨氮</w:t>
      </w:r>
      <w:r>
        <w:rPr>
          <w:rFonts w:hint="eastAsia" w:ascii="仿宋_GB2312" w:hAnsi="宋体" w:eastAsia="仿宋_GB2312" w:cs="宋体"/>
          <w:sz w:val="32"/>
          <w:szCs w:val="32"/>
          <w:lang w:val="en-US" w:eastAsia="zh-CN"/>
        </w:rPr>
        <w:t>≤</w:t>
      </w:r>
      <w:r>
        <w:rPr>
          <w:rFonts w:hint="default" w:ascii="仿宋_GB2312" w:hAnsi="宋体" w:eastAsia="仿宋_GB2312" w:cs="宋体"/>
          <w:sz w:val="32"/>
          <w:szCs w:val="32"/>
          <w:lang w:val="en-US" w:eastAsia="zh-CN"/>
        </w:rPr>
        <w:t>0.0108</w:t>
      </w:r>
      <w:r>
        <w:rPr>
          <w:rFonts w:hint="eastAsia" w:ascii="仿宋_GB2312" w:eastAsia="仿宋_GB2312" w:cs="宋体"/>
          <w:sz w:val="32"/>
          <w:szCs w:val="32"/>
          <w:lang w:val="en-US" w:eastAsia="zh-CN"/>
        </w:rPr>
        <w:t>/0.0020</w:t>
      </w:r>
      <w:r>
        <w:rPr>
          <w:rFonts w:hint="eastAsia" w:ascii="仿宋_GB2312" w:hAnsi="宋体" w:eastAsia="仿宋_GB2312" w:cs="宋体"/>
          <w:sz w:val="32"/>
          <w:szCs w:val="32"/>
          <w:lang w:val="en-US" w:eastAsia="zh-CN"/>
        </w:rPr>
        <w:t>吨</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总氮≤</w:t>
      </w:r>
      <w:r>
        <w:rPr>
          <w:rFonts w:hint="default" w:ascii="仿宋_GB2312" w:hAnsi="宋体" w:eastAsia="仿宋_GB2312" w:cs="宋体"/>
          <w:sz w:val="32"/>
          <w:szCs w:val="32"/>
          <w:lang w:val="en-US" w:eastAsia="zh-CN"/>
        </w:rPr>
        <w:t>0.0154</w:t>
      </w:r>
      <w:r>
        <w:rPr>
          <w:rFonts w:hint="eastAsia" w:ascii="仿宋_GB2312" w:eastAsia="仿宋_GB2312" w:cs="宋体"/>
          <w:sz w:val="32"/>
          <w:szCs w:val="32"/>
          <w:lang w:val="en-US" w:eastAsia="zh-CN"/>
        </w:rPr>
        <w:t>/0.0061</w:t>
      </w:r>
      <w:r>
        <w:rPr>
          <w:rFonts w:hint="eastAsia" w:ascii="仿宋_GB2312" w:hAnsi="宋体" w:eastAsia="仿宋_GB2312" w:cs="宋体"/>
          <w:sz w:val="32"/>
          <w:szCs w:val="32"/>
          <w:lang w:val="en-US" w:eastAsia="zh-CN"/>
        </w:rPr>
        <w:t>吨、总磷≤</w:t>
      </w:r>
      <w:r>
        <w:rPr>
          <w:rFonts w:hint="default" w:ascii="仿宋_GB2312" w:hAnsi="宋体" w:eastAsia="仿宋_GB2312" w:cs="宋体"/>
          <w:sz w:val="32"/>
          <w:szCs w:val="32"/>
          <w:lang w:val="en-US" w:eastAsia="zh-CN"/>
        </w:rPr>
        <w:t>0.0015</w:t>
      </w:r>
      <w:r>
        <w:rPr>
          <w:rFonts w:hint="eastAsia" w:ascii="仿宋_GB2312" w:eastAsia="仿宋_GB2312" w:cs="宋体"/>
          <w:sz w:val="32"/>
          <w:szCs w:val="32"/>
          <w:lang w:val="en-US" w:eastAsia="zh-CN"/>
        </w:rPr>
        <w:t>/0.0002</w:t>
      </w:r>
      <w:r>
        <w:rPr>
          <w:rFonts w:hint="eastAsia" w:ascii="仿宋_GB2312" w:hAnsi="宋体" w:eastAsia="仿宋_GB2312" w:cs="宋体"/>
          <w:sz w:val="32"/>
          <w:szCs w:val="32"/>
          <w:lang w:val="en-US" w:eastAsia="zh-CN"/>
        </w:rPr>
        <w:t>吨。</w:t>
      </w:r>
      <w:r>
        <w:rPr>
          <w:rFonts w:hint="eastAsia" w:ascii="仿宋_GB2312" w:hAnsi="宋体" w:eastAsia="仿宋_GB2312" w:cs="宋体"/>
          <w:sz w:val="32"/>
          <w:szCs w:val="32"/>
          <w:lang w:val="en-US" w:eastAsia="zh-CN"/>
        </w:rPr>
        <mc:AlternateContent>
          <mc:Choice Requires="wps">
            <w:drawing>
              <wp:anchor distT="0" distB="0" distL="114300" distR="114300" simplePos="0" relativeHeight="251659264" behindDoc="0" locked="0" layoutInCell="1" allowOverlap="1">
                <wp:simplePos x="0" y="0"/>
                <wp:positionH relativeFrom="page">
                  <wp:posOffset>2959100</wp:posOffset>
                </wp:positionH>
                <wp:positionV relativeFrom="paragraph">
                  <wp:posOffset>8826500</wp:posOffset>
                </wp:positionV>
                <wp:extent cx="876300" cy="139700"/>
                <wp:effectExtent l="0" t="0" r="0" b="0"/>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E8207">
                            <w:pPr>
                              <w:spacing w:line="220" w:lineRule="exact"/>
                              <w:jc w:val="center"/>
                            </w:pPr>
                            <w:r>
                              <w:rPr>
                                <w:rFonts w:hint="eastAsia" w:ascii="宋体" w:hAnsi="宋体" w:eastAsia="宋体"/>
                                <w:color w:val="000000"/>
                                <w:sz w:val="16"/>
                              </w:rPr>
                              <w:t>-26-</w:t>
                            </w:r>
                          </w:p>
                        </w:txbxContent>
                      </wps:txbx>
                      <wps:bodyPr lIns="25400" tIns="0" rIns="25400" bIns="0">
                        <a:noAutofit/>
                      </wps:bodyPr>
                    </wps:wsp>
                  </a:graphicData>
                </a:graphic>
              </wp:anchor>
            </w:drawing>
          </mc:Choice>
          <mc:Fallback>
            <w:pict>
              <v:shape id="_x0000_s1026" o:spid="_x0000_s1026" o:spt="202" type="#_x0000_t202" style="position:absolute;left:0pt;margin-left:233pt;margin-top:695pt;height:11pt;width:69pt;mso-position-horizontal-relative:page;z-index:251659264;mso-width-relative:page;mso-height-relative:page;" filled="f" stroked="f" coordsize="21600,21600" o:gfxdata="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JkSYK&#10;Bn7+9fP8++/5zw9URnkG6xvIurOQF8b3ZoSlefB7cEbWI3cqfoEPivE6L66uQeITwBbVqiqWk9Bs&#10;DIhCAjjLVb3EiEJGVV3X5SplZI9Q1vnwgRmFotFiB5NMApPjJx+gLUh9SImVtbkVUqZpSo2GFtfV&#10;Mk8PLhF4ITU8jISmxqMVxt04s9yZ7gQk5UcNApfLqzwuTLqA4Z56d7N3qvzuEAwXqamIOMHMhWBs&#10;qdd5xeJePL2nrMffanM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it29NoAAAANAQAADwAAAAAA&#10;AAABACAAAAAiAAAAZHJzL2Rvd25yZXYueG1sUEsBAhQAFAAAAAgAh07iQFRA+vjYAQAAngMAAA4A&#10;AAAAAAAAAQAgAAAAKQEAAGRycy9lMm9Eb2MueG1sUEsFBgAAAAAGAAYAWQEAAHMFAAAAAA==&#10;">
                <v:fill on="f" focussize="0,0"/>
                <v:stroke on="f" weight="0.5pt"/>
                <v:imagedata o:title=""/>
                <o:lock v:ext="edit" aspectratio="f"/>
                <v:textbox inset="2pt,0mm,2pt,0mm">
                  <w:txbxContent>
                    <w:p w14:paraId="735E8207">
                      <w:pPr>
                        <w:spacing w:line="220" w:lineRule="exact"/>
                        <w:jc w:val="center"/>
                      </w:pPr>
                      <w:r>
                        <w:rPr>
                          <w:rFonts w:hint="eastAsia" w:ascii="宋体" w:hAnsi="宋体" w:eastAsia="宋体"/>
                          <w:color w:val="000000"/>
                          <w:sz w:val="16"/>
                        </w:rPr>
                        <w:t>-26-</w:t>
                      </w:r>
                    </w:p>
                  </w:txbxContent>
                </v:textbox>
              </v:shape>
            </w:pict>
          </mc:Fallback>
        </mc:AlternateContent>
      </w:r>
    </w:p>
    <w:p w14:paraId="0DA76010">
      <w:pPr>
        <w:widowControl w:val="0"/>
        <w:snapToGrid w:val="0"/>
        <w:spacing w:line="480" w:lineRule="exact"/>
        <w:ind w:firstLine="645"/>
        <w:rPr>
          <w:rFonts w:ascii="仿宋" w:hAnsi="仿宋" w:eastAsia="仿宋" w:cs="仿宋"/>
          <w:kern w:val="1"/>
          <w:sz w:val="32"/>
          <w:szCs w:val="32"/>
          <w:shd w:val="clear" w:color="auto" w:fill="FFFFFF"/>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固体废物：全部安全处</w:t>
      </w:r>
      <w:r>
        <w:rPr>
          <w:rFonts w:hint="eastAsia" w:ascii="仿宋" w:hAnsi="仿宋" w:eastAsia="仿宋" w:cs="仿宋"/>
          <w:kern w:val="1"/>
          <w:sz w:val="32"/>
          <w:szCs w:val="32"/>
          <w:shd w:val="clear" w:color="auto" w:fill="FFFFFF"/>
        </w:rPr>
        <w:t>置，实现“零排放”。</w:t>
      </w:r>
    </w:p>
    <w:p w14:paraId="34553BA5">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五、本项目由淮安市涟水生态环境综合行政执法局负责组织开展“三同时”监督检查和日常监督管理工作。按照国家排污许可证有关管理规定要求，在生产前申请排污许可证，不得无证排污或不按证排污。项目建成后原则上三个月内组织建设项目环保“三同时”验收，验收合格后方可投入生产。</w:t>
      </w:r>
    </w:p>
    <w:p w14:paraId="7F28472C">
      <w:pPr>
        <w:keepNext w:val="0"/>
        <w:keepLines w:val="0"/>
        <w:pageBreakBefore w:val="0"/>
        <w:kinsoku/>
        <w:wordWrap/>
        <w:overflowPunct/>
        <w:topLinePunct w:val="0"/>
        <w:bidi w:val="0"/>
        <w:adjustRightInd/>
        <w:snapToGrid/>
        <w:spacing w:line="520" w:lineRule="exact"/>
        <w:ind w:firstLine="640" w:firstLineChars="200"/>
        <w:textAlignment w:val="auto"/>
        <w:rPr>
          <w:rFonts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六、根据《建设项目竣工环境保护验收暂行办法》有关规定，与项目配套建设的环境保护设施竣工后，公开竣工日期；对建设项目配套建设的环境保护设施进行调试前，公开调试的起止日期；验收报告编制完成后5个工作日内，公开验收报告，公示期不得少于20个工作日。在公开上述信息的同时，须及时向淮安市涟水生态环境综合行政执法局报送相关信息，并接受监督检查。</w:t>
      </w:r>
    </w:p>
    <w:p w14:paraId="65FEFF66">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 w:hAnsi="仿宋" w:eastAsia="仿宋" w:cs="仿宋"/>
          <w:kern w:val="1"/>
          <w:sz w:val="32"/>
          <w:szCs w:val="32"/>
          <w:shd w:val="clear" w:color="auto" w:fill="FFFFFF"/>
        </w:rPr>
      </w:pPr>
      <w:r>
        <w:rPr>
          <w:rFonts w:hint="eastAsia" w:ascii="仿宋" w:hAnsi="仿宋" w:eastAsia="仿宋" w:cs="仿宋"/>
          <w:kern w:val="1"/>
          <w:sz w:val="32"/>
          <w:szCs w:val="32"/>
          <w:shd w:val="clear" w:color="auto" w:fill="FFFFFF"/>
        </w:rPr>
        <w:t>七、依照《中华人民共和国环境影响评价法》、国务院《建设项目环境保护管理条例》有关规定，环境影响报告表经批准后，如果本项目的性质、规模、地点或防止生态破坏的污染防治措施发生重大变动的，你公司应当重新报批该项目环境影响评价文件。建设项目环境影响报告表自批准之日起满5年，建设项目方开工建设的，其环境影响报告表</w:t>
      </w:r>
      <w:r>
        <w:rPr>
          <w:rFonts w:hint="eastAsia" w:ascii="仿宋" w:hAnsi="仿宋" w:eastAsia="仿宋" w:cs="仿宋"/>
          <w:kern w:val="1"/>
          <w:sz w:val="32"/>
          <w:szCs w:val="32"/>
          <w:shd w:val="clear" w:color="auto" w:fill="FFFFFF"/>
          <w:lang w:eastAsia="zh-CN"/>
        </w:rPr>
        <w:t>应当</w:t>
      </w:r>
      <w:r>
        <w:rPr>
          <w:rFonts w:hint="eastAsia" w:ascii="仿宋" w:hAnsi="仿宋" w:eastAsia="仿宋" w:cs="仿宋"/>
          <w:kern w:val="1"/>
          <w:sz w:val="32"/>
          <w:szCs w:val="32"/>
          <w:shd w:val="clear" w:color="auto" w:fill="FFFFFF"/>
        </w:rPr>
        <w:t>重新报批。建设单位在申报过程中如有瞒报、假报等情形，须承担由此</w:t>
      </w:r>
      <w:bookmarkStart w:id="1" w:name="_GoBack"/>
      <w:r>
        <w:rPr>
          <w:rFonts w:hint="eastAsia" w:ascii="仿宋" w:hAnsi="仿宋" w:eastAsia="仿宋" w:cs="仿宋"/>
          <w:kern w:val="1"/>
          <w:sz w:val="32"/>
          <w:szCs w:val="32"/>
          <w:shd w:val="clear" w:color="auto" w:fill="FFFFFF"/>
          <w:lang w:eastAsia="zh-CN"/>
        </w:rPr>
        <w:t>产生</w:t>
      </w:r>
      <w:bookmarkEnd w:id="1"/>
      <w:r>
        <w:rPr>
          <w:rFonts w:hint="eastAsia" w:ascii="仿宋" w:hAnsi="仿宋" w:eastAsia="仿宋" w:cs="仿宋"/>
          <w:kern w:val="1"/>
          <w:sz w:val="32"/>
          <w:szCs w:val="32"/>
          <w:shd w:val="clear" w:color="auto" w:fill="FFFFFF"/>
        </w:rPr>
        <w:t xml:space="preserve">的一切责任。本审批件的各项环境保护要求必须严格执行，如有违反将依法追究法律责任。                                                  </w:t>
      </w:r>
    </w:p>
    <w:p w14:paraId="0F0E00E6">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FE6F0FD">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273B1605">
      <w:pPr>
        <w:tabs>
          <w:tab w:val="left" w:pos="3138"/>
          <w:tab w:val="right" w:pos="8426"/>
        </w:tabs>
        <w:spacing w:line="560" w:lineRule="exact"/>
        <w:jc w:val="right"/>
        <w:rPr>
          <w:rFonts w:hint="eastAsia" w:ascii="仿宋" w:hAnsi="仿宋" w:eastAsia="仿宋" w:cs="仿宋"/>
          <w:kern w:val="1"/>
          <w:sz w:val="32"/>
          <w:szCs w:val="32"/>
          <w:shd w:val="clear" w:color="auto" w:fill="FFFFFF"/>
        </w:rPr>
      </w:pPr>
    </w:p>
    <w:p w14:paraId="623DC021">
      <w:pPr>
        <w:tabs>
          <w:tab w:val="left" w:pos="3138"/>
          <w:tab w:val="right" w:pos="8426"/>
        </w:tabs>
        <w:spacing w:line="560" w:lineRule="exact"/>
        <w:jc w:val="right"/>
        <w:rPr>
          <w:rFonts w:hint="eastAsia" w:ascii="仿宋" w:hAnsi="仿宋" w:eastAsia="仿宋" w:cs="仿宋"/>
          <w:kern w:val="1"/>
          <w:sz w:val="32"/>
          <w:szCs w:val="32"/>
          <w:u w:val="single"/>
        </w:rPr>
      </w:pPr>
      <w:r>
        <w:rPr>
          <w:rFonts w:hint="eastAsia" w:ascii="仿宋" w:hAnsi="仿宋" w:eastAsia="仿宋" w:cs="仿宋"/>
          <w:kern w:val="1"/>
          <w:sz w:val="32"/>
          <w:szCs w:val="32"/>
          <w:shd w:val="clear" w:color="auto" w:fill="FFFFFF"/>
        </w:rPr>
        <w:t>202</w:t>
      </w:r>
      <w:r>
        <w:rPr>
          <w:rFonts w:hint="eastAsia" w:ascii="仿宋" w:hAnsi="仿宋" w:eastAsia="仿宋" w:cs="仿宋"/>
          <w:kern w:val="1"/>
          <w:sz w:val="32"/>
          <w:szCs w:val="32"/>
          <w:shd w:val="clear" w:color="auto" w:fill="FFFFFF"/>
          <w:lang w:val="en-US" w:eastAsia="zh-CN"/>
        </w:rPr>
        <w:t>5</w:t>
      </w:r>
      <w:r>
        <w:rPr>
          <w:rFonts w:hint="eastAsia" w:ascii="仿宋" w:hAnsi="仿宋" w:eastAsia="仿宋" w:cs="仿宋"/>
          <w:kern w:val="1"/>
          <w:sz w:val="32"/>
          <w:szCs w:val="32"/>
          <w:shd w:val="clear" w:color="auto" w:fill="FFFFFF"/>
        </w:rPr>
        <w:t>年</w:t>
      </w:r>
      <w:r>
        <w:rPr>
          <w:rFonts w:hint="eastAsia" w:ascii="仿宋" w:hAnsi="仿宋" w:eastAsia="仿宋" w:cs="仿宋"/>
          <w:kern w:val="1"/>
          <w:sz w:val="32"/>
          <w:szCs w:val="32"/>
          <w:shd w:val="clear" w:color="auto" w:fill="FFFFFF"/>
          <w:lang w:val="en-US" w:eastAsia="zh-CN"/>
        </w:rPr>
        <w:t>6</w:t>
      </w:r>
      <w:r>
        <w:rPr>
          <w:rFonts w:hint="eastAsia" w:ascii="仿宋" w:hAnsi="仿宋" w:eastAsia="仿宋" w:cs="仿宋"/>
          <w:kern w:val="1"/>
          <w:sz w:val="32"/>
          <w:szCs w:val="32"/>
          <w:shd w:val="clear" w:color="auto" w:fill="FFFFFF"/>
        </w:rPr>
        <w:t>月</w:t>
      </w:r>
      <w:r>
        <w:rPr>
          <w:rFonts w:hint="eastAsia" w:ascii="仿宋" w:hAnsi="仿宋" w:eastAsia="仿宋" w:cs="仿宋"/>
          <w:kern w:val="1"/>
          <w:sz w:val="32"/>
          <w:szCs w:val="32"/>
          <w:shd w:val="clear" w:color="auto" w:fill="FFFFFF"/>
          <w:lang w:val="en-US" w:eastAsia="zh-CN"/>
        </w:rPr>
        <w:t>16日</w:t>
      </w:r>
    </w:p>
    <w:p w14:paraId="23EFEB75">
      <w:pPr>
        <w:spacing w:line="400" w:lineRule="exact"/>
        <w:ind w:right="-382"/>
        <w:rPr>
          <w:rFonts w:hint="eastAsia" w:ascii="仿宋" w:hAnsi="仿宋" w:eastAsia="仿宋" w:cs="仿宋"/>
          <w:kern w:val="1"/>
          <w:sz w:val="32"/>
          <w:szCs w:val="32"/>
          <w:u w:val="single"/>
        </w:rPr>
      </w:pPr>
    </w:p>
    <w:p w14:paraId="2AAFC2F4">
      <w:pPr>
        <w:spacing w:line="400" w:lineRule="exact"/>
        <w:ind w:right="-382"/>
        <w:rPr>
          <w:rFonts w:hint="eastAsia" w:ascii="仿宋" w:hAnsi="仿宋" w:eastAsia="仿宋" w:cs="仿宋"/>
          <w:kern w:val="1"/>
          <w:sz w:val="32"/>
          <w:szCs w:val="32"/>
          <w:u w:val="single"/>
        </w:rPr>
      </w:pPr>
    </w:p>
    <w:p w14:paraId="74DE33BB">
      <w:pPr>
        <w:spacing w:line="400" w:lineRule="exact"/>
        <w:ind w:right="-382"/>
        <w:rPr>
          <w:rFonts w:ascii="仿宋" w:hAnsi="仿宋" w:eastAsia="仿宋" w:cs="仿宋"/>
          <w:kern w:val="1"/>
          <w:sz w:val="32"/>
          <w:szCs w:val="32"/>
        </w:rPr>
      </w:pPr>
      <w:r>
        <w:rPr>
          <w:rFonts w:hint="eastAsia" w:ascii="仿宋" w:hAnsi="仿宋" w:eastAsia="仿宋" w:cs="仿宋"/>
          <w:kern w:val="1"/>
          <w:sz w:val="32"/>
          <w:szCs w:val="32"/>
          <w:u w:val="single"/>
        </w:rPr>
        <w:t>抄送：</w:t>
      </w:r>
      <w:r>
        <w:rPr>
          <w:rFonts w:hint="eastAsia" w:ascii="仿宋" w:hAnsi="仿宋" w:eastAsia="仿宋" w:cs="仿宋"/>
          <w:kern w:val="1"/>
          <w:sz w:val="32"/>
          <w:szCs w:val="32"/>
          <w:u w:val="single"/>
          <w:lang w:eastAsia="zh-CN"/>
        </w:rPr>
        <w:t>淮安市生态环境局、陈师街道办、</w:t>
      </w:r>
      <w:r>
        <w:rPr>
          <w:rFonts w:hint="eastAsia" w:ascii="仿宋" w:hAnsi="仿宋" w:eastAsia="仿宋" w:cs="仿宋"/>
          <w:kern w:val="1"/>
          <w:sz w:val="32"/>
          <w:szCs w:val="32"/>
          <w:u w:val="single"/>
        </w:rPr>
        <w:t>县市场监管局、</w:t>
      </w:r>
      <w:r>
        <w:rPr>
          <w:rFonts w:hint="eastAsia" w:ascii="仿宋_GB2312" w:hAnsi="宋体" w:eastAsia="仿宋_GB2312"/>
          <w:sz w:val="32"/>
          <w:szCs w:val="32"/>
          <w:u w:val="single"/>
        </w:rPr>
        <w:t>县商务局</w:t>
      </w:r>
      <w:r>
        <w:rPr>
          <w:rFonts w:hint="eastAsia" w:ascii="仿宋" w:hAnsi="仿宋" w:eastAsia="仿宋" w:cs="仿宋"/>
          <w:kern w:val="1"/>
          <w:sz w:val="32"/>
          <w:szCs w:val="32"/>
          <w:u w:val="single"/>
        </w:rPr>
        <w:t xml:space="preserve">、涟水生态环境综合行政执法局　　　　　　　　　　　　　　　　　　         </w:t>
      </w:r>
    </w:p>
    <w:p w14:paraId="2A455A4B">
      <w:pPr>
        <w:spacing w:line="400" w:lineRule="exact"/>
        <w:ind w:left="960" w:right="-175" w:hanging="960"/>
        <w:rPr>
          <w:rFonts w:ascii="仿宋" w:hAnsi="仿宋" w:eastAsia="仿宋" w:cs="仿宋"/>
          <w:kern w:val="1"/>
          <w:sz w:val="32"/>
          <w:szCs w:val="32"/>
          <w:u w:val="single"/>
        </w:rPr>
      </w:pPr>
      <w:r>
        <w:rPr>
          <w:rFonts w:hint="eastAsia" w:ascii="仿宋" w:hAnsi="仿宋" w:eastAsia="仿宋" w:cs="仿宋"/>
          <w:kern w:val="1"/>
          <w:sz w:val="32"/>
          <w:szCs w:val="32"/>
          <w:u w:val="single"/>
        </w:rPr>
        <w:t>淮安市（涟水）生态环境局　        202</w:t>
      </w:r>
      <w:r>
        <w:rPr>
          <w:rFonts w:hint="eastAsia" w:ascii="仿宋" w:hAnsi="仿宋" w:eastAsia="仿宋" w:cs="仿宋"/>
          <w:kern w:val="1"/>
          <w:sz w:val="32"/>
          <w:szCs w:val="32"/>
          <w:u w:val="single"/>
          <w:lang w:val="en-US" w:eastAsia="zh-CN"/>
        </w:rPr>
        <w:t>5</w:t>
      </w:r>
      <w:r>
        <w:rPr>
          <w:rFonts w:hint="eastAsia" w:ascii="仿宋" w:hAnsi="仿宋" w:eastAsia="仿宋" w:cs="仿宋"/>
          <w:kern w:val="1"/>
          <w:sz w:val="32"/>
          <w:szCs w:val="32"/>
          <w:u w:val="single"/>
        </w:rPr>
        <w:t>年</w:t>
      </w:r>
      <w:r>
        <w:rPr>
          <w:rFonts w:hint="eastAsia" w:ascii="仿宋" w:hAnsi="仿宋" w:eastAsia="仿宋" w:cs="仿宋"/>
          <w:kern w:val="1"/>
          <w:sz w:val="32"/>
          <w:szCs w:val="32"/>
          <w:u w:val="single"/>
          <w:lang w:val="en-US" w:eastAsia="zh-CN"/>
        </w:rPr>
        <w:t>6</w:t>
      </w:r>
      <w:r>
        <w:rPr>
          <w:rFonts w:hint="eastAsia" w:ascii="仿宋" w:hAnsi="仿宋" w:eastAsia="仿宋" w:cs="仿宋"/>
          <w:kern w:val="1"/>
          <w:sz w:val="32"/>
          <w:szCs w:val="32"/>
          <w:u w:val="single"/>
        </w:rPr>
        <w:t>月</w:t>
      </w:r>
      <w:r>
        <w:rPr>
          <w:rFonts w:hint="eastAsia" w:ascii="仿宋" w:hAnsi="仿宋" w:eastAsia="仿宋" w:cs="仿宋"/>
          <w:kern w:val="1"/>
          <w:sz w:val="32"/>
          <w:szCs w:val="32"/>
          <w:u w:val="single"/>
          <w:lang w:val="en-US" w:eastAsia="zh-CN"/>
        </w:rPr>
        <w:t>16</w:t>
      </w:r>
      <w:r>
        <w:rPr>
          <w:rFonts w:hint="eastAsia" w:ascii="仿宋" w:hAnsi="仿宋" w:eastAsia="仿宋" w:cs="仿宋"/>
          <w:kern w:val="1"/>
          <w:sz w:val="32"/>
          <w:szCs w:val="32"/>
          <w:u w:val="single"/>
        </w:rPr>
        <w:t xml:space="preserve">日印   </w:t>
      </w:r>
    </w:p>
    <w:p w14:paraId="7B3EC0F3">
      <w:pPr>
        <w:spacing w:line="400" w:lineRule="exact"/>
        <w:ind w:left="6240" w:right="-175" w:hanging="6240"/>
        <w:rPr>
          <w:rFonts w:ascii="仿宋" w:hAnsi="仿宋" w:eastAsia="仿宋" w:cs="仿宋"/>
        </w:rPr>
      </w:pPr>
      <w:r>
        <w:rPr>
          <w:rFonts w:hint="eastAsia" w:ascii="仿宋" w:hAnsi="仿宋" w:eastAsia="仿宋" w:cs="仿宋"/>
          <w:kern w:val="1"/>
          <w:sz w:val="32"/>
          <w:szCs w:val="32"/>
        </w:rPr>
        <w:t xml:space="preserve">                                         共印</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份</w:t>
      </w:r>
    </w:p>
    <w:sectPr>
      <w:headerReference r:id="rId3" w:type="default"/>
      <w:footerReference r:id="rId4" w:type="default"/>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AB19A">
    <w:pPr>
      <w:pStyle w:val="9"/>
      <w:framePr w:wrap="around" w:vAnchor="text" w:hAnchor="page" w:x="5863" w:y="1"/>
      <w:rPr>
        <w:rFonts w:cs="Times New Roman"/>
      </w:rPr>
    </w:pPr>
    <w:r>
      <w:rPr>
        <w:rFonts w:cs="Times New Roman"/>
      </w:rPr>
      <w:fldChar w:fldCharType="begin"/>
    </w:r>
    <w:r>
      <w:rPr>
        <w:rFonts w:cs="Times New Roman"/>
      </w:rPr>
      <w:instrText xml:space="preserve"> PAGE \* Arabic </w:instrText>
    </w:r>
    <w:r>
      <w:rPr>
        <w:rFonts w:cs="Times New Roman"/>
      </w:rPr>
      <w:fldChar w:fldCharType="separate"/>
    </w:r>
    <w:r>
      <w:rPr>
        <w:rFonts w:cs="Times New Roman"/>
      </w:rPr>
      <w:t>4</w:t>
    </w:r>
    <w:r>
      <w:rPr>
        <w:rFonts w:cs="Times New Roman"/>
      </w:rPr>
      <w:fldChar w:fldCharType="end"/>
    </w:r>
  </w:p>
  <w:p w14:paraId="18B33024">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6A73">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88F67"/>
    <w:multiLevelType w:val="singleLevel"/>
    <w:tmpl w:val="B6D88F67"/>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GQ4NTc1ZTU2NWJkOGQ5ZDU3MTMwODg1YTZjNjMifQ=="/>
  </w:docVars>
  <w:rsids>
    <w:rsidRoot w:val="009025F8"/>
    <w:rsid w:val="000066F0"/>
    <w:rsid w:val="0002069E"/>
    <w:rsid w:val="00047252"/>
    <w:rsid w:val="000637BB"/>
    <w:rsid w:val="0015270D"/>
    <w:rsid w:val="003A0BF4"/>
    <w:rsid w:val="003E694B"/>
    <w:rsid w:val="005239BD"/>
    <w:rsid w:val="005F481F"/>
    <w:rsid w:val="00600C10"/>
    <w:rsid w:val="006064EA"/>
    <w:rsid w:val="007165D1"/>
    <w:rsid w:val="00796238"/>
    <w:rsid w:val="00830E89"/>
    <w:rsid w:val="00881876"/>
    <w:rsid w:val="009025F8"/>
    <w:rsid w:val="009F0096"/>
    <w:rsid w:val="00A1525C"/>
    <w:rsid w:val="00A44646"/>
    <w:rsid w:val="00A52BDC"/>
    <w:rsid w:val="00AA7F59"/>
    <w:rsid w:val="00AF03FD"/>
    <w:rsid w:val="00D16057"/>
    <w:rsid w:val="00DE7D79"/>
    <w:rsid w:val="00EA3025"/>
    <w:rsid w:val="01002406"/>
    <w:rsid w:val="01194375"/>
    <w:rsid w:val="01264686"/>
    <w:rsid w:val="01402875"/>
    <w:rsid w:val="014557C2"/>
    <w:rsid w:val="01457570"/>
    <w:rsid w:val="016A0439"/>
    <w:rsid w:val="0196601E"/>
    <w:rsid w:val="01A7647D"/>
    <w:rsid w:val="01AA67C9"/>
    <w:rsid w:val="01D90B32"/>
    <w:rsid w:val="01E2462E"/>
    <w:rsid w:val="02223E0D"/>
    <w:rsid w:val="02346AA7"/>
    <w:rsid w:val="024261A6"/>
    <w:rsid w:val="02444E5B"/>
    <w:rsid w:val="02600B0F"/>
    <w:rsid w:val="029F2E1F"/>
    <w:rsid w:val="02B20A25"/>
    <w:rsid w:val="02C35A8C"/>
    <w:rsid w:val="02E01A8B"/>
    <w:rsid w:val="02EB14D4"/>
    <w:rsid w:val="02F6727C"/>
    <w:rsid w:val="03012A3F"/>
    <w:rsid w:val="030342BE"/>
    <w:rsid w:val="03223A5F"/>
    <w:rsid w:val="033E77E8"/>
    <w:rsid w:val="036868D0"/>
    <w:rsid w:val="03933167"/>
    <w:rsid w:val="039842CF"/>
    <w:rsid w:val="03A04F32"/>
    <w:rsid w:val="03A9636D"/>
    <w:rsid w:val="03D7095C"/>
    <w:rsid w:val="03EA5BDB"/>
    <w:rsid w:val="03FF60FC"/>
    <w:rsid w:val="041453FF"/>
    <w:rsid w:val="04231864"/>
    <w:rsid w:val="04583A5F"/>
    <w:rsid w:val="046E2A4C"/>
    <w:rsid w:val="04917324"/>
    <w:rsid w:val="05025778"/>
    <w:rsid w:val="05235E1B"/>
    <w:rsid w:val="05365DE5"/>
    <w:rsid w:val="055F7CBB"/>
    <w:rsid w:val="05631BEA"/>
    <w:rsid w:val="057F73A7"/>
    <w:rsid w:val="05C141FC"/>
    <w:rsid w:val="05D9297D"/>
    <w:rsid w:val="05EE467B"/>
    <w:rsid w:val="05FB440D"/>
    <w:rsid w:val="05FD17C9"/>
    <w:rsid w:val="061B4D44"/>
    <w:rsid w:val="062F6A41"/>
    <w:rsid w:val="06606ACF"/>
    <w:rsid w:val="06854F23"/>
    <w:rsid w:val="06A27692"/>
    <w:rsid w:val="06AD1B15"/>
    <w:rsid w:val="06B24F3F"/>
    <w:rsid w:val="06D724C4"/>
    <w:rsid w:val="07066645"/>
    <w:rsid w:val="07121447"/>
    <w:rsid w:val="071B5918"/>
    <w:rsid w:val="074D53D1"/>
    <w:rsid w:val="077A1300"/>
    <w:rsid w:val="07832BA1"/>
    <w:rsid w:val="078E1C4C"/>
    <w:rsid w:val="07BA6DDD"/>
    <w:rsid w:val="07F57B8E"/>
    <w:rsid w:val="081B29F6"/>
    <w:rsid w:val="081B54CF"/>
    <w:rsid w:val="082C3EBB"/>
    <w:rsid w:val="083608A9"/>
    <w:rsid w:val="083D5445"/>
    <w:rsid w:val="08524215"/>
    <w:rsid w:val="08803584"/>
    <w:rsid w:val="08A060F3"/>
    <w:rsid w:val="08A22B86"/>
    <w:rsid w:val="09183EFB"/>
    <w:rsid w:val="09187C60"/>
    <w:rsid w:val="093107E7"/>
    <w:rsid w:val="093F601F"/>
    <w:rsid w:val="09420188"/>
    <w:rsid w:val="094353E9"/>
    <w:rsid w:val="0947451F"/>
    <w:rsid w:val="099B67B3"/>
    <w:rsid w:val="099F7A3A"/>
    <w:rsid w:val="09AC28AA"/>
    <w:rsid w:val="09C83ECA"/>
    <w:rsid w:val="09E6624A"/>
    <w:rsid w:val="0A014251"/>
    <w:rsid w:val="0A2763AD"/>
    <w:rsid w:val="0A3F3469"/>
    <w:rsid w:val="0A4D242E"/>
    <w:rsid w:val="0A687B9A"/>
    <w:rsid w:val="0A863549"/>
    <w:rsid w:val="0A8F242E"/>
    <w:rsid w:val="0A9859F9"/>
    <w:rsid w:val="0AB57D82"/>
    <w:rsid w:val="0AC0204B"/>
    <w:rsid w:val="0AE5046E"/>
    <w:rsid w:val="0AF142C5"/>
    <w:rsid w:val="0B001B8B"/>
    <w:rsid w:val="0B077F8D"/>
    <w:rsid w:val="0B25158A"/>
    <w:rsid w:val="0B282BC9"/>
    <w:rsid w:val="0B3100CC"/>
    <w:rsid w:val="0B756CA4"/>
    <w:rsid w:val="0B835865"/>
    <w:rsid w:val="0B9510F4"/>
    <w:rsid w:val="0BE34556"/>
    <w:rsid w:val="0C0136A1"/>
    <w:rsid w:val="0C3C5A14"/>
    <w:rsid w:val="0C5E67B3"/>
    <w:rsid w:val="0C700C3A"/>
    <w:rsid w:val="0C760424"/>
    <w:rsid w:val="0C9D317F"/>
    <w:rsid w:val="0CAB163A"/>
    <w:rsid w:val="0CC000A4"/>
    <w:rsid w:val="0CD571FD"/>
    <w:rsid w:val="0CDE52DC"/>
    <w:rsid w:val="0CE104E0"/>
    <w:rsid w:val="0CF573F8"/>
    <w:rsid w:val="0D0753D1"/>
    <w:rsid w:val="0D15073F"/>
    <w:rsid w:val="0D3A4814"/>
    <w:rsid w:val="0D4D721E"/>
    <w:rsid w:val="0D556D8D"/>
    <w:rsid w:val="0D6B035F"/>
    <w:rsid w:val="0D7731A8"/>
    <w:rsid w:val="0D8A50FE"/>
    <w:rsid w:val="0D980460"/>
    <w:rsid w:val="0D985DFB"/>
    <w:rsid w:val="0DA04271"/>
    <w:rsid w:val="0DE41458"/>
    <w:rsid w:val="0E0802A4"/>
    <w:rsid w:val="0E1435DD"/>
    <w:rsid w:val="0E306947"/>
    <w:rsid w:val="0E3C5E8D"/>
    <w:rsid w:val="0E4447A8"/>
    <w:rsid w:val="0E6C28D8"/>
    <w:rsid w:val="0E724404"/>
    <w:rsid w:val="0E900ADA"/>
    <w:rsid w:val="0EA07167"/>
    <w:rsid w:val="0EDC2DD6"/>
    <w:rsid w:val="0EEB31BE"/>
    <w:rsid w:val="0F1A1821"/>
    <w:rsid w:val="0F276507"/>
    <w:rsid w:val="0F356344"/>
    <w:rsid w:val="0F3F1AA3"/>
    <w:rsid w:val="0F4672D5"/>
    <w:rsid w:val="0F5054CF"/>
    <w:rsid w:val="0F5E65B5"/>
    <w:rsid w:val="0F637AD6"/>
    <w:rsid w:val="0FAB78D4"/>
    <w:rsid w:val="0FAD5DC0"/>
    <w:rsid w:val="0FBA381F"/>
    <w:rsid w:val="0FCB7334"/>
    <w:rsid w:val="0FCE2555"/>
    <w:rsid w:val="0FD74DED"/>
    <w:rsid w:val="0FF542D4"/>
    <w:rsid w:val="103F6E03"/>
    <w:rsid w:val="104F7850"/>
    <w:rsid w:val="10611EED"/>
    <w:rsid w:val="106F49E8"/>
    <w:rsid w:val="10726B00"/>
    <w:rsid w:val="10C5247C"/>
    <w:rsid w:val="10C83D1A"/>
    <w:rsid w:val="10EA0878"/>
    <w:rsid w:val="111331E7"/>
    <w:rsid w:val="11553800"/>
    <w:rsid w:val="11585BBD"/>
    <w:rsid w:val="115E1B75"/>
    <w:rsid w:val="116220E5"/>
    <w:rsid w:val="11652140"/>
    <w:rsid w:val="11B40F1F"/>
    <w:rsid w:val="11C31E52"/>
    <w:rsid w:val="11DF30C9"/>
    <w:rsid w:val="11E42DD6"/>
    <w:rsid w:val="11EE6888"/>
    <w:rsid w:val="11F12DFD"/>
    <w:rsid w:val="121C431D"/>
    <w:rsid w:val="125601AF"/>
    <w:rsid w:val="12642DB5"/>
    <w:rsid w:val="12687563"/>
    <w:rsid w:val="1287577E"/>
    <w:rsid w:val="12B419C2"/>
    <w:rsid w:val="13225964"/>
    <w:rsid w:val="132629B3"/>
    <w:rsid w:val="133236CD"/>
    <w:rsid w:val="13367661"/>
    <w:rsid w:val="13527F6D"/>
    <w:rsid w:val="13907FE6"/>
    <w:rsid w:val="139847C8"/>
    <w:rsid w:val="13B025B9"/>
    <w:rsid w:val="13D8503B"/>
    <w:rsid w:val="13EA459B"/>
    <w:rsid w:val="14116A17"/>
    <w:rsid w:val="14467430"/>
    <w:rsid w:val="145E6D26"/>
    <w:rsid w:val="14686756"/>
    <w:rsid w:val="14755D4F"/>
    <w:rsid w:val="147922AC"/>
    <w:rsid w:val="14956609"/>
    <w:rsid w:val="14C173FE"/>
    <w:rsid w:val="14ED01BF"/>
    <w:rsid w:val="14FE5E73"/>
    <w:rsid w:val="15097F49"/>
    <w:rsid w:val="151B35E8"/>
    <w:rsid w:val="15207B3B"/>
    <w:rsid w:val="152D34A5"/>
    <w:rsid w:val="153005F9"/>
    <w:rsid w:val="153732EE"/>
    <w:rsid w:val="154657A6"/>
    <w:rsid w:val="156C2728"/>
    <w:rsid w:val="156F29B6"/>
    <w:rsid w:val="157709B0"/>
    <w:rsid w:val="15DB629E"/>
    <w:rsid w:val="15F1161D"/>
    <w:rsid w:val="163D44F0"/>
    <w:rsid w:val="16586527"/>
    <w:rsid w:val="1665226C"/>
    <w:rsid w:val="16805733"/>
    <w:rsid w:val="1686445B"/>
    <w:rsid w:val="16880295"/>
    <w:rsid w:val="168F66FB"/>
    <w:rsid w:val="16CE665A"/>
    <w:rsid w:val="16E92044"/>
    <w:rsid w:val="174F71BA"/>
    <w:rsid w:val="177A598D"/>
    <w:rsid w:val="178D1D7E"/>
    <w:rsid w:val="17C5667C"/>
    <w:rsid w:val="17F77445"/>
    <w:rsid w:val="183528ED"/>
    <w:rsid w:val="184F57BA"/>
    <w:rsid w:val="185331C0"/>
    <w:rsid w:val="187B2616"/>
    <w:rsid w:val="18900B50"/>
    <w:rsid w:val="18A06414"/>
    <w:rsid w:val="18C63235"/>
    <w:rsid w:val="18DB7093"/>
    <w:rsid w:val="18DC16CE"/>
    <w:rsid w:val="18EB67F8"/>
    <w:rsid w:val="193261D5"/>
    <w:rsid w:val="1945415A"/>
    <w:rsid w:val="19805192"/>
    <w:rsid w:val="198742F4"/>
    <w:rsid w:val="19991F21"/>
    <w:rsid w:val="199D3F96"/>
    <w:rsid w:val="19C26506"/>
    <w:rsid w:val="19F90C1E"/>
    <w:rsid w:val="19FF1F98"/>
    <w:rsid w:val="1A0A53A3"/>
    <w:rsid w:val="1A1242EE"/>
    <w:rsid w:val="1A192F67"/>
    <w:rsid w:val="1A445BEE"/>
    <w:rsid w:val="1A5A6122"/>
    <w:rsid w:val="1A5D3284"/>
    <w:rsid w:val="1A6363C5"/>
    <w:rsid w:val="1A7E1A1F"/>
    <w:rsid w:val="1A9058A9"/>
    <w:rsid w:val="1A98650B"/>
    <w:rsid w:val="1A9D7FC6"/>
    <w:rsid w:val="1AA720D8"/>
    <w:rsid w:val="1AAE7613"/>
    <w:rsid w:val="1AB555A3"/>
    <w:rsid w:val="1AD27C6F"/>
    <w:rsid w:val="1AF2632B"/>
    <w:rsid w:val="1B2B3823"/>
    <w:rsid w:val="1B397CEE"/>
    <w:rsid w:val="1B8954F6"/>
    <w:rsid w:val="1B8F41B8"/>
    <w:rsid w:val="1B9D7FEE"/>
    <w:rsid w:val="1BA8182B"/>
    <w:rsid w:val="1BBA66F5"/>
    <w:rsid w:val="1BC0411B"/>
    <w:rsid w:val="1BC838BC"/>
    <w:rsid w:val="1BCD21D4"/>
    <w:rsid w:val="1C191E7A"/>
    <w:rsid w:val="1C346962"/>
    <w:rsid w:val="1C3861F8"/>
    <w:rsid w:val="1CB17802"/>
    <w:rsid w:val="1CC30172"/>
    <w:rsid w:val="1CD37CCF"/>
    <w:rsid w:val="1CE41EDC"/>
    <w:rsid w:val="1CEE2F53"/>
    <w:rsid w:val="1CFA7A77"/>
    <w:rsid w:val="1CFC3CB5"/>
    <w:rsid w:val="1D061E52"/>
    <w:rsid w:val="1D0E6A88"/>
    <w:rsid w:val="1D183933"/>
    <w:rsid w:val="1D282AA3"/>
    <w:rsid w:val="1D2E03E6"/>
    <w:rsid w:val="1D305121"/>
    <w:rsid w:val="1D5A03F0"/>
    <w:rsid w:val="1D5D3718"/>
    <w:rsid w:val="1D6F07CA"/>
    <w:rsid w:val="1DA13929"/>
    <w:rsid w:val="1DA47C58"/>
    <w:rsid w:val="1DAF4CE8"/>
    <w:rsid w:val="1DBB6F6D"/>
    <w:rsid w:val="1DDD3D89"/>
    <w:rsid w:val="1DE764DC"/>
    <w:rsid w:val="1E17279B"/>
    <w:rsid w:val="1E1C7746"/>
    <w:rsid w:val="1E4F2C3F"/>
    <w:rsid w:val="1E707ECB"/>
    <w:rsid w:val="1E8578BB"/>
    <w:rsid w:val="1E9B42AC"/>
    <w:rsid w:val="1EC57AEB"/>
    <w:rsid w:val="1EE25C08"/>
    <w:rsid w:val="1F2B296C"/>
    <w:rsid w:val="1F2E743E"/>
    <w:rsid w:val="1F3C306D"/>
    <w:rsid w:val="1F5069C5"/>
    <w:rsid w:val="1F645246"/>
    <w:rsid w:val="1F8D5114"/>
    <w:rsid w:val="1F912517"/>
    <w:rsid w:val="1F92453A"/>
    <w:rsid w:val="1FA729A9"/>
    <w:rsid w:val="1FA828FD"/>
    <w:rsid w:val="1FAB4F33"/>
    <w:rsid w:val="1FBC2C9C"/>
    <w:rsid w:val="203E6F7B"/>
    <w:rsid w:val="204F11D1"/>
    <w:rsid w:val="2076109D"/>
    <w:rsid w:val="20A53BA4"/>
    <w:rsid w:val="20B832A9"/>
    <w:rsid w:val="20C444FE"/>
    <w:rsid w:val="210C0BC6"/>
    <w:rsid w:val="21221EF6"/>
    <w:rsid w:val="212D2AA7"/>
    <w:rsid w:val="21616826"/>
    <w:rsid w:val="217638BF"/>
    <w:rsid w:val="21B23644"/>
    <w:rsid w:val="21BC05FC"/>
    <w:rsid w:val="21CD25B1"/>
    <w:rsid w:val="21CD4909"/>
    <w:rsid w:val="21E35D7F"/>
    <w:rsid w:val="21F605A6"/>
    <w:rsid w:val="2244196F"/>
    <w:rsid w:val="22D36C7A"/>
    <w:rsid w:val="22FD3CF7"/>
    <w:rsid w:val="23190A27"/>
    <w:rsid w:val="236E6A1F"/>
    <w:rsid w:val="23812232"/>
    <w:rsid w:val="23B85086"/>
    <w:rsid w:val="23FB1CF2"/>
    <w:rsid w:val="24005AE6"/>
    <w:rsid w:val="240C3129"/>
    <w:rsid w:val="24180719"/>
    <w:rsid w:val="241A2902"/>
    <w:rsid w:val="243F0E45"/>
    <w:rsid w:val="245629B3"/>
    <w:rsid w:val="246102B6"/>
    <w:rsid w:val="24792748"/>
    <w:rsid w:val="24A5429E"/>
    <w:rsid w:val="24AD5775"/>
    <w:rsid w:val="24C55BBD"/>
    <w:rsid w:val="24D72EEE"/>
    <w:rsid w:val="24F904EE"/>
    <w:rsid w:val="25017DF7"/>
    <w:rsid w:val="25144415"/>
    <w:rsid w:val="252523ED"/>
    <w:rsid w:val="252923AB"/>
    <w:rsid w:val="25317C88"/>
    <w:rsid w:val="254C4AC2"/>
    <w:rsid w:val="257B7155"/>
    <w:rsid w:val="258E6E89"/>
    <w:rsid w:val="2653299E"/>
    <w:rsid w:val="26652725"/>
    <w:rsid w:val="267F67D1"/>
    <w:rsid w:val="26C64DE3"/>
    <w:rsid w:val="26DF2675"/>
    <w:rsid w:val="26E975DE"/>
    <w:rsid w:val="272D47B8"/>
    <w:rsid w:val="2749750B"/>
    <w:rsid w:val="275F6D2E"/>
    <w:rsid w:val="276854B7"/>
    <w:rsid w:val="276D7DA6"/>
    <w:rsid w:val="27802801"/>
    <w:rsid w:val="2793117C"/>
    <w:rsid w:val="27946A96"/>
    <w:rsid w:val="27D47FC2"/>
    <w:rsid w:val="27D972D8"/>
    <w:rsid w:val="27F33FCF"/>
    <w:rsid w:val="2821662C"/>
    <w:rsid w:val="28773C04"/>
    <w:rsid w:val="28795BCE"/>
    <w:rsid w:val="288E79DA"/>
    <w:rsid w:val="28CD4737"/>
    <w:rsid w:val="28D21782"/>
    <w:rsid w:val="28D64DCE"/>
    <w:rsid w:val="28EE6C49"/>
    <w:rsid w:val="28F56AA6"/>
    <w:rsid w:val="291B6C85"/>
    <w:rsid w:val="293E7C9D"/>
    <w:rsid w:val="297D524A"/>
    <w:rsid w:val="29824F56"/>
    <w:rsid w:val="29A901D7"/>
    <w:rsid w:val="29B9255D"/>
    <w:rsid w:val="29EA7A13"/>
    <w:rsid w:val="29F0352C"/>
    <w:rsid w:val="2A021BF3"/>
    <w:rsid w:val="2A037518"/>
    <w:rsid w:val="2A2C0A1E"/>
    <w:rsid w:val="2A344F53"/>
    <w:rsid w:val="2AA12618"/>
    <w:rsid w:val="2AA225CD"/>
    <w:rsid w:val="2AA75DDE"/>
    <w:rsid w:val="2AC3241B"/>
    <w:rsid w:val="2AC668E6"/>
    <w:rsid w:val="2ACA6CDE"/>
    <w:rsid w:val="2ACD4E80"/>
    <w:rsid w:val="2AD63CED"/>
    <w:rsid w:val="2AE65FA4"/>
    <w:rsid w:val="2B1379A9"/>
    <w:rsid w:val="2B1725AC"/>
    <w:rsid w:val="2B4D4487"/>
    <w:rsid w:val="2B680DE8"/>
    <w:rsid w:val="2B806286"/>
    <w:rsid w:val="2B8760F7"/>
    <w:rsid w:val="2B9F0F33"/>
    <w:rsid w:val="2BA94A1C"/>
    <w:rsid w:val="2BBE52BC"/>
    <w:rsid w:val="2BEA6975"/>
    <w:rsid w:val="2BF57C61"/>
    <w:rsid w:val="2BFF1336"/>
    <w:rsid w:val="2C1B0FB3"/>
    <w:rsid w:val="2C1B6F9C"/>
    <w:rsid w:val="2C646D6B"/>
    <w:rsid w:val="2C970E5F"/>
    <w:rsid w:val="2CA64AB8"/>
    <w:rsid w:val="2CB25B52"/>
    <w:rsid w:val="2CBC252D"/>
    <w:rsid w:val="2CFB01B0"/>
    <w:rsid w:val="2D0A72AC"/>
    <w:rsid w:val="2D230ADF"/>
    <w:rsid w:val="2D4A2157"/>
    <w:rsid w:val="2D4F7284"/>
    <w:rsid w:val="2D6365FD"/>
    <w:rsid w:val="2DD5057D"/>
    <w:rsid w:val="2DEB23F5"/>
    <w:rsid w:val="2DF53ABA"/>
    <w:rsid w:val="2E182CA2"/>
    <w:rsid w:val="2E2760CC"/>
    <w:rsid w:val="2E2B600A"/>
    <w:rsid w:val="2E6D6B17"/>
    <w:rsid w:val="2E914C59"/>
    <w:rsid w:val="2E9774DC"/>
    <w:rsid w:val="2EBD4E74"/>
    <w:rsid w:val="2EBF66E8"/>
    <w:rsid w:val="2ECF360C"/>
    <w:rsid w:val="2EE1627B"/>
    <w:rsid w:val="2F234AE5"/>
    <w:rsid w:val="2F36681B"/>
    <w:rsid w:val="2F5D4002"/>
    <w:rsid w:val="2F6F7D2B"/>
    <w:rsid w:val="2F803F91"/>
    <w:rsid w:val="2F8310E0"/>
    <w:rsid w:val="2F9F4BBB"/>
    <w:rsid w:val="2FAC7432"/>
    <w:rsid w:val="301A069E"/>
    <w:rsid w:val="303004BE"/>
    <w:rsid w:val="303E1E05"/>
    <w:rsid w:val="30494873"/>
    <w:rsid w:val="30764BE7"/>
    <w:rsid w:val="307B7FDE"/>
    <w:rsid w:val="30A47560"/>
    <w:rsid w:val="30FC4936"/>
    <w:rsid w:val="313174F1"/>
    <w:rsid w:val="314E398D"/>
    <w:rsid w:val="314F1BC2"/>
    <w:rsid w:val="31511CE6"/>
    <w:rsid w:val="315E0057"/>
    <w:rsid w:val="316025BD"/>
    <w:rsid w:val="316311C9"/>
    <w:rsid w:val="318B1E34"/>
    <w:rsid w:val="319C082D"/>
    <w:rsid w:val="31A06B46"/>
    <w:rsid w:val="31AF5FE7"/>
    <w:rsid w:val="31CF49AF"/>
    <w:rsid w:val="31D0305F"/>
    <w:rsid w:val="31D15054"/>
    <w:rsid w:val="31E219A4"/>
    <w:rsid w:val="31ED4CF3"/>
    <w:rsid w:val="31F369F1"/>
    <w:rsid w:val="321E0DBE"/>
    <w:rsid w:val="32211625"/>
    <w:rsid w:val="324E753E"/>
    <w:rsid w:val="32674CE9"/>
    <w:rsid w:val="326C7C3E"/>
    <w:rsid w:val="32880C18"/>
    <w:rsid w:val="328A6AC1"/>
    <w:rsid w:val="32902A6F"/>
    <w:rsid w:val="32933341"/>
    <w:rsid w:val="32C24615"/>
    <w:rsid w:val="32C63C90"/>
    <w:rsid w:val="32CC2D9E"/>
    <w:rsid w:val="32E91BA2"/>
    <w:rsid w:val="32EF7D87"/>
    <w:rsid w:val="32F91317"/>
    <w:rsid w:val="33163F6E"/>
    <w:rsid w:val="33174961"/>
    <w:rsid w:val="331D7A9E"/>
    <w:rsid w:val="332130EA"/>
    <w:rsid w:val="332546E3"/>
    <w:rsid w:val="332C1A8F"/>
    <w:rsid w:val="333610D6"/>
    <w:rsid w:val="336C74AE"/>
    <w:rsid w:val="337F11E9"/>
    <w:rsid w:val="33C10B8E"/>
    <w:rsid w:val="33DD47DA"/>
    <w:rsid w:val="33E3421E"/>
    <w:rsid w:val="33E8705D"/>
    <w:rsid w:val="33F23C50"/>
    <w:rsid w:val="342A6E92"/>
    <w:rsid w:val="3430375D"/>
    <w:rsid w:val="34390907"/>
    <w:rsid w:val="34615BAE"/>
    <w:rsid w:val="34840FE9"/>
    <w:rsid w:val="34BD21B5"/>
    <w:rsid w:val="34DB145D"/>
    <w:rsid w:val="34DB376C"/>
    <w:rsid w:val="34FC3D35"/>
    <w:rsid w:val="355D24A0"/>
    <w:rsid w:val="35845BB2"/>
    <w:rsid w:val="358B4B91"/>
    <w:rsid w:val="35B93AAE"/>
    <w:rsid w:val="35F62E7B"/>
    <w:rsid w:val="35FA7C22"/>
    <w:rsid w:val="35FE75F8"/>
    <w:rsid w:val="360C2505"/>
    <w:rsid w:val="36146F36"/>
    <w:rsid w:val="361A4A7B"/>
    <w:rsid w:val="362E1FD0"/>
    <w:rsid w:val="36483724"/>
    <w:rsid w:val="36985DB9"/>
    <w:rsid w:val="369D1489"/>
    <w:rsid w:val="36B60AB7"/>
    <w:rsid w:val="36C00E6C"/>
    <w:rsid w:val="36CE3589"/>
    <w:rsid w:val="37024D78"/>
    <w:rsid w:val="371625C1"/>
    <w:rsid w:val="37321515"/>
    <w:rsid w:val="37436B38"/>
    <w:rsid w:val="376932B2"/>
    <w:rsid w:val="376C68FE"/>
    <w:rsid w:val="376F0CFF"/>
    <w:rsid w:val="37A64AE0"/>
    <w:rsid w:val="37B95FE7"/>
    <w:rsid w:val="37C355F3"/>
    <w:rsid w:val="37C468DF"/>
    <w:rsid w:val="37CD3840"/>
    <w:rsid w:val="37EB1F18"/>
    <w:rsid w:val="382471D8"/>
    <w:rsid w:val="38276143"/>
    <w:rsid w:val="382C04F0"/>
    <w:rsid w:val="383A278F"/>
    <w:rsid w:val="38673C95"/>
    <w:rsid w:val="388E1055"/>
    <w:rsid w:val="38B65C8C"/>
    <w:rsid w:val="38BF74DB"/>
    <w:rsid w:val="38C76E77"/>
    <w:rsid w:val="38CD7870"/>
    <w:rsid w:val="38D1296C"/>
    <w:rsid w:val="38D56570"/>
    <w:rsid w:val="39262D30"/>
    <w:rsid w:val="392A4DCE"/>
    <w:rsid w:val="393D1448"/>
    <w:rsid w:val="39461558"/>
    <w:rsid w:val="3951646F"/>
    <w:rsid w:val="396D69D1"/>
    <w:rsid w:val="398F1D33"/>
    <w:rsid w:val="39E11825"/>
    <w:rsid w:val="39EF3F42"/>
    <w:rsid w:val="3A2B6094"/>
    <w:rsid w:val="3A3F6E8C"/>
    <w:rsid w:val="3A4E28D8"/>
    <w:rsid w:val="3A527429"/>
    <w:rsid w:val="3A7C4588"/>
    <w:rsid w:val="3AB5795C"/>
    <w:rsid w:val="3AEF7F72"/>
    <w:rsid w:val="3AF404EB"/>
    <w:rsid w:val="3B1D063B"/>
    <w:rsid w:val="3B4648CF"/>
    <w:rsid w:val="3B5D18CA"/>
    <w:rsid w:val="3B765F9D"/>
    <w:rsid w:val="3BBC60A6"/>
    <w:rsid w:val="3BDB76E8"/>
    <w:rsid w:val="3C0739B0"/>
    <w:rsid w:val="3C1014B7"/>
    <w:rsid w:val="3C2645BF"/>
    <w:rsid w:val="3C3E02CA"/>
    <w:rsid w:val="3C4B11D8"/>
    <w:rsid w:val="3C7071BD"/>
    <w:rsid w:val="3C771FCD"/>
    <w:rsid w:val="3C797AF3"/>
    <w:rsid w:val="3CC2289A"/>
    <w:rsid w:val="3CFD2A0A"/>
    <w:rsid w:val="3D192527"/>
    <w:rsid w:val="3D1E4B3E"/>
    <w:rsid w:val="3D393726"/>
    <w:rsid w:val="3D4311FF"/>
    <w:rsid w:val="3D4A5933"/>
    <w:rsid w:val="3D5C1A3F"/>
    <w:rsid w:val="3D5F6F75"/>
    <w:rsid w:val="3D7477C9"/>
    <w:rsid w:val="3D887B68"/>
    <w:rsid w:val="3DA45043"/>
    <w:rsid w:val="3DC73E95"/>
    <w:rsid w:val="3DC9360A"/>
    <w:rsid w:val="3DC96858"/>
    <w:rsid w:val="3DCB6A74"/>
    <w:rsid w:val="3DDA0CE0"/>
    <w:rsid w:val="3DDF6489"/>
    <w:rsid w:val="3DED349D"/>
    <w:rsid w:val="3DF071A0"/>
    <w:rsid w:val="3E0B1FD2"/>
    <w:rsid w:val="3E150C5D"/>
    <w:rsid w:val="3E5F540E"/>
    <w:rsid w:val="3E9B4698"/>
    <w:rsid w:val="3EA15089"/>
    <w:rsid w:val="3EBD5F8D"/>
    <w:rsid w:val="3EC94FA6"/>
    <w:rsid w:val="3ED27799"/>
    <w:rsid w:val="3EDE4585"/>
    <w:rsid w:val="3EE33949"/>
    <w:rsid w:val="3F5600D8"/>
    <w:rsid w:val="3F576E82"/>
    <w:rsid w:val="3F6D2185"/>
    <w:rsid w:val="3F83137F"/>
    <w:rsid w:val="3F8A3B82"/>
    <w:rsid w:val="3F9A38EB"/>
    <w:rsid w:val="3FD030C7"/>
    <w:rsid w:val="3FFA3339"/>
    <w:rsid w:val="400C6C55"/>
    <w:rsid w:val="401272A7"/>
    <w:rsid w:val="403703F1"/>
    <w:rsid w:val="40497E85"/>
    <w:rsid w:val="40607D41"/>
    <w:rsid w:val="40696951"/>
    <w:rsid w:val="406B009A"/>
    <w:rsid w:val="4077259B"/>
    <w:rsid w:val="40CC3328"/>
    <w:rsid w:val="40D02E2F"/>
    <w:rsid w:val="40E63CCE"/>
    <w:rsid w:val="410728DB"/>
    <w:rsid w:val="410F4ECA"/>
    <w:rsid w:val="41127006"/>
    <w:rsid w:val="415F6B2D"/>
    <w:rsid w:val="41682EF1"/>
    <w:rsid w:val="41E974C9"/>
    <w:rsid w:val="4203620E"/>
    <w:rsid w:val="4250633C"/>
    <w:rsid w:val="429A65A0"/>
    <w:rsid w:val="429C39D4"/>
    <w:rsid w:val="42BA6AC5"/>
    <w:rsid w:val="42E63A08"/>
    <w:rsid w:val="42F56B19"/>
    <w:rsid w:val="42FA336E"/>
    <w:rsid w:val="43017E9F"/>
    <w:rsid w:val="43266633"/>
    <w:rsid w:val="435E5C94"/>
    <w:rsid w:val="435E7A42"/>
    <w:rsid w:val="4384071A"/>
    <w:rsid w:val="43883A23"/>
    <w:rsid w:val="43A7693B"/>
    <w:rsid w:val="43C75263"/>
    <w:rsid w:val="43C875B2"/>
    <w:rsid w:val="44136A7F"/>
    <w:rsid w:val="44784A2F"/>
    <w:rsid w:val="44D0697F"/>
    <w:rsid w:val="44DE708D"/>
    <w:rsid w:val="45057DFF"/>
    <w:rsid w:val="452E775D"/>
    <w:rsid w:val="4556234C"/>
    <w:rsid w:val="45637592"/>
    <w:rsid w:val="45756540"/>
    <w:rsid w:val="458539AC"/>
    <w:rsid w:val="458624A4"/>
    <w:rsid w:val="45886F23"/>
    <w:rsid w:val="45961498"/>
    <w:rsid w:val="45A46C77"/>
    <w:rsid w:val="45C2075D"/>
    <w:rsid w:val="45D86C63"/>
    <w:rsid w:val="45F4643C"/>
    <w:rsid w:val="46035F81"/>
    <w:rsid w:val="460F14C8"/>
    <w:rsid w:val="4631611C"/>
    <w:rsid w:val="46394DBE"/>
    <w:rsid w:val="4644123D"/>
    <w:rsid w:val="464C44CA"/>
    <w:rsid w:val="46670A53"/>
    <w:rsid w:val="467A57DA"/>
    <w:rsid w:val="4682613E"/>
    <w:rsid w:val="46995335"/>
    <w:rsid w:val="469E1E5D"/>
    <w:rsid w:val="46A2058E"/>
    <w:rsid w:val="46C235F6"/>
    <w:rsid w:val="46C52B01"/>
    <w:rsid w:val="46D5626E"/>
    <w:rsid w:val="46DA3884"/>
    <w:rsid w:val="46FE438E"/>
    <w:rsid w:val="471F573B"/>
    <w:rsid w:val="473550EF"/>
    <w:rsid w:val="474A6017"/>
    <w:rsid w:val="4779111E"/>
    <w:rsid w:val="477C7218"/>
    <w:rsid w:val="47A872E3"/>
    <w:rsid w:val="47A95A58"/>
    <w:rsid w:val="47B673AC"/>
    <w:rsid w:val="47B75973"/>
    <w:rsid w:val="48014387"/>
    <w:rsid w:val="482024E1"/>
    <w:rsid w:val="48A122F9"/>
    <w:rsid w:val="48C52312"/>
    <w:rsid w:val="48EF5E8E"/>
    <w:rsid w:val="49022BB4"/>
    <w:rsid w:val="492D2391"/>
    <w:rsid w:val="49492E48"/>
    <w:rsid w:val="498D1C96"/>
    <w:rsid w:val="4A182544"/>
    <w:rsid w:val="4A3868ED"/>
    <w:rsid w:val="4A437992"/>
    <w:rsid w:val="4A541B9F"/>
    <w:rsid w:val="4A761B16"/>
    <w:rsid w:val="4A7E005B"/>
    <w:rsid w:val="4A892FB7"/>
    <w:rsid w:val="4AA84D35"/>
    <w:rsid w:val="4ABD3CDB"/>
    <w:rsid w:val="4AD55CF6"/>
    <w:rsid w:val="4AEA3D1F"/>
    <w:rsid w:val="4AEF425A"/>
    <w:rsid w:val="4AF64A04"/>
    <w:rsid w:val="4B4277BB"/>
    <w:rsid w:val="4B5A4864"/>
    <w:rsid w:val="4B652D44"/>
    <w:rsid w:val="4B7D0C82"/>
    <w:rsid w:val="4B8D7117"/>
    <w:rsid w:val="4BAB2A62"/>
    <w:rsid w:val="4BB858CF"/>
    <w:rsid w:val="4BBA3C84"/>
    <w:rsid w:val="4BC32E61"/>
    <w:rsid w:val="4BC53278"/>
    <w:rsid w:val="4BDB2D1D"/>
    <w:rsid w:val="4BEA6C55"/>
    <w:rsid w:val="4BFA506D"/>
    <w:rsid w:val="4C0A0EA4"/>
    <w:rsid w:val="4C147838"/>
    <w:rsid w:val="4C1C493F"/>
    <w:rsid w:val="4C3262BB"/>
    <w:rsid w:val="4C640930"/>
    <w:rsid w:val="4C7768F1"/>
    <w:rsid w:val="4C96179F"/>
    <w:rsid w:val="4CA02851"/>
    <w:rsid w:val="4CAC7A71"/>
    <w:rsid w:val="4CB1440A"/>
    <w:rsid w:val="4CCF2034"/>
    <w:rsid w:val="4CF80F08"/>
    <w:rsid w:val="4CFD207A"/>
    <w:rsid w:val="4CFD651E"/>
    <w:rsid w:val="4D021DD5"/>
    <w:rsid w:val="4D151ABA"/>
    <w:rsid w:val="4D3522D4"/>
    <w:rsid w:val="4D381304"/>
    <w:rsid w:val="4D9D385D"/>
    <w:rsid w:val="4DE60D60"/>
    <w:rsid w:val="4E375A78"/>
    <w:rsid w:val="4E3A33D0"/>
    <w:rsid w:val="4E3A6F26"/>
    <w:rsid w:val="4E412A62"/>
    <w:rsid w:val="4E64184C"/>
    <w:rsid w:val="4E8620B2"/>
    <w:rsid w:val="4EC05A55"/>
    <w:rsid w:val="4EC97B8E"/>
    <w:rsid w:val="4EDE5BC3"/>
    <w:rsid w:val="4EED5413"/>
    <w:rsid w:val="4EFE7173"/>
    <w:rsid w:val="4F05790C"/>
    <w:rsid w:val="4F165675"/>
    <w:rsid w:val="4F6F4D85"/>
    <w:rsid w:val="4FB9017E"/>
    <w:rsid w:val="4FD76FDC"/>
    <w:rsid w:val="4FEE1617"/>
    <w:rsid w:val="4FF971A9"/>
    <w:rsid w:val="505F4DFA"/>
    <w:rsid w:val="506C598F"/>
    <w:rsid w:val="509777DA"/>
    <w:rsid w:val="509F1F4E"/>
    <w:rsid w:val="50C8299F"/>
    <w:rsid w:val="50CA5ED4"/>
    <w:rsid w:val="50EA73C4"/>
    <w:rsid w:val="510065DD"/>
    <w:rsid w:val="510B4336"/>
    <w:rsid w:val="510F05CE"/>
    <w:rsid w:val="51404BCF"/>
    <w:rsid w:val="515327E2"/>
    <w:rsid w:val="519D2F99"/>
    <w:rsid w:val="51B66656"/>
    <w:rsid w:val="51B82A14"/>
    <w:rsid w:val="51BE58C4"/>
    <w:rsid w:val="51E7154B"/>
    <w:rsid w:val="51E90E1F"/>
    <w:rsid w:val="52865081"/>
    <w:rsid w:val="52C833AA"/>
    <w:rsid w:val="52E00474"/>
    <w:rsid w:val="531E605E"/>
    <w:rsid w:val="532317F1"/>
    <w:rsid w:val="536D782E"/>
    <w:rsid w:val="53C75190"/>
    <w:rsid w:val="53CA50A0"/>
    <w:rsid w:val="53D13D83"/>
    <w:rsid w:val="53FD0980"/>
    <w:rsid w:val="53FF492A"/>
    <w:rsid w:val="54017769"/>
    <w:rsid w:val="541C105F"/>
    <w:rsid w:val="54430373"/>
    <w:rsid w:val="54715C0E"/>
    <w:rsid w:val="54752E3E"/>
    <w:rsid w:val="54B75204"/>
    <w:rsid w:val="54EB1B0B"/>
    <w:rsid w:val="54EE7EA9"/>
    <w:rsid w:val="54FF2943"/>
    <w:rsid w:val="5516088F"/>
    <w:rsid w:val="552E74E9"/>
    <w:rsid w:val="55395C40"/>
    <w:rsid w:val="55446D4F"/>
    <w:rsid w:val="554D5B69"/>
    <w:rsid w:val="554F316F"/>
    <w:rsid w:val="55560472"/>
    <w:rsid w:val="557F505E"/>
    <w:rsid w:val="55945546"/>
    <w:rsid w:val="559A1FC3"/>
    <w:rsid w:val="56446F6C"/>
    <w:rsid w:val="56497DA3"/>
    <w:rsid w:val="564D4072"/>
    <w:rsid w:val="564F0341"/>
    <w:rsid w:val="56710779"/>
    <w:rsid w:val="5676669A"/>
    <w:rsid w:val="56794E67"/>
    <w:rsid w:val="568268B2"/>
    <w:rsid w:val="568C3447"/>
    <w:rsid w:val="56995955"/>
    <w:rsid w:val="56AA3DFF"/>
    <w:rsid w:val="57075FAC"/>
    <w:rsid w:val="572E260A"/>
    <w:rsid w:val="57430FD1"/>
    <w:rsid w:val="575E68C3"/>
    <w:rsid w:val="57677E26"/>
    <w:rsid w:val="577044C9"/>
    <w:rsid w:val="57921BE7"/>
    <w:rsid w:val="57C93BCD"/>
    <w:rsid w:val="57F66847"/>
    <w:rsid w:val="58136BF6"/>
    <w:rsid w:val="5814071D"/>
    <w:rsid w:val="582836A2"/>
    <w:rsid w:val="582B03E3"/>
    <w:rsid w:val="582E1C82"/>
    <w:rsid w:val="58733B38"/>
    <w:rsid w:val="589376F7"/>
    <w:rsid w:val="58C2191A"/>
    <w:rsid w:val="58D97BD3"/>
    <w:rsid w:val="594E65AD"/>
    <w:rsid w:val="596D101E"/>
    <w:rsid w:val="59710078"/>
    <w:rsid w:val="5978263A"/>
    <w:rsid w:val="597977C8"/>
    <w:rsid w:val="598A617B"/>
    <w:rsid w:val="598E2EF7"/>
    <w:rsid w:val="598F38D1"/>
    <w:rsid w:val="599C04BB"/>
    <w:rsid w:val="59B34519"/>
    <w:rsid w:val="59D6139B"/>
    <w:rsid w:val="59DC4C4A"/>
    <w:rsid w:val="59E9158F"/>
    <w:rsid w:val="59FB327B"/>
    <w:rsid w:val="5A1D3D5C"/>
    <w:rsid w:val="5A1F7AD4"/>
    <w:rsid w:val="5A3B2434"/>
    <w:rsid w:val="5A3D7F5A"/>
    <w:rsid w:val="5A5F4374"/>
    <w:rsid w:val="5A5F5A54"/>
    <w:rsid w:val="5A6E0A5B"/>
    <w:rsid w:val="5A9304C2"/>
    <w:rsid w:val="5AA57281"/>
    <w:rsid w:val="5AA71457"/>
    <w:rsid w:val="5AD60ABB"/>
    <w:rsid w:val="5ADC2D5B"/>
    <w:rsid w:val="5AFF2030"/>
    <w:rsid w:val="5B0171D9"/>
    <w:rsid w:val="5B0A5339"/>
    <w:rsid w:val="5B142584"/>
    <w:rsid w:val="5B424FC7"/>
    <w:rsid w:val="5B4C1463"/>
    <w:rsid w:val="5B4F56E0"/>
    <w:rsid w:val="5B8D756D"/>
    <w:rsid w:val="5BCC14C5"/>
    <w:rsid w:val="5BCC3C8B"/>
    <w:rsid w:val="5BCD355F"/>
    <w:rsid w:val="5BDD7C08"/>
    <w:rsid w:val="5BEA14F2"/>
    <w:rsid w:val="5C0F2DC3"/>
    <w:rsid w:val="5C164F06"/>
    <w:rsid w:val="5C29377E"/>
    <w:rsid w:val="5C594DF3"/>
    <w:rsid w:val="5C5B0B6B"/>
    <w:rsid w:val="5C6E0D96"/>
    <w:rsid w:val="5C741C2D"/>
    <w:rsid w:val="5C904CB9"/>
    <w:rsid w:val="5C9568F3"/>
    <w:rsid w:val="5CA15BF1"/>
    <w:rsid w:val="5D6F6E90"/>
    <w:rsid w:val="5DA23243"/>
    <w:rsid w:val="5DAF6930"/>
    <w:rsid w:val="5DF03535"/>
    <w:rsid w:val="5E05795B"/>
    <w:rsid w:val="5E131DA9"/>
    <w:rsid w:val="5E1E3B7E"/>
    <w:rsid w:val="5E1F2592"/>
    <w:rsid w:val="5E2E7822"/>
    <w:rsid w:val="5E6F4DA2"/>
    <w:rsid w:val="5E7303EE"/>
    <w:rsid w:val="5E8F7A19"/>
    <w:rsid w:val="5E935628"/>
    <w:rsid w:val="5E9C47B5"/>
    <w:rsid w:val="5EAC56AE"/>
    <w:rsid w:val="5EE010D0"/>
    <w:rsid w:val="5EF23EE5"/>
    <w:rsid w:val="5F1550E8"/>
    <w:rsid w:val="5F32077F"/>
    <w:rsid w:val="5F6B3399"/>
    <w:rsid w:val="5FB300D5"/>
    <w:rsid w:val="5FB41813"/>
    <w:rsid w:val="5FB56B92"/>
    <w:rsid w:val="5FC04C82"/>
    <w:rsid w:val="5FC553F9"/>
    <w:rsid w:val="5FC608F6"/>
    <w:rsid w:val="5FF612D7"/>
    <w:rsid w:val="5FF92B75"/>
    <w:rsid w:val="602C5A37"/>
    <w:rsid w:val="602E6DB1"/>
    <w:rsid w:val="60487659"/>
    <w:rsid w:val="60787F3E"/>
    <w:rsid w:val="60804E3F"/>
    <w:rsid w:val="60E3207F"/>
    <w:rsid w:val="610D7308"/>
    <w:rsid w:val="611435D1"/>
    <w:rsid w:val="6171437F"/>
    <w:rsid w:val="617526CF"/>
    <w:rsid w:val="61AA73E4"/>
    <w:rsid w:val="61BE5E24"/>
    <w:rsid w:val="61C13B66"/>
    <w:rsid w:val="61C3168D"/>
    <w:rsid w:val="61D70C94"/>
    <w:rsid w:val="61D9475D"/>
    <w:rsid w:val="61DA7CFF"/>
    <w:rsid w:val="61F607E2"/>
    <w:rsid w:val="61F61A18"/>
    <w:rsid w:val="621A29E9"/>
    <w:rsid w:val="625B6730"/>
    <w:rsid w:val="626003B8"/>
    <w:rsid w:val="627B247C"/>
    <w:rsid w:val="627B4140"/>
    <w:rsid w:val="629F6A1B"/>
    <w:rsid w:val="62A3501A"/>
    <w:rsid w:val="62B47227"/>
    <w:rsid w:val="62E278F0"/>
    <w:rsid w:val="62E874F8"/>
    <w:rsid w:val="635A254C"/>
    <w:rsid w:val="63711334"/>
    <w:rsid w:val="63731FB7"/>
    <w:rsid w:val="63740850"/>
    <w:rsid w:val="63776ACD"/>
    <w:rsid w:val="63936E3D"/>
    <w:rsid w:val="63977D60"/>
    <w:rsid w:val="63B2277D"/>
    <w:rsid w:val="63BB1DB2"/>
    <w:rsid w:val="63BE0123"/>
    <w:rsid w:val="63D63372"/>
    <w:rsid w:val="63F068E5"/>
    <w:rsid w:val="643A1A36"/>
    <w:rsid w:val="64562849"/>
    <w:rsid w:val="646F1A49"/>
    <w:rsid w:val="649B2B65"/>
    <w:rsid w:val="64A21A2D"/>
    <w:rsid w:val="64C73242"/>
    <w:rsid w:val="64C9520C"/>
    <w:rsid w:val="64CF0348"/>
    <w:rsid w:val="64EA33D4"/>
    <w:rsid w:val="65177F59"/>
    <w:rsid w:val="65251848"/>
    <w:rsid w:val="65284D99"/>
    <w:rsid w:val="65303897"/>
    <w:rsid w:val="654B77E7"/>
    <w:rsid w:val="65743BC3"/>
    <w:rsid w:val="657B2461"/>
    <w:rsid w:val="65AC6993"/>
    <w:rsid w:val="65CB4A73"/>
    <w:rsid w:val="65E9368C"/>
    <w:rsid w:val="66096F9B"/>
    <w:rsid w:val="660C5B63"/>
    <w:rsid w:val="66396C02"/>
    <w:rsid w:val="66847AD9"/>
    <w:rsid w:val="66913324"/>
    <w:rsid w:val="66C35287"/>
    <w:rsid w:val="671E0731"/>
    <w:rsid w:val="67A75305"/>
    <w:rsid w:val="68287B36"/>
    <w:rsid w:val="683A01CF"/>
    <w:rsid w:val="68482B8F"/>
    <w:rsid w:val="685A617B"/>
    <w:rsid w:val="6871545D"/>
    <w:rsid w:val="68B725B5"/>
    <w:rsid w:val="68BD680B"/>
    <w:rsid w:val="68C32ABF"/>
    <w:rsid w:val="68ED5241"/>
    <w:rsid w:val="68FD36D6"/>
    <w:rsid w:val="690A11E7"/>
    <w:rsid w:val="692769BD"/>
    <w:rsid w:val="692E7D33"/>
    <w:rsid w:val="694251E2"/>
    <w:rsid w:val="695853E7"/>
    <w:rsid w:val="69B70141"/>
    <w:rsid w:val="69EE769E"/>
    <w:rsid w:val="6A2627B9"/>
    <w:rsid w:val="6A425452"/>
    <w:rsid w:val="6A595254"/>
    <w:rsid w:val="6A652063"/>
    <w:rsid w:val="6A6E5F0E"/>
    <w:rsid w:val="6A7E74C8"/>
    <w:rsid w:val="6A8D4C80"/>
    <w:rsid w:val="6ABC136F"/>
    <w:rsid w:val="6AC41FD2"/>
    <w:rsid w:val="6B013226"/>
    <w:rsid w:val="6B1765A5"/>
    <w:rsid w:val="6B5C7909"/>
    <w:rsid w:val="6B6317EA"/>
    <w:rsid w:val="6B6A2B49"/>
    <w:rsid w:val="6B7359AC"/>
    <w:rsid w:val="6B82622F"/>
    <w:rsid w:val="6B86353A"/>
    <w:rsid w:val="6B87372B"/>
    <w:rsid w:val="6B9F6960"/>
    <w:rsid w:val="6BA84AE2"/>
    <w:rsid w:val="6BA936A1"/>
    <w:rsid w:val="6BBB5183"/>
    <w:rsid w:val="6BF75957"/>
    <w:rsid w:val="6C156F89"/>
    <w:rsid w:val="6C494E84"/>
    <w:rsid w:val="6C4B4758"/>
    <w:rsid w:val="6C517895"/>
    <w:rsid w:val="6C8E4950"/>
    <w:rsid w:val="6CA31D2B"/>
    <w:rsid w:val="6CB3110E"/>
    <w:rsid w:val="6CD247F7"/>
    <w:rsid w:val="6CEE52C1"/>
    <w:rsid w:val="6CFC3CA5"/>
    <w:rsid w:val="6D02333A"/>
    <w:rsid w:val="6D1B3E16"/>
    <w:rsid w:val="6D6868F1"/>
    <w:rsid w:val="6D9F71A6"/>
    <w:rsid w:val="6DE54739"/>
    <w:rsid w:val="6DF37226"/>
    <w:rsid w:val="6E245638"/>
    <w:rsid w:val="6E5A6ED5"/>
    <w:rsid w:val="6E5D5891"/>
    <w:rsid w:val="6E625D89"/>
    <w:rsid w:val="6E662A0A"/>
    <w:rsid w:val="6EA65977"/>
    <w:rsid w:val="6EB77565"/>
    <w:rsid w:val="6EC03A0B"/>
    <w:rsid w:val="6EC15901"/>
    <w:rsid w:val="6ED60013"/>
    <w:rsid w:val="6EFF7A7C"/>
    <w:rsid w:val="6F653D83"/>
    <w:rsid w:val="6F77284A"/>
    <w:rsid w:val="6F9603E0"/>
    <w:rsid w:val="6FB46AB9"/>
    <w:rsid w:val="6FC02D5C"/>
    <w:rsid w:val="6FC36CFC"/>
    <w:rsid w:val="6FC54822"/>
    <w:rsid w:val="6FE65646"/>
    <w:rsid w:val="700E61C9"/>
    <w:rsid w:val="70226E34"/>
    <w:rsid w:val="70351489"/>
    <w:rsid w:val="704C3D53"/>
    <w:rsid w:val="705F4E88"/>
    <w:rsid w:val="70785D38"/>
    <w:rsid w:val="70BD374B"/>
    <w:rsid w:val="70CE7C7B"/>
    <w:rsid w:val="70F96E79"/>
    <w:rsid w:val="711C14FA"/>
    <w:rsid w:val="71376229"/>
    <w:rsid w:val="714C0C76"/>
    <w:rsid w:val="71620FC4"/>
    <w:rsid w:val="717029BA"/>
    <w:rsid w:val="717B788E"/>
    <w:rsid w:val="718D32CB"/>
    <w:rsid w:val="71C225C6"/>
    <w:rsid w:val="720E4203"/>
    <w:rsid w:val="72114AAA"/>
    <w:rsid w:val="72280ED6"/>
    <w:rsid w:val="723D4EC0"/>
    <w:rsid w:val="724459FC"/>
    <w:rsid w:val="72455229"/>
    <w:rsid w:val="72606A84"/>
    <w:rsid w:val="726E6A3A"/>
    <w:rsid w:val="72AE5DD3"/>
    <w:rsid w:val="731538E5"/>
    <w:rsid w:val="731E4769"/>
    <w:rsid w:val="73665AF2"/>
    <w:rsid w:val="73726A6F"/>
    <w:rsid w:val="7384337B"/>
    <w:rsid w:val="7386251A"/>
    <w:rsid w:val="73A55AD1"/>
    <w:rsid w:val="73AF524C"/>
    <w:rsid w:val="73B52DFF"/>
    <w:rsid w:val="73E7745D"/>
    <w:rsid w:val="73FE47A6"/>
    <w:rsid w:val="74095063"/>
    <w:rsid w:val="744C466D"/>
    <w:rsid w:val="744E5D63"/>
    <w:rsid w:val="745948E8"/>
    <w:rsid w:val="74E0571E"/>
    <w:rsid w:val="74E05C60"/>
    <w:rsid w:val="74E1661C"/>
    <w:rsid w:val="74E420AE"/>
    <w:rsid w:val="74E474F8"/>
    <w:rsid w:val="750A6428"/>
    <w:rsid w:val="751B43A3"/>
    <w:rsid w:val="7554305B"/>
    <w:rsid w:val="75591F38"/>
    <w:rsid w:val="755D7EEA"/>
    <w:rsid w:val="756C4712"/>
    <w:rsid w:val="75776FEE"/>
    <w:rsid w:val="75F93B96"/>
    <w:rsid w:val="76045978"/>
    <w:rsid w:val="76120095"/>
    <w:rsid w:val="76130107"/>
    <w:rsid w:val="767D0641"/>
    <w:rsid w:val="76820CB3"/>
    <w:rsid w:val="768C796B"/>
    <w:rsid w:val="76F450A2"/>
    <w:rsid w:val="771953B8"/>
    <w:rsid w:val="771A654D"/>
    <w:rsid w:val="771F0CBB"/>
    <w:rsid w:val="77352893"/>
    <w:rsid w:val="774845AD"/>
    <w:rsid w:val="77566229"/>
    <w:rsid w:val="77604C10"/>
    <w:rsid w:val="7761778F"/>
    <w:rsid w:val="77632264"/>
    <w:rsid w:val="77CB150C"/>
    <w:rsid w:val="77DD0707"/>
    <w:rsid w:val="78041F8D"/>
    <w:rsid w:val="78153E31"/>
    <w:rsid w:val="782A3DBC"/>
    <w:rsid w:val="78381D1A"/>
    <w:rsid w:val="78496959"/>
    <w:rsid w:val="78560890"/>
    <w:rsid w:val="78D24D40"/>
    <w:rsid w:val="78EF183C"/>
    <w:rsid w:val="794B73BB"/>
    <w:rsid w:val="79674B9C"/>
    <w:rsid w:val="797741C0"/>
    <w:rsid w:val="7980662E"/>
    <w:rsid w:val="799C34AF"/>
    <w:rsid w:val="79CB43E5"/>
    <w:rsid w:val="79CE4C1B"/>
    <w:rsid w:val="79DA7335"/>
    <w:rsid w:val="7A3E58FC"/>
    <w:rsid w:val="7A407587"/>
    <w:rsid w:val="7A4400F1"/>
    <w:rsid w:val="7A8102AF"/>
    <w:rsid w:val="7A821ABD"/>
    <w:rsid w:val="7AB15E04"/>
    <w:rsid w:val="7AC22AE9"/>
    <w:rsid w:val="7AC34054"/>
    <w:rsid w:val="7ACD7751"/>
    <w:rsid w:val="7AFD57B8"/>
    <w:rsid w:val="7B0711F2"/>
    <w:rsid w:val="7B2A6109"/>
    <w:rsid w:val="7B32234A"/>
    <w:rsid w:val="7B5D0004"/>
    <w:rsid w:val="7B9331E2"/>
    <w:rsid w:val="7B95154C"/>
    <w:rsid w:val="7B9F686F"/>
    <w:rsid w:val="7BA63759"/>
    <w:rsid w:val="7BA7352D"/>
    <w:rsid w:val="7BCB7664"/>
    <w:rsid w:val="7BF2196F"/>
    <w:rsid w:val="7C203F84"/>
    <w:rsid w:val="7C3C501C"/>
    <w:rsid w:val="7C4411C4"/>
    <w:rsid w:val="7C453247"/>
    <w:rsid w:val="7C4D62CB"/>
    <w:rsid w:val="7C7E5B0D"/>
    <w:rsid w:val="7C8F0691"/>
    <w:rsid w:val="7C913829"/>
    <w:rsid w:val="7CB7553A"/>
    <w:rsid w:val="7CC61BD9"/>
    <w:rsid w:val="7CCA5121"/>
    <w:rsid w:val="7CD36A7C"/>
    <w:rsid w:val="7CDD6705"/>
    <w:rsid w:val="7CDE6F23"/>
    <w:rsid w:val="7D5470E9"/>
    <w:rsid w:val="7D7A7E7F"/>
    <w:rsid w:val="7D7B6E68"/>
    <w:rsid w:val="7D926753"/>
    <w:rsid w:val="7DE00E2E"/>
    <w:rsid w:val="7DE70EF5"/>
    <w:rsid w:val="7E206AA9"/>
    <w:rsid w:val="7E352B05"/>
    <w:rsid w:val="7E374B3D"/>
    <w:rsid w:val="7E6830E8"/>
    <w:rsid w:val="7E803351"/>
    <w:rsid w:val="7E84176A"/>
    <w:rsid w:val="7ED23F94"/>
    <w:rsid w:val="7ED95BF4"/>
    <w:rsid w:val="7EE913F1"/>
    <w:rsid w:val="7EF61812"/>
    <w:rsid w:val="7F1042A6"/>
    <w:rsid w:val="7F197170"/>
    <w:rsid w:val="7F2F289C"/>
    <w:rsid w:val="7FA84877"/>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6" w:semiHidden="0" w:name="header"/>
    <w:lsdException w:qFormat="1" w:unhideWhenUsed="0" w:uiPriority="6"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pPr>
      <w:widowControl w:val="0"/>
    </w:pPr>
    <w:rPr>
      <w:rFonts w:ascii="宋体" w:hAnsi="宋体" w:eastAsia="宋体" w:cs="宋体"/>
      <w:color w:val="000000"/>
      <w:sz w:val="24"/>
      <w:lang w:val="en-US" w:eastAsia="zh-CN" w:bidi="ar-SA"/>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style>
  <w:style w:type="paragraph" w:styleId="3">
    <w:name w:val="annotation text"/>
    <w:basedOn w:val="1"/>
    <w:autoRedefine/>
    <w:semiHidden/>
    <w:qFormat/>
    <w:uiPriority w:val="0"/>
  </w:style>
  <w:style w:type="paragraph" w:styleId="4">
    <w:name w:val="Body Text"/>
    <w:basedOn w:val="1"/>
    <w:next w:val="1"/>
    <w:autoRedefine/>
    <w:qFormat/>
    <w:uiPriority w:val="0"/>
    <w:pPr>
      <w:spacing w:after="120"/>
    </w:pPr>
  </w:style>
  <w:style w:type="paragraph" w:styleId="5">
    <w:name w:val="Body Text Indent"/>
    <w:basedOn w:val="1"/>
    <w:next w:val="2"/>
    <w:autoRedefine/>
    <w:qFormat/>
    <w:uiPriority w:val="6"/>
    <w:pPr>
      <w:spacing w:after="120"/>
      <w:ind w:left="420"/>
    </w:pPr>
    <w:rPr>
      <w:rFonts w:eastAsia="仿宋_GB2312"/>
    </w:rPr>
  </w:style>
  <w:style w:type="paragraph" w:styleId="6">
    <w:name w:val="Block Text"/>
    <w:basedOn w:val="1"/>
    <w:autoRedefine/>
    <w:qFormat/>
    <w:uiPriority w:val="0"/>
    <w:pPr>
      <w:tabs>
        <w:tab w:val="left" w:pos="360"/>
      </w:tabs>
      <w:spacing w:line="360" w:lineRule="auto"/>
      <w:ind w:left="360" w:right="-714" w:rightChars="-340"/>
    </w:pPr>
    <w:rPr>
      <w:szCs w:val="24"/>
    </w:rPr>
  </w:style>
  <w:style w:type="paragraph" w:styleId="7">
    <w:name w:val="List Bullet 5"/>
    <w:basedOn w:val="1"/>
    <w:autoRedefine/>
    <w:qFormat/>
    <w:uiPriority w:val="0"/>
    <w:pPr>
      <w:numPr>
        <w:ilvl w:val="0"/>
        <w:numId w:val="1"/>
      </w:numPr>
    </w:pPr>
  </w:style>
  <w:style w:type="paragraph" w:styleId="8">
    <w:name w:val="Body Text Indent 2"/>
    <w:basedOn w:val="1"/>
    <w:next w:val="1"/>
    <w:autoRedefine/>
    <w:qFormat/>
    <w:uiPriority w:val="0"/>
    <w:pPr>
      <w:overflowPunct w:val="0"/>
      <w:ind w:firstLine="453" w:firstLineChars="196"/>
    </w:pPr>
  </w:style>
  <w:style w:type="paragraph" w:styleId="9">
    <w:name w:val="footer"/>
    <w:basedOn w:val="1"/>
    <w:autoRedefine/>
    <w:qFormat/>
    <w:uiPriority w:val="6"/>
    <w:pPr>
      <w:tabs>
        <w:tab w:val="center" w:pos="4153"/>
        <w:tab w:val="right" w:pos="8305"/>
      </w:tabs>
    </w:pPr>
    <w:rPr>
      <w:kern w:val="1"/>
      <w:sz w:val="18"/>
      <w:szCs w:val="18"/>
    </w:rPr>
  </w:style>
  <w:style w:type="paragraph" w:styleId="10">
    <w:name w:val="header"/>
    <w:basedOn w:val="1"/>
    <w:autoRedefine/>
    <w:qFormat/>
    <w:uiPriority w:val="6"/>
    <w:pPr>
      <w:pBdr>
        <w:bottom w:val="single" w:color="000000" w:sz="6" w:space="1"/>
      </w:pBdr>
      <w:tabs>
        <w:tab w:val="center" w:pos="4153"/>
        <w:tab w:val="right" w:pos="8305"/>
      </w:tabs>
      <w:jc w:val="center"/>
    </w:pPr>
    <w:rPr>
      <w:kern w:val="1"/>
      <w:sz w:val="18"/>
      <w:szCs w:val="18"/>
    </w:rPr>
  </w:style>
  <w:style w:type="paragraph" w:styleId="11">
    <w:name w:val="index heading"/>
    <w:basedOn w:val="1"/>
    <w:next w:val="12"/>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paragraph" w:styleId="12">
    <w:name w:val="index 1"/>
    <w:basedOn w:val="1"/>
    <w:next w:val="1"/>
    <w:semiHidden/>
    <w:qFormat/>
    <w:uiPriority w:val="0"/>
    <w:pPr>
      <w:ind w:firstLine="210" w:firstLineChars="100"/>
    </w:pPr>
  </w:style>
  <w:style w:type="paragraph" w:styleId="13">
    <w:name w:val="Normal (Web)"/>
    <w:basedOn w:val="1"/>
    <w:autoRedefine/>
    <w:qFormat/>
    <w:uiPriority w:val="0"/>
    <w:pPr>
      <w:widowControl/>
      <w:spacing w:before="100" w:beforeAutospacing="1" w:after="100" w:afterAutospacing="1"/>
    </w:pPr>
  </w:style>
  <w:style w:type="paragraph" w:styleId="14">
    <w:name w:val="Body Text First Indent"/>
    <w:basedOn w:val="4"/>
    <w:autoRedefine/>
    <w:qFormat/>
    <w:uiPriority w:val="0"/>
    <w:pPr>
      <w:ind w:firstLine="420" w:firstLineChars="100"/>
    </w:pPr>
  </w:style>
  <w:style w:type="paragraph" w:styleId="15">
    <w:name w:val="Body Text First Indent 2"/>
    <w:basedOn w:val="5"/>
    <w:next w:val="16"/>
    <w:autoRedefine/>
    <w:qFormat/>
    <w:uiPriority w:val="0"/>
    <w:pPr>
      <w:ind w:left="200" w:leftChars="200" w:firstLine="420" w:firstLineChars="200"/>
    </w:pPr>
    <w:rPr>
      <w:rFonts w:ascii="Calibri"/>
    </w:rPr>
  </w:style>
  <w:style w:type="paragraph" w:customStyle="1" w:styleId="16">
    <w:name w:val="Default"/>
    <w:basedOn w:val="17"/>
    <w:next w:val="15"/>
    <w:autoRedefine/>
    <w:qFormat/>
    <w:uiPriority w:val="0"/>
    <w:pPr>
      <w:widowControl w:val="0"/>
      <w:autoSpaceDE w:val="0"/>
      <w:autoSpaceDN w:val="0"/>
      <w:adjustRightInd w:val="0"/>
    </w:pPr>
    <w:rPr>
      <w:rFonts w:ascii="宋体" w:hAnsi="Calibri" w:eastAsia="宋体" w:cs="宋体"/>
      <w:color w:val="000000"/>
      <w:sz w:val="24"/>
    </w:rPr>
  </w:style>
  <w:style w:type="paragraph" w:customStyle="1" w:styleId="17">
    <w:name w:val="标题 段落4级"/>
    <w:basedOn w:val="18"/>
    <w:next w:val="3"/>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18">
    <w:name w:val="正文 文本"/>
    <w:autoRedefine/>
    <w:qFormat/>
    <w:uiPriority w:val="0"/>
    <w:pPr>
      <w:widowControl w:val="0"/>
      <w:snapToGrid w:val="0"/>
      <w:spacing w:line="500" w:lineRule="exact"/>
      <w:ind w:firstLine="200" w:firstLineChars="200"/>
      <w:jc w:val="both"/>
    </w:pPr>
    <w:rPr>
      <w:rFonts w:ascii="Times New Roman" w:hAnsi="Times New Roman" w:eastAsia="仿宋_GB2312" w:cs="Times New Roman"/>
      <w:kern w:val="2"/>
      <w:sz w:val="28"/>
      <w:szCs w:val="24"/>
      <w:lang w:val="en-US" w:eastAsia="zh-CN" w:bidi="ar-SA"/>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autoRedefine/>
    <w:semiHidden/>
    <w:qFormat/>
    <w:uiPriority w:val="0"/>
    <w:rPr>
      <w:sz w:val="21"/>
    </w:rPr>
  </w:style>
  <w:style w:type="paragraph" w:customStyle="1" w:styleId="23">
    <w:name w:val="纯文本1"/>
    <w:basedOn w:val="1"/>
    <w:autoRedefine/>
    <w:qFormat/>
    <w:uiPriority w:val="0"/>
    <w:pPr>
      <w:adjustRightInd w:val="0"/>
    </w:pPr>
    <w:rPr>
      <w:rFonts w:hAnsi="Courier New"/>
    </w:rPr>
  </w:style>
  <w:style w:type="paragraph" w:customStyle="1" w:styleId="24">
    <w:name w:val="报告表正文"/>
    <w:basedOn w:val="1"/>
    <w:autoRedefine/>
    <w:qFormat/>
    <w:uiPriority w:val="0"/>
    <w:pPr>
      <w:adjustRightInd w:val="0"/>
      <w:spacing w:line="312" w:lineRule="auto"/>
      <w:ind w:left="113" w:right="113" w:firstLine="482"/>
      <w:textAlignment w:val="baseline"/>
    </w:pPr>
  </w:style>
  <w:style w:type="paragraph" w:customStyle="1" w:styleId="25">
    <w:name w:val="A正文"/>
    <w:basedOn w:val="1"/>
    <w:autoRedefine/>
    <w:qFormat/>
    <w:uiPriority w:val="0"/>
    <w:pPr>
      <w:adjustRightInd w:val="0"/>
      <w:snapToGrid w:val="0"/>
      <w:spacing w:line="288" w:lineRule="auto"/>
      <w:ind w:firstLine="420" w:firstLineChars="200"/>
    </w:pPr>
    <w:rPr>
      <w:rFonts w:eastAsia="仿宋"/>
      <w:snapToGrid w:val="0"/>
      <w:szCs w:val="21"/>
    </w:rPr>
  </w:style>
  <w:style w:type="paragraph" w:customStyle="1" w:styleId="26">
    <w:name w:val="Table Paragraph"/>
    <w:basedOn w:val="1"/>
    <w:autoRedefine/>
    <w:qFormat/>
    <w:uiPriority w:val="99"/>
    <w:pPr>
      <w:autoSpaceDE w:val="0"/>
      <w:autoSpaceDN w:val="0"/>
    </w:pPr>
    <w:rPr>
      <w:sz w:val="22"/>
      <w:szCs w:val="22"/>
      <w:lang w:val="zh-CN"/>
    </w:rPr>
  </w:style>
  <w:style w:type="paragraph" w:customStyle="1" w:styleId="27">
    <w:name w:val="表图"/>
    <w:basedOn w:val="1"/>
    <w:next w:val="1"/>
    <w:autoRedefine/>
    <w:qFormat/>
    <w:uiPriority w:val="0"/>
    <w:pPr>
      <w:adjustRightInd w:val="0"/>
      <w:snapToGrid w:val="0"/>
      <w:spacing w:after="200"/>
      <w:jc w:val="center"/>
    </w:pPr>
    <w:rPr>
      <w:szCs w:val="22"/>
    </w:rPr>
  </w:style>
  <w:style w:type="paragraph" w:customStyle="1" w:styleId="28">
    <w:name w:val="表格"/>
    <w:basedOn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9">
    <w:name w:val="正文_缩进"/>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3145</Words>
  <Characters>3526</Characters>
  <Lines>29</Lines>
  <Paragraphs>8</Paragraphs>
  <TotalTime>3</TotalTime>
  <ScaleCrop>false</ScaleCrop>
  <LinksUpToDate>false</LinksUpToDate>
  <CharactersWithSpaces>3666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2022-07-06T02:33:00Z</dcterms:created>
  <dc:creator>LSSP</dc:creator>
  <cp:lastModifiedBy>a moon</cp:lastModifiedBy>
  <cp:lastPrinted>2025-03-13T08:14:00Z</cp:lastPrinted>
  <dcterms:modified xsi:type="dcterms:W3CDTF">2025-06-17T01:42:07Z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D541D36F09BA4FBBBA65E275B7218504_13</vt:lpwstr>
  </property>
  <property fmtid="{D5CDD505-2E9C-101B-9397-08002B2CF9AE}" pid="4" name="KSOTemplateDocerSaveRecord">
    <vt:lpwstr>eyJoZGlkIjoiOWIwOTc1N2ZjYTgzNTU1ZjhhMzEzZTEwYjExMzIyNmIiLCJ1c2VySWQiOiIyNjEyMzM3ODAifQ==</vt:lpwstr>
  </property>
</Properties>
</file>